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Default Extension="png" ContentType="image/png"/>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4052" w:right="0" w:firstLine="0"/>
        <w:rPr>
          <w:sz w:val="20"/>
        </w:rPr>
      </w:pPr>
      <w:r>
        <w:rPr>
          <w:sz w:val="20"/>
        </w:rPr>
        <w:drawing>
          <wp:inline distT="0" distB="0" distL="0" distR="0">
            <wp:extent cx="979244" cy="1232439"/>
            <wp:effectExtent l="0" t="0" r="0" b="0"/>
            <wp:docPr id="1" name="Image 1" descr="No hay texto alternativo automático disponible."/>
            <wp:cNvGraphicFramePr>
              <a:graphicFrameLocks/>
            </wp:cNvGraphicFramePr>
            <a:graphic>
              <a:graphicData uri="http://schemas.openxmlformats.org/drawingml/2006/picture">
                <pic:pic>
                  <pic:nvPicPr>
                    <pic:cNvPr id="1" name="Image 1" descr="No hay texto alternativo automático disponible."/>
                    <pic:cNvPicPr/>
                  </pic:nvPicPr>
                  <pic:blipFill>
                    <a:blip r:embed="rId5" cstate="print"/>
                    <a:stretch>
                      <a:fillRect/>
                    </a:stretch>
                  </pic:blipFill>
                  <pic:spPr>
                    <a:xfrm>
                      <a:off x="0" y="0"/>
                      <a:ext cx="979244" cy="1232439"/>
                    </a:xfrm>
                    <a:prstGeom prst="rect">
                      <a:avLst/>
                    </a:prstGeom>
                  </pic:spPr>
                </pic:pic>
              </a:graphicData>
            </a:graphic>
          </wp:inline>
        </w:drawing>
      </w:r>
      <w:r>
        <w:rPr>
          <w:sz w:val="20"/>
        </w:rPr>
      </w:r>
    </w:p>
    <w:p>
      <w:pPr>
        <w:pStyle w:val="BodyText"/>
        <w:spacing w:before="77"/>
        <w:ind w:left="0"/>
      </w:pPr>
    </w:p>
    <w:p>
      <w:pPr>
        <w:spacing w:before="0"/>
        <w:ind w:left="574" w:right="0" w:firstLine="0"/>
        <w:jc w:val="center"/>
        <w:rPr>
          <w:b/>
          <w:sz w:val="24"/>
        </w:rPr>
      </w:pPr>
      <w:r>
        <w:rPr>
          <w:b/>
          <w:sz w:val="24"/>
        </w:rPr>
        <w:t>UNIVERSIDAD</w:t>
      </w:r>
      <w:r>
        <w:rPr>
          <w:b/>
          <w:spacing w:val="-2"/>
          <w:sz w:val="24"/>
        </w:rPr>
        <w:t> </w:t>
      </w:r>
      <w:r>
        <w:rPr>
          <w:b/>
          <w:sz w:val="24"/>
        </w:rPr>
        <w:t>ESTATAL DE </w:t>
      </w:r>
      <w:r>
        <w:rPr>
          <w:b/>
          <w:spacing w:val="-2"/>
          <w:sz w:val="24"/>
        </w:rPr>
        <w:t>BOLÍVAR</w:t>
      </w:r>
    </w:p>
    <w:p>
      <w:pPr>
        <w:pStyle w:val="BodyText"/>
        <w:spacing w:before="104"/>
        <w:ind w:left="0"/>
        <w:rPr>
          <w:b/>
        </w:rPr>
      </w:pPr>
    </w:p>
    <w:p>
      <w:pPr>
        <w:spacing w:line="360" w:lineRule="auto" w:before="0"/>
        <w:ind w:left="572" w:right="0" w:firstLine="0"/>
        <w:jc w:val="center"/>
        <w:rPr>
          <w:b/>
          <w:sz w:val="24"/>
        </w:rPr>
      </w:pPr>
      <w:r>
        <w:rPr>
          <w:b/>
          <w:sz w:val="24"/>
        </w:rPr>
        <w:t>Facultad</w:t>
      </w:r>
      <w:r>
        <w:rPr>
          <w:b/>
          <w:spacing w:val="-9"/>
          <w:sz w:val="24"/>
        </w:rPr>
        <w:t> </w:t>
      </w:r>
      <w:r>
        <w:rPr>
          <w:b/>
          <w:sz w:val="24"/>
        </w:rPr>
        <w:t>de</w:t>
      </w:r>
      <w:r>
        <w:rPr>
          <w:b/>
          <w:spacing w:val="-11"/>
          <w:sz w:val="24"/>
        </w:rPr>
        <w:t> </w:t>
      </w:r>
      <w:r>
        <w:rPr>
          <w:b/>
          <w:sz w:val="24"/>
        </w:rPr>
        <w:t>Ciencias</w:t>
      </w:r>
      <w:r>
        <w:rPr>
          <w:b/>
          <w:spacing w:val="-9"/>
          <w:sz w:val="24"/>
        </w:rPr>
        <w:t> </w:t>
      </w:r>
      <w:r>
        <w:rPr>
          <w:b/>
          <w:sz w:val="24"/>
        </w:rPr>
        <w:t>Agropecuarias</w:t>
      </w:r>
      <w:r>
        <w:rPr>
          <w:b/>
          <w:spacing w:val="-9"/>
          <w:sz w:val="24"/>
        </w:rPr>
        <w:t> </w:t>
      </w:r>
      <w:r>
        <w:rPr>
          <w:b/>
          <w:sz w:val="24"/>
        </w:rPr>
        <w:t>Recursos</w:t>
      </w:r>
      <w:r>
        <w:rPr>
          <w:b/>
          <w:spacing w:val="-8"/>
          <w:sz w:val="24"/>
        </w:rPr>
        <w:t> </w:t>
      </w:r>
      <w:r>
        <w:rPr>
          <w:b/>
          <w:sz w:val="24"/>
        </w:rPr>
        <w:t>Naturales</w:t>
      </w:r>
      <w:r>
        <w:rPr>
          <w:b/>
          <w:spacing w:val="-10"/>
          <w:sz w:val="24"/>
        </w:rPr>
        <w:t> </w:t>
      </w:r>
      <w:r>
        <w:rPr>
          <w:b/>
          <w:sz w:val="24"/>
        </w:rPr>
        <w:t>y</w:t>
      </w:r>
      <w:r>
        <w:rPr>
          <w:b/>
          <w:spacing w:val="-10"/>
          <w:sz w:val="24"/>
        </w:rPr>
        <w:t> </w:t>
      </w:r>
      <w:r>
        <w:rPr>
          <w:b/>
          <w:sz w:val="24"/>
        </w:rPr>
        <w:t>del</w:t>
      </w:r>
      <w:r>
        <w:rPr>
          <w:b/>
          <w:spacing w:val="-10"/>
          <w:sz w:val="24"/>
        </w:rPr>
        <w:t> </w:t>
      </w:r>
      <w:r>
        <w:rPr>
          <w:b/>
          <w:sz w:val="24"/>
        </w:rPr>
        <w:t>Ambiente Carrera de Medicina Veterinaria</w:t>
      </w:r>
    </w:p>
    <w:p>
      <w:pPr>
        <w:pStyle w:val="BodyText"/>
        <w:ind w:left="0"/>
        <w:rPr>
          <w:b/>
        </w:rPr>
      </w:pPr>
    </w:p>
    <w:p>
      <w:pPr>
        <w:pStyle w:val="BodyText"/>
        <w:ind w:left="0"/>
        <w:rPr>
          <w:b/>
        </w:rPr>
      </w:pPr>
    </w:p>
    <w:p>
      <w:pPr>
        <w:pStyle w:val="BodyText"/>
        <w:spacing w:before="65"/>
        <w:ind w:left="0"/>
        <w:rPr>
          <w:b/>
        </w:rPr>
      </w:pPr>
    </w:p>
    <w:p>
      <w:pPr>
        <w:spacing w:before="0"/>
        <w:ind w:left="574" w:right="3" w:firstLine="0"/>
        <w:jc w:val="center"/>
        <w:rPr>
          <w:b/>
          <w:sz w:val="24"/>
        </w:rPr>
      </w:pPr>
      <w:r>
        <w:rPr>
          <w:b/>
          <w:spacing w:val="-4"/>
          <w:sz w:val="24"/>
        </w:rPr>
        <w:t>Tema</w:t>
      </w:r>
    </w:p>
    <w:p>
      <w:pPr>
        <w:pStyle w:val="BodyText"/>
        <w:spacing w:before="103"/>
        <w:ind w:left="0"/>
        <w:rPr>
          <w:b/>
        </w:rPr>
      </w:pPr>
    </w:p>
    <w:p>
      <w:pPr>
        <w:pStyle w:val="BodyText"/>
        <w:spacing w:line="360" w:lineRule="auto"/>
        <w:ind w:left="574" w:right="11"/>
        <w:jc w:val="center"/>
      </w:pPr>
      <w:r>
        <w:rPr/>
        <w:t>“ESTUDIO</w:t>
      </w:r>
      <w:r>
        <w:rPr>
          <w:spacing w:val="-7"/>
        </w:rPr>
        <w:t> </w:t>
      </w:r>
      <w:r>
        <w:rPr/>
        <w:t>DE</w:t>
      </w:r>
      <w:r>
        <w:rPr>
          <w:spacing w:val="-2"/>
        </w:rPr>
        <w:t> </w:t>
      </w:r>
      <w:r>
        <w:rPr/>
        <w:t>LA</w:t>
      </w:r>
      <w:r>
        <w:rPr>
          <w:spacing w:val="-7"/>
        </w:rPr>
        <w:t> </w:t>
      </w:r>
      <w:r>
        <w:rPr/>
        <w:t>ANALGESIA</w:t>
      </w:r>
      <w:r>
        <w:rPr>
          <w:spacing w:val="-7"/>
        </w:rPr>
        <w:t> </w:t>
      </w:r>
      <w:r>
        <w:rPr/>
        <w:t>MULTIMODAL</w:t>
      </w:r>
      <w:r>
        <w:rPr>
          <w:spacing w:val="-10"/>
        </w:rPr>
        <w:t> </w:t>
      </w:r>
      <w:r>
        <w:rPr/>
        <w:t>SOBRE</w:t>
      </w:r>
      <w:r>
        <w:rPr>
          <w:spacing w:val="-5"/>
        </w:rPr>
        <w:t> </w:t>
      </w:r>
      <w:r>
        <w:rPr/>
        <w:t>LAS</w:t>
      </w:r>
      <w:r>
        <w:rPr>
          <w:spacing w:val="-7"/>
        </w:rPr>
        <w:t> </w:t>
      </w:r>
      <w:r>
        <w:rPr/>
        <w:t>RESPUESTAS FISIOLÓGICAS Y CONDUCTUALES EN TERNEROS SOMETIDOS A PROCEDIMIENTOS DE DESCORNE”</w:t>
      </w:r>
    </w:p>
    <w:p>
      <w:pPr>
        <w:spacing w:line="360" w:lineRule="auto" w:before="242"/>
        <w:ind w:left="683" w:right="115" w:hanging="1"/>
        <w:jc w:val="center"/>
        <w:rPr>
          <w:b/>
          <w:sz w:val="22"/>
        </w:rPr>
      </w:pPr>
      <w:r>
        <w:rPr>
          <w:b/>
          <w:sz w:val="22"/>
        </w:rPr>
        <w:t>Proyecto de investigación previo a la obtención del título de Médico Veterinario, otorgado</w:t>
      </w:r>
      <w:r>
        <w:rPr>
          <w:b/>
          <w:spacing w:val="-2"/>
          <w:sz w:val="22"/>
        </w:rPr>
        <w:t> </w:t>
      </w:r>
      <w:r>
        <w:rPr>
          <w:b/>
          <w:sz w:val="22"/>
        </w:rPr>
        <w:t>por</w:t>
      </w:r>
      <w:r>
        <w:rPr>
          <w:b/>
          <w:spacing w:val="-7"/>
          <w:sz w:val="22"/>
        </w:rPr>
        <w:t> </w:t>
      </w:r>
      <w:r>
        <w:rPr>
          <w:b/>
          <w:sz w:val="22"/>
        </w:rPr>
        <w:t>la</w:t>
      </w:r>
      <w:r>
        <w:rPr>
          <w:b/>
          <w:spacing w:val="-2"/>
          <w:sz w:val="22"/>
        </w:rPr>
        <w:t> </w:t>
      </w:r>
      <w:r>
        <w:rPr>
          <w:b/>
          <w:sz w:val="22"/>
        </w:rPr>
        <w:t>Universidad</w:t>
      </w:r>
      <w:r>
        <w:rPr>
          <w:b/>
          <w:spacing w:val="-2"/>
          <w:sz w:val="22"/>
        </w:rPr>
        <w:t> </w:t>
      </w:r>
      <w:r>
        <w:rPr>
          <w:b/>
          <w:sz w:val="22"/>
        </w:rPr>
        <w:t>Estatal</w:t>
      </w:r>
      <w:r>
        <w:rPr>
          <w:b/>
          <w:spacing w:val="-1"/>
          <w:sz w:val="22"/>
        </w:rPr>
        <w:t> </w:t>
      </w:r>
      <w:r>
        <w:rPr>
          <w:b/>
          <w:sz w:val="22"/>
        </w:rPr>
        <w:t>de</w:t>
      </w:r>
      <w:r>
        <w:rPr>
          <w:b/>
          <w:spacing w:val="-4"/>
          <w:sz w:val="22"/>
        </w:rPr>
        <w:t> </w:t>
      </w:r>
      <w:r>
        <w:rPr>
          <w:b/>
          <w:sz w:val="22"/>
        </w:rPr>
        <w:t>Bolívar</w:t>
      </w:r>
      <w:r>
        <w:rPr>
          <w:b/>
          <w:spacing w:val="-7"/>
          <w:sz w:val="22"/>
        </w:rPr>
        <w:t> </w:t>
      </w:r>
      <w:r>
        <w:rPr>
          <w:b/>
          <w:sz w:val="22"/>
        </w:rPr>
        <w:t>a</w:t>
      </w:r>
      <w:r>
        <w:rPr>
          <w:b/>
          <w:spacing w:val="-5"/>
          <w:sz w:val="22"/>
        </w:rPr>
        <w:t> </w:t>
      </w:r>
      <w:r>
        <w:rPr>
          <w:b/>
          <w:sz w:val="22"/>
        </w:rPr>
        <w:t>través</w:t>
      </w:r>
      <w:r>
        <w:rPr>
          <w:b/>
          <w:spacing w:val="-2"/>
          <w:sz w:val="22"/>
        </w:rPr>
        <w:t> </w:t>
      </w:r>
      <w:r>
        <w:rPr>
          <w:b/>
          <w:sz w:val="22"/>
        </w:rPr>
        <w:t>de</w:t>
      </w:r>
      <w:r>
        <w:rPr>
          <w:b/>
          <w:spacing w:val="-5"/>
          <w:sz w:val="22"/>
        </w:rPr>
        <w:t> </w:t>
      </w:r>
      <w:r>
        <w:rPr>
          <w:b/>
          <w:sz w:val="22"/>
        </w:rPr>
        <w:t>la</w:t>
      </w:r>
      <w:r>
        <w:rPr>
          <w:b/>
          <w:spacing w:val="-5"/>
          <w:sz w:val="22"/>
        </w:rPr>
        <w:t> </w:t>
      </w:r>
      <w:r>
        <w:rPr>
          <w:b/>
          <w:sz w:val="22"/>
        </w:rPr>
        <w:t>Facultad</w:t>
      </w:r>
      <w:r>
        <w:rPr>
          <w:b/>
          <w:spacing w:val="-2"/>
          <w:sz w:val="22"/>
        </w:rPr>
        <w:t> </w:t>
      </w:r>
      <w:r>
        <w:rPr>
          <w:b/>
          <w:sz w:val="22"/>
        </w:rPr>
        <w:t>de</w:t>
      </w:r>
      <w:r>
        <w:rPr>
          <w:b/>
          <w:spacing w:val="-2"/>
          <w:sz w:val="22"/>
        </w:rPr>
        <w:t> </w:t>
      </w:r>
      <w:r>
        <w:rPr>
          <w:b/>
          <w:sz w:val="22"/>
        </w:rPr>
        <w:t>Ciencias Agropecuarias, Recursos Naturales y del Ambiente, Carrera de Medicina</w:t>
      </w:r>
    </w:p>
    <w:p>
      <w:pPr>
        <w:spacing w:line="252" w:lineRule="exact" w:before="0"/>
        <w:ind w:left="574" w:right="5" w:firstLine="0"/>
        <w:jc w:val="center"/>
        <w:rPr>
          <w:b/>
          <w:sz w:val="22"/>
        </w:rPr>
      </w:pPr>
      <w:r>
        <w:rPr>
          <w:b/>
          <w:spacing w:val="-2"/>
          <w:sz w:val="22"/>
        </w:rPr>
        <w:t>Veterinaria.</w:t>
      </w:r>
    </w:p>
    <w:p>
      <w:pPr>
        <w:pStyle w:val="BodyText"/>
        <w:ind w:left="0"/>
        <w:rPr>
          <w:b/>
          <w:sz w:val="22"/>
        </w:rPr>
      </w:pPr>
    </w:p>
    <w:p>
      <w:pPr>
        <w:pStyle w:val="BodyText"/>
        <w:ind w:left="0"/>
        <w:rPr>
          <w:b/>
          <w:sz w:val="22"/>
        </w:rPr>
      </w:pPr>
    </w:p>
    <w:p>
      <w:pPr>
        <w:pStyle w:val="BodyText"/>
        <w:ind w:left="0"/>
        <w:rPr>
          <w:b/>
          <w:sz w:val="22"/>
        </w:rPr>
      </w:pPr>
    </w:p>
    <w:p>
      <w:pPr>
        <w:pStyle w:val="BodyText"/>
        <w:spacing w:before="7"/>
        <w:ind w:left="0"/>
        <w:rPr>
          <w:b/>
          <w:sz w:val="22"/>
        </w:rPr>
      </w:pPr>
    </w:p>
    <w:p>
      <w:pPr>
        <w:spacing w:before="0"/>
        <w:ind w:left="574" w:right="2" w:firstLine="0"/>
        <w:jc w:val="center"/>
        <w:rPr>
          <w:b/>
          <w:sz w:val="24"/>
        </w:rPr>
      </w:pPr>
      <w:r>
        <w:rPr>
          <w:b/>
          <w:spacing w:val="-2"/>
          <w:sz w:val="24"/>
        </w:rPr>
        <w:t>Autores:</w:t>
      </w:r>
    </w:p>
    <w:p>
      <w:pPr>
        <w:pStyle w:val="BodyText"/>
        <w:spacing w:before="101"/>
        <w:ind w:left="0"/>
        <w:rPr>
          <w:b/>
        </w:rPr>
      </w:pPr>
    </w:p>
    <w:p>
      <w:pPr>
        <w:pStyle w:val="BodyText"/>
        <w:spacing w:line="568" w:lineRule="auto"/>
        <w:ind w:left="3098" w:right="2524" w:hanging="1"/>
        <w:jc w:val="center"/>
        <w:rPr>
          <w:b/>
        </w:rPr>
      </w:pPr>
      <w:r>
        <w:rPr/>
        <w:t>Bryan</w:t>
      </w:r>
      <w:r>
        <w:rPr>
          <w:spacing w:val="-15"/>
        </w:rPr>
        <w:t> </w:t>
      </w:r>
      <w:r>
        <w:rPr/>
        <w:t>Javier</w:t>
      </w:r>
      <w:r>
        <w:rPr>
          <w:spacing w:val="-15"/>
        </w:rPr>
        <w:t> </w:t>
      </w:r>
      <w:r>
        <w:rPr/>
        <w:t>Carvajal</w:t>
      </w:r>
      <w:r>
        <w:rPr>
          <w:spacing w:val="-15"/>
        </w:rPr>
        <w:t> </w:t>
      </w:r>
      <w:r>
        <w:rPr/>
        <w:t>Bermeo Evelyn</w:t>
      </w:r>
      <w:r>
        <w:rPr>
          <w:spacing w:val="-15"/>
        </w:rPr>
        <w:t> </w:t>
      </w:r>
      <w:r>
        <w:rPr/>
        <w:t>Adriana</w:t>
      </w:r>
      <w:r>
        <w:rPr>
          <w:spacing w:val="-15"/>
        </w:rPr>
        <w:t> </w:t>
      </w:r>
      <w:r>
        <w:rPr/>
        <w:t>Gaibor</w:t>
      </w:r>
      <w:r>
        <w:rPr>
          <w:spacing w:val="-15"/>
        </w:rPr>
        <w:t> </w:t>
      </w:r>
      <w:r>
        <w:rPr/>
        <w:t>Yanza </w:t>
      </w:r>
      <w:r>
        <w:rPr>
          <w:b/>
          <w:spacing w:val="-2"/>
        </w:rPr>
        <w:t>Tutor</w:t>
      </w:r>
    </w:p>
    <w:p>
      <w:pPr>
        <w:pStyle w:val="BodyText"/>
        <w:spacing w:before="2"/>
        <w:ind w:left="574" w:right="5"/>
        <w:jc w:val="center"/>
      </w:pPr>
      <w:r>
        <w:rPr/>
        <w:t>Dr.</w:t>
      </w:r>
      <w:r>
        <w:rPr>
          <w:spacing w:val="-8"/>
        </w:rPr>
        <w:t> </w:t>
      </w:r>
      <w:r>
        <w:rPr/>
        <w:t>Franco</w:t>
      </w:r>
      <w:r>
        <w:rPr>
          <w:spacing w:val="-2"/>
        </w:rPr>
        <w:t> </w:t>
      </w:r>
      <w:r>
        <w:rPr/>
        <w:t>Bolívar</w:t>
      </w:r>
      <w:r>
        <w:rPr>
          <w:spacing w:val="-6"/>
        </w:rPr>
        <w:t> </w:t>
      </w:r>
      <w:r>
        <w:rPr/>
        <w:t>Cordero</w:t>
      </w:r>
      <w:r>
        <w:rPr>
          <w:spacing w:val="-5"/>
        </w:rPr>
        <w:t> </w:t>
      </w:r>
      <w:r>
        <w:rPr/>
        <w:t>Salazar</w:t>
      </w:r>
      <w:r>
        <w:rPr>
          <w:spacing w:val="-3"/>
        </w:rPr>
        <w:t> </w:t>
      </w:r>
      <w:r>
        <w:rPr>
          <w:spacing w:val="-4"/>
        </w:rPr>
        <w:t>MSc.</w:t>
      </w:r>
    </w:p>
    <w:p>
      <w:pPr>
        <w:pStyle w:val="BodyText"/>
        <w:spacing w:before="100"/>
        <w:ind w:left="0"/>
      </w:pPr>
    </w:p>
    <w:p>
      <w:pPr>
        <w:spacing w:before="1"/>
        <w:ind w:left="574" w:right="2" w:firstLine="0"/>
        <w:jc w:val="center"/>
        <w:rPr>
          <w:b/>
          <w:sz w:val="24"/>
        </w:rPr>
      </w:pPr>
      <w:r>
        <w:rPr>
          <w:b/>
          <w:sz w:val="24"/>
        </w:rPr>
        <w:t>Guaranda</w:t>
      </w:r>
      <w:r>
        <w:rPr>
          <w:b/>
          <w:spacing w:val="-4"/>
          <w:sz w:val="24"/>
        </w:rPr>
        <w:t> </w:t>
      </w:r>
      <w:r>
        <w:rPr>
          <w:b/>
          <w:sz w:val="24"/>
        </w:rPr>
        <w:t>–</w:t>
      </w:r>
      <w:r>
        <w:rPr>
          <w:b/>
          <w:spacing w:val="-1"/>
          <w:sz w:val="24"/>
        </w:rPr>
        <w:t> </w:t>
      </w:r>
      <w:r>
        <w:rPr>
          <w:b/>
          <w:spacing w:val="-2"/>
          <w:sz w:val="24"/>
        </w:rPr>
        <w:t>Ecuador</w:t>
      </w:r>
    </w:p>
    <w:p>
      <w:pPr>
        <w:pStyle w:val="BodyText"/>
        <w:spacing w:before="103"/>
        <w:ind w:left="0"/>
        <w:rPr>
          <w:b/>
        </w:rPr>
      </w:pPr>
    </w:p>
    <w:p>
      <w:pPr>
        <w:pStyle w:val="BodyText"/>
        <w:ind w:left="574" w:right="1"/>
        <w:jc w:val="center"/>
      </w:pPr>
      <w:r>
        <w:rPr>
          <w:spacing w:val="-4"/>
        </w:rPr>
        <w:t>2026</w:t>
      </w:r>
    </w:p>
    <w:p>
      <w:pPr>
        <w:pStyle w:val="BodyText"/>
        <w:spacing w:after="0"/>
        <w:jc w:val="center"/>
        <w:sectPr>
          <w:type w:val="continuous"/>
          <w:pgSz w:w="11900" w:h="16860"/>
          <w:pgMar w:top="1700" w:bottom="280" w:left="1700" w:right="1700"/>
        </w:sectPr>
      </w:pPr>
    </w:p>
    <w:p>
      <w:pPr>
        <w:pStyle w:val="BodyText"/>
        <w:spacing w:before="4"/>
        <w:ind w:left="0"/>
        <w:rPr>
          <w:sz w:val="17"/>
        </w:rPr>
      </w:pPr>
      <w:r>
        <w:rPr>
          <w:sz w:val="17"/>
        </w:rPr>
        <w:drawing>
          <wp:anchor distT="0" distB="0" distL="0" distR="0" allowOverlap="1" layoutInCell="1" locked="0" behindDoc="0" simplePos="0" relativeHeight="15728640">
            <wp:simplePos x="0" y="0"/>
            <wp:positionH relativeFrom="page">
              <wp:posOffset>1789</wp:posOffset>
            </wp:positionH>
            <wp:positionV relativeFrom="page">
              <wp:posOffset>0</wp:posOffset>
            </wp:positionV>
            <wp:extent cx="7547088" cy="10691732"/>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7547088" cy="10691732"/>
                    </a:xfrm>
                    <a:prstGeom prst="rect">
                      <a:avLst/>
                    </a:prstGeom>
                  </pic:spPr>
                </pic:pic>
              </a:graphicData>
            </a:graphic>
          </wp:anchor>
        </w:drawing>
      </w:r>
    </w:p>
    <w:p>
      <w:pPr>
        <w:pStyle w:val="BodyText"/>
        <w:spacing w:after="0"/>
        <w:rPr>
          <w:sz w:val="17"/>
        </w:rPr>
        <w:sectPr>
          <w:pgSz w:w="11900" w:h="16840"/>
          <w:pgMar w:top="1940" w:bottom="280" w:left="1700" w:right="1700"/>
        </w:sectPr>
      </w:pPr>
    </w:p>
    <w:p>
      <w:pPr>
        <w:pStyle w:val="BodyText"/>
        <w:spacing w:before="4"/>
        <w:ind w:left="0"/>
        <w:rPr>
          <w:sz w:val="17"/>
        </w:rPr>
      </w:pPr>
      <w:r>
        <w:rPr>
          <w:sz w:val="17"/>
        </w:rPr>
        <w:drawing>
          <wp:anchor distT="0" distB="0" distL="0" distR="0" allowOverlap="1" layoutInCell="1" locked="0" behindDoc="0" simplePos="0" relativeHeight="15729152">
            <wp:simplePos x="0" y="0"/>
            <wp:positionH relativeFrom="page">
              <wp:posOffset>5027</wp:posOffset>
            </wp:positionH>
            <wp:positionV relativeFrom="page">
              <wp:posOffset>0</wp:posOffset>
            </wp:positionV>
            <wp:extent cx="7551472" cy="10691732"/>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7551472" cy="10691732"/>
                    </a:xfrm>
                    <a:prstGeom prst="rect">
                      <a:avLst/>
                    </a:prstGeom>
                  </pic:spPr>
                </pic:pic>
              </a:graphicData>
            </a:graphic>
          </wp:anchor>
        </w:drawing>
      </w:r>
    </w:p>
    <w:p>
      <w:pPr>
        <w:pStyle w:val="BodyText"/>
        <w:spacing w:after="0"/>
        <w:rPr>
          <w:sz w:val="17"/>
        </w:rPr>
        <w:sectPr>
          <w:pgSz w:w="11900" w:h="16840"/>
          <w:pgMar w:top="1940" w:bottom="280" w:left="1700" w:right="1700"/>
        </w:sectPr>
      </w:pPr>
    </w:p>
    <w:p>
      <w:pPr>
        <w:pStyle w:val="BodyText"/>
        <w:spacing w:before="4"/>
        <w:ind w:left="0"/>
        <w:rPr>
          <w:sz w:val="17"/>
        </w:rPr>
      </w:pPr>
      <w:r>
        <w:rPr>
          <w:sz w:val="17"/>
        </w:rPr>
        <w:drawing>
          <wp:anchor distT="0" distB="0" distL="0" distR="0" allowOverlap="1" layoutInCell="1" locked="0" behindDoc="0" simplePos="0" relativeHeight="15729664">
            <wp:simplePos x="0" y="0"/>
            <wp:positionH relativeFrom="page">
              <wp:posOffset>0</wp:posOffset>
            </wp:positionH>
            <wp:positionV relativeFrom="page">
              <wp:posOffset>0</wp:posOffset>
            </wp:positionV>
            <wp:extent cx="7556500" cy="1069173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7556500" cy="10691732"/>
                    </a:xfrm>
                    <a:prstGeom prst="rect">
                      <a:avLst/>
                    </a:prstGeom>
                  </pic:spPr>
                </pic:pic>
              </a:graphicData>
            </a:graphic>
          </wp:anchor>
        </w:drawing>
      </w:r>
    </w:p>
    <w:p>
      <w:pPr>
        <w:pStyle w:val="BodyText"/>
        <w:spacing w:after="0"/>
        <w:rPr>
          <w:sz w:val="17"/>
        </w:rPr>
        <w:sectPr>
          <w:pgSz w:w="11900" w:h="16840"/>
          <w:pgMar w:top="1940" w:bottom="280" w:left="1700" w:right="1700"/>
        </w:sectPr>
      </w:pPr>
    </w:p>
    <w:p>
      <w:pPr>
        <w:pStyle w:val="BodyText"/>
        <w:spacing w:before="4"/>
        <w:ind w:left="0"/>
        <w:rPr>
          <w:sz w:val="17"/>
        </w:rPr>
      </w:pPr>
      <w:r>
        <w:rPr>
          <w:sz w:val="17"/>
        </w:rPr>
        <w:drawing>
          <wp:anchor distT="0" distB="0" distL="0" distR="0" allowOverlap="1" layoutInCell="1" locked="0" behindDoc="0" simplePos="0" relativeHeight="15730176">
            <wp:simplePos x="0" y="0"/>
            <wp:positionH relativeFrom="page">
              <wp:posOffset>5027</wp:posOffset>
            </wp:positionH>
            <wp:positionV relativeFrom="page">
              <wp:posOffset>0</wp:posOffset>
            </wp:positionV>
            <wp:extent cx="7528009" cy="10691732"/>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7528009" cy="10691732"/>
                    </a:xfrm>
                    <a:prstGeom prst="rect">
                      <a:avLst/>
                    </a:prstGeom>
                  </pic:spPr>
                </pic:pic>
              </a:graphicData>
            </a:graphic>
          </wp:anchor>
        </w:drawing>
      </w:r>
    </w:p>
    <w:p>
      <w:pPr>
        <w:pStyle w:val="BodyText"/>
        <w:spacing w:after="0"/>
        <w:rPr>
          <w:sz w:val="17"/>
        </w:rPr>
        <w:sectPr>
          <w:pgSz w:w="11900" w:h="16840"/>
          <w:pgMar w:top="1940" w:bottom="280" w:left="1700" w:right="1700"/>
        </w:sectPr>
      </w:pPr>
    </w:p>
    <w:p>
      <w:pPr>
        <w:spacing w:before="70"/>
        <w:ind w:left="513" w:right="228" w:firstLine="0"/>
        <w:jc w:val="center"/>
        <w:rPr>
          <w:b/>
          <w:sz w:val="24"/>
        </w:rPr>
      </w:pPr>
      <w:r>
        <w:rPr>
          <w:b/>
          <w:spacing w:val="-2"/>
          <w:sz w:val="24"/>
        </w:rPr>
        <w:t>DEDICATORIA</w:t>
      </w:r>
    </w:p>
    <w:p>
      <w:pPr>
        <w:pStyle w:val="BodyText"/>
        <w:spacing w:before="101"/>
        <w:ind w:left="0"/>
        <w:rPr>
          <w:b/>
        </w:rPr>
      </w:pPr>
    </w:p>
    <w:p>
      <w:pPr>
        <w:spacing w:before="0"/>
        <w:ind w:left="1135" w:right="0" w:firstLine="0"/>
        <w:jc w:val="both"/>
        <w:rPr>
          <w:b/>
          <w:sz w:val="24"/>
        </w:rPr>
      </w:pPr>
      <w:r>
        <w:rPr>
          <w:b/>
          <w:sz w:val="24"/>
        </w:rPr>
        <w:t>Evelyn</w:t>
      </w:r>
      <w:r>
        <w:rPr>
          <w:b/>
          <w:spacing w:val="-15"/>
          <w:sz w:val="24"/>
        </w:rPr>
        <w:t> </w:t>
      </w:r>
      <w:r>
        <w:rPr>
          <w:b/>
          <w:sz w:val="24"/>
        </w:rPr>
        <w:t>Adriana</w:t>
      </w:r>
      <w:r>
        <w:rPr>
          <w:b/>
          <w:spacing w:val="-12"/>
          <w:sz w:val="24"/>
        </w:rPr>
        <w:t> </w:t>
      </w:r>
      <w:r>
        <w:rPr>
          <w:b/>
          <w:sz w:val="24"/>
        </w:rPr>
        <w:t>Gaibor</w:t>
      </w:r>
      <w:r>
        <w:rPr>
          <w:b/>
          <w:spacing w:val="-16"/>
          <w:sz w:val="24"/>
        </w:rPr>
        <w:t> </w:t>
      </w:r>
      <w:r>
        <w:rPr>
          <w:b/>
          <w:spacing w:val="-2"/>
          <w:sz w:val="24"/>
        </w:rPr>
        <w:t>Yanza</w:t>
      </w:r>
    </w:p>
    <w:p>
      <w:pPr>
        <w:pStyle w:val="BodyText"/>
        <w:spacing w:before="103"/>
        <w:ind w:left="0"/>
        <w:rPr>
          <w:b/>
        </w:rPr>
      </w:pPr>
    </w:p>
    <w:p>
      <w:pPr>
        <w:pStyle w:val="BodyText"/>
        <w:spacing w:line="360" w:lineRule="auto" w:before="1"/>
        <w:ind w:right="850"/>
        <w:jc w:val="both"/>
      </w:pPr>
      <w:r>
        <w:rPr/>
        <w:t>Dedico esta tesis a mi Padre Celestial, Dios, al igual que cada uno de mis logros, ya que día a día me sostiene y</w:t>
      </w:r>
      <w:r>
        <w:rPr>
          <w:spacing w:val="-1"/>
        </w:rPr>
        <w:t> </w:t>
      </w:r>
      <w:r>
        <w:rPr/>
        <w:t>me ha demostrado que, por más momentos oscuros que se presenten en mi vida, Él, con su infinito amor incondicional, será mi luz y me guiará en cada situación a la que me enfrente.</w:t>
      </w:r>
    </w:p>
    <w:p>
      <w:pPr>
        <w:pStyle w:val="BodyText"/>
        <w:spacing w:line="360" w:lineRule="auto" w:before="240"/>
        <w:ind w:right="847"/>
        <w:jc w:val="both"/>
      </w:pPr>
      <w:r>
        <w:rPr/>
        <w:t>A mis hijas, Ariana y Alice Ramírez, quienes son mi mayor bendición y el motor que a diario me impulsa a superarme. Cada esfuerzo ha sido, es y</w:t>
      </w:r>
      <w:r>
        <w:rPr>
          <w:spacing w:val="-2"/>
        </w:rPr>
        <w:t> </w:t>
      </w:r>
      <w:r>
        <w:rPr/>
        <w:t>será pensado en su futuro y bienestar, porque quiero dejarles como ejemplo que con perseverancia se logran grandes cosas.</w:t>
      </w:r>
    </w:p>
    <w:p>
      <w:pPr>
        <w:pStyle w:val="BodyText"/>
        <w:spacing w:line="360" w:lineRule="auto" w:before="240"/>
        <w:ind w:right="849"/>
        <w:jc w:val="both"/>
      </w:pPr>
      <w:r>
        <w:rPr/>
        <w:t>A mi mejor amigo y futuro esposo, Alexander Ramírez, quien con su amor, paciencia y</w:t>
      </w:r>
      <w:r>
        <w:rPr>
          <w:spacing w:val="-5"/>
        </w:rPr>
        <w:t> </w:t>
      </w:r>
      <w:r>
        <w:rPr/>
        <w:t>apoyo emocional</w:t>
      </w:r>
      <w:r>
        <w:rPr>
          <w:spacing w:val="-1"/>
        </w:rPr>
        <w:t> </w:t>
      </w:r>
      <w:r>
        <w:rPr/>
        <w:t>me</w:t>
      </w:r>
      <w:r>
        <w:rPr>
          <w:spacing w:val="-2"/>
        </w:rPr>
        <w:t> </w:t>
      </w:r>
      <w:r>
        <w:rPr/>
        <w:t>ha ayudado a</w:t>
      </w:r>
      <w:r>
        <w:rPr>
          <w:spacing w:val="-2"/>
        </w:rPr>
        <w:t> </w:t>
      </w:r>
      <w:r>
        <w:rPr/>
        <w:t>no rendirme y</w:t>
      </w:r>
      <w:r>
        <w:rPr>
          <w:spacing w:val="-3"/>
        </w:rPr>
        <w:t> </w:t>
      </w:r>
      <w:r>
        <w:rPr/>
        <w:t>a</w:t>
      </w:r>
      <w:r>
        <w:rPr>
          <w:spacing w:val="-2"/>
        </w:rPr>
        <w:t> </w:t>
      </w:r>
      <w:r>
        <w:rPr/>
        <w:t>no</w:t>
      </w:r>
      <w:r>
        <w:rPr>
          <w:spacing w:val="-1"/>
        </w:rPr>
        <w:t> </w:t>
      </w:r>
      <w:r>
        <w:rPr/>
        <w:t>bajar</w:t>
      </w:r>
      <w:r>
        <w:rPr>
          <w:spacing w:val="-2"/>
        </w:rPr>
        <w:t> </w:t>
      </w:r>
      <w:r>
        <w:rPr/>
        <w:t>la cabeza. Ha</w:t>
      </w:r>
      <w:r>
        <w:rPr>
          <w:spacing w:val="-3"/>
        </w:rPr>
        <w:t> </w:t>
      </w:r>
      <w:r>
        <w:rPr/>
        <w:t>sido</w:t>
      </w:r>
      <w:r>
        <w:rPr>
          <w:spacing w:val="-1"/>
        </w:rPr>
        <w:t> </w:t>
      </w:r>
      <w:r>
        <w:rPr/>
        <w:t>mi</w:t>
      </w:r>
      <w:r>
        <w:rPr>
          <w:spacing w:val="-1"/>
        </w:rPr>
        <w:t> </w:t>
      </w:r>
      <w:r>
        <w:rPr/>
        <w:t>mejor</w:t>
      </w:r>
      <w:r>
        <w:rPr>
          <w:spacing w:val="-2"/>
        </w:rPr>
        <w:t> </w:t>
      </w:r>
      <w:r>
        <w:rPr/>
        <w:t>compañero</w:t>
      </w:r>
      <w:r>
        <w:rPr>
          <w:spacing w:val="-2"/>
        </w:rPr>
        <w:t> </w:t>
      </w:r>
      <w:r>
        <w:rPr/>
        <w:t>durante este</w:t>
      </w:r>
      <w:r>
        <w:rPr>
          <w:spacing w:val="-2"/>
        </w:rPr>
        <w:t> </w:t>
      </w:r>
      <w:r>
        <w:rPr/>
        <w:t>camino.</w:t>
      </w:r>
      <w:r>
        <w:rPr>
          <w:spacing w:val="-1"/>
        </w:rPr>
        <w:t> </w:t>
      </w:r>
      <w:r>
        <w:rPr/>
        <w:t>Gracias</w:t>
      </w:r>
      <w:r>
        <w:rPr>
          <w:spacing w:val="-2"/>
        </w:rPr>
        <w:t> </w:t>
      </w:r>
      <w:r>
        <w:rPr/>
        <w:t>por creer</w:t>
      </w:r>
      <w:r>
        <w:rPr>
          <w:spacing w:val="-2"/>
        </w:rPr>
        <w:t> </w:t>
      </w:r>
      <w:r>
        <w:rPr/>
        <w:t>en</w:t>
      </w:r>
      <w:r>
        <w:rPr>
          <w:spacing w:val="-1"/>
        </w:rPr>
        <w:t> </w:t>
      </w:r>
      <w:r>
        <w:rPr/>
        <w:t>mí cuando ni siquiera yo lo hacía.</w:t>
      </w:r>
    </w:p>
    <w:p>
      <w:pPr>
        <w:pStyle w:val="BodyText"/>
        <w:spacing w:line="360" w:lineRule="auto" w:before="241"/>
        <w:ind w:right="847"/>
        <w:jc w:val="both"/>
      </w:pPr>
      <w:r>
        <w:rPr/>
        <w:t>A</w:t>
      </w:r>
      <w:r>
        <w:rPr>
          <w:spacing w:val="-2"/>
        </w:rPr>
        <w:t> </w:t>
      </w:r>
      <w:r>
        <w:rPr/>
        <w:t>mis</w:t>
      </w:r>
      <w:r>
        <w:rPr>
          <w:spacing w:val="-1"/>
        </w:rPr>
        <w:t> </w:t>
      </w:r>
      <w:r>
        <w:rPr/>
        <w:t>padres,</w:t>
      </w:r>
      <w:r>
        <w:rPr>
          <w:spacing w:val="-1"/>
        </w:rPr>
        <w:t> </w:t>
      </w:r>
      <w:r>
        <w:rPr/>
        <w:t>quienes</w:t>
      </w:r>
      <w:r>
        <w:rPr>
          <w:spacing w:val="-1"/>
        </w:rPr>
        <w:t> </w:t>
      </w:r>
      <w:r>
        <w:rPr/>
        <w:t>me</w:t>
      </w:r>
      <w:r>
        <w:rPr>
          <w:spacing w:val="-2"/>
        </w:rPr>
        <w:t> </w:t>
      </w:r>
      <w:r>
        <w:rPr/>
        <w:t>han</w:t>
      </w:r>
      <w:r>
        <w:rPr>
          <w:spacing w:val="-1"/>
        </w:rPr>
        <w:t> </w:t>
      </w:r>
      <w:r>
        <w:rPr/>
        <w:t>apoyado en</w:t>
      </w:r>
      <w:r>
        <w:rPr>
          <w:spacing w:val="-1"/>
        </w:rPr>
        <w:t> </w:t>
      </w:r>
      <w:r>
        <w:rPr/>
        <w:t>cada</w:t>
      </w:r>
      <w:r>
        <w:rPr>
          <w:spacing w:val="-2"/>
        </w:rPr>
        <w:t> </w:t>
      </w:r>
      <w:r>
        <w:rPr/>
        <w:t>circunstancia</w:t>
      </w:r>
      <w:r>
        <w:rPr>
          <w:spacing w:val="-2"/>
        </w:rPr>
        <w:t> </w:t>
      </w:r>
      <w:r>
        <w:rPr/>
        <w:t>durante</w:t>
      </w:r>
      <w:r>
        <w:rPr>
          <w:spacing w:val="-2"/>
        </w:rPr>
        <w:t> </w:t>
      </w:r>
      <w:r>
        <w:rPr/>
        <w:t>toda mi</w:t>
      </w:r>
      <w:r>
        <w:rPr>
          <w:spacing w:val="-1"/>
        </w:rPr>
        <w:t> </w:t>
      </w:r>
      <w:r>
        <w:rPr/>
        <w:t>vida y que muchas veces han tomado mis responsabilidades y las han convertido en suyas. Mi padre, Eduardo Gaibor,</w:t>
      </w:r>
      <w:r>
        <w:rPr>
          <w:spacing w:val="-1"/>
        </w:rPr>
        <w:t> </w:t>
      </w:r>
      <w:r>
        <w:rPr/>
        <w:t>quien</w:t>
      </w:r>
      <w:r>
        <w:rPr>
          <w:spacing w:val="-1"/>
        </w:rPr>
        <w:t> </w:t>
      </w:r>
      <w:r>
        <w:rPr/>
        <w:t>a</w:t>
      </w:r>
      <w:r>
        <w:rPr>
          <w:spacing w:val="-1"/>
        </w:rPr>
        <w:t> </w:t>
      </w:r>
      <w:r>
        <w:rPr/>
        <w:t>pesar</w:t>
      </w:r>
      <w:r>
        <w:rPr>
          <w:spacing w:val="-1"/>
        </w:rPr>
        <w:t> </w:t>
      </w:r>
      <w:r>
        <w:rPr/>
        <w:t>de</w:t>
      </w:r>
      <w:r>
        <w:rPr>
          <w:spacing w:val="-1"/>
        </w:rPr>
        <w:t> </w:t>
      </w:r>
      <w:r>
        <w:rPr/>
        <w:t>que</w:t>
      </w:r>
      <w:r>
        <w:rPr>
          <w:spacing w:val="-1"/>
        </w:rPr>
        <w:t> </w:t>
      </w:r>
      <w:r>
        <w:rPr/>
        <w:t>no pueda</w:t>
      </w:r>
      <w:r>
        <w:rPr>
          <w:spacing w:val="-1"/>
        </w:rPr>
        <w:t> </w:t>
      </w:r>
      <w:r>
        <w:rPr/>
        <w:t>expresar su amor por medio de palabras lo hace con cada una de sus acciones; y</w:t>
      </w:r>
      <w:r>
        <w:rPr>
          <w:spacing w:val="-1"/>
        </w:rPr>
        <w:t> </w:t>
      </w:r>
      <w:r>
        <w:rPr/>
        <w:t>especialmente a mi mejor amiga, la mujer que me dio la vida, Alicia Yanza, de quien siempre estaré orgullosa. Gracias por ser mi refugio y</w:t>
      </w:r>
      <w:r>
        <w:rPr>
          <w:spacing w:val="-3"/>
        </w:rPr>
        <w:t> </w:t>
      </w:r>
      <w:r>
        <w:rPr/>
        <w:t>el ejemplo más grande de lucha y</w:t>
      </w:r>
      <w:r>
        <w:rPr>
          <w:spacing w:val="-3"/>
        </w:rPr>
        <w:t> </w:t>
      </w:r>
      <w:r>
        <w:rPr/>
        <w:t>valentía.</w:t>
      </w:r>
    </w:p>
    <w:p>
      <w:pPr>
        <w:pStyle w:val="BodyText"/>
        <w:spacing w:line="360" w:lineRule="auto" w:before="238"/>
        <w:ind w:right="847"/>
        <w:jc w:val="both"/>
      </w:pPr>
      <w:r>
        <w:rPr/>
        <w:t>A</w:t>
      </w:r>
      <w:r>
        <w:rPr>
          <w:spacing w:val="-5"/>
        </w:rPr>
        <w:t> </w:t>
      </w:r>
      <w:r>
        <w:rPr/>
        <w:t>mis</w:t>
      </w:r>
      <w:r>
        <w:rPr>
          <w:spacing w:val="-5"/>
        </w:rPr>
        <w:t> </w:t>
      </w:r>
      <w:r>
        <w:rPr/>
        <w:t>tíos</w:t>
      </w:r>
      <w:r>
        <w:rPr>
          <w:spacing w:val="-5"/>
        </w:rPr>
        <w:t> </w:t>
      </w:r>
      <w:r>
        <w:rPr/>
        <w:t>padrinos,</w:t>
      </w:r>
      <w:r>
        <w:rPr>
          <w:spacing w:val="-5"/>
        </w:rPr>
        <w:t> </w:t>
      </w:r>
      <w:r>
        <w:rPr/>
        <w:t>Mayra</w:t>
      </w:r>
      <w:r>
        <w:rPr>
          <w:spacing w:val="-7"/>
        </w:rPr>
        <w:t> </w:t>
      </w:r>
      <w:r>
        <w:rPr/>
        <w:t>Yanza</w:t>
      </w:r>
      <w:r>
        <w:rPr>
          <w:spacing w:val="-1"/>
        </w:rPr>
        <w:t> </w:t>
      </w:r>
      <w:r>
        <w:rPr/>
        <w:t>y</w:t>
      </w:r>
      <w:r>
        <w:rPr>
          <w:spacing w:val="-10"/>
        </w:rPr>
        <w:t> </w:t>
      </w:r>
      <w:r>
        <w:rPr/>
        <w:t>Diego</w:t>
      </w:r>
      <w:r>
        <w:rPr>
          <w:spacing w:val="-5"/>
        </w:rPr>
        <w:t> </w:t>
      </w:r>
      <w:r>
        <w:rPr/>
        <w:t>Duche,</w:t>
      </w:r>
      <w:r>
        <w:rPr>
          <w:spacing w:val="-3"/>
        </w:rPr>
        <w:t> </w:t>
      </w:r>
      <w:r>
        <w:rPr/>
        <w:t>por</w:t>
      </w:r>
      <w:r>
        <w:rPr>
          <w:spacing w:val="-6"/>
        </w:rPr>
        <w:t> </w:t>
      </w:r>
      <w:r>
        <w:rPr/>
        <w:t>su</w:t>
      </w:r>
      <w:r>
        <w:rPr>
          <w:spacing w:val="-2"/>
        </w:rPr>
        <w:t> </w:t>
      </w:r>
      <w:r>
        <w:rPr/>
        <w:t>apoyo,</w:t>
      </w:r>
      <w:r>
        <w:rPr>
          <w:spacing w:val="-2"/>
        </w:rPr>
        <w:t> </w:t>
      </w:r>
      <w:r>
        <w:rPr/>
        <w:t>consejos y</w:t>
      </w:r>
      <w:r>
        <w:rPr>
          <w:spacing w:val="-7"/>
        </w:rPr>
        <w:t> </w:t>
      </w:r>
      <w:r>
        <w:rPr/>
        <w:t>cariño sincero. Siempre han creído en mí y en lo capaz que puedo llegar a ser. Me siento muy</w:t>
      </w:r>
      <w:r>
        <w:rPr>
          <w:spacing w:val="-13"/>
        </w:rPr>
        <w:t> </w:t>
      </w:r>
      <w:r>
        <w:rPr/>
        <w:t>afortunada</w:t>
      </w:r>
      <w:r>
        <w:rPr>
          <w:spacing w:val="-9"/>
        </w:rPr>
        <w:t> </w:t>
      </w:r>
      <w:r>
        <w:rPr/>
        <w:t>de</w:t>
      </w:r>
      <w:r>
        <w:rPr>
          <w:spacing w:val="-9"/>
        </w:rPr>
        <w:t> </w:t>
      </w:r>
      <w:r>
        <w:rPr/>
        <w:t>ser</w:t>
      </w:r>
      <w:r>
        <w:rPr>
          <w:spacing w:val="-9"/>
        </w:rPr>
        <w:t> </w:t>
      </w:r>
      <w:r>
        <w:rPr/>
        <w:t>su</w:t>
      </w:r>
      <w:r>
        <w:rPr>
          <w:spacing w:val="-6"/>
        </w:rPr>
        <w:t> </w:t>
      </w:r>
      <w:r>
        <w:rPr/>
        <w:t>ahijada.</w:t>
      </w:r>
      <w:r>
        <w:rPr>
          <w:spacing w:val="-7"/>
        </w:rPr>
        <w:t> </w:t>
      </w:r>
      <w:r>
        <w:rPr/>
        <w:t>A</w:t>
      </w:r>
      <w:r>
        <w:rPr>
          <w:spacing w:val="-9"/>
        </w:rPr>
        <w:t> </w:t>
      </w:r>
      <w:r>
        <w:rPr/>
        <w:t>mis</w:t>
      </w:r>
      <w:r>
        <w:rPr>
          <w:spacing w:val="-8"/>
        </w:rPr>
        <w:t> </w:t>
      </w:r>
      <w:r>
        <w:rPr/>
        <w:t>abuelitos,</w:t>
      </w:r>
      <w:r>
        <w:rPr>
          <w:spacing w:val="-10"/>
        </w:rPr>
        <w:t> </w:t>
      </w:r>
      <w:r>
        <w:rPr/>
        <w:t>porque</w:t>
      </w:r>
      <w:r>
        <w:rPr>
          <w:spacing w:val="-9"/>
        </w:rPr>
        <w:t> </w:t>
      </w:r>
      <w:r>
        <w:rPr/>
        <w:t>siempre</w:t>
      </w:r>
      <w:r>
        <w:rPr>
          <w:spacing w:val="-10"/>
        </w:rPr>
        <w:t> </w:t>
      </w:r>
      <w:r>
        <w:rPr/>
        <w:t>me</w:t>
      </w:r>
      <w:r>
        <w:rPr>
          <w:spacing w:val="-9"/>
        </w:rPr>
        <w:t> </w:t>
      </w:r>
      <w:r>
        <w:rPr/>
        <w:t>recuerdan</w:t>
      </w:r>
      <w:r>
        <w:rPr>
          <w:spacing w:val="-8"/>
        </w:rPr>
        <w:t> </w:t>
      </w:r>
      <w:r>
        <w:rPr/>
        <w:t>lo orgullosos que están de mí y, con su amor y</w:t>
      </w:r>
      <w:r>
        <w:rPr>
          <w:spacing w:val="-4"/>
        </w:rPr>
        <w:t> </w:t>
      </w:r>
      <w:r>
        <w:rPr/>
        <w:t>sabiduría, me guían en cada paso que </w:t>
      </w:r>
      <w:r>
        <w:rPr>
          <w:spacing w:val="-4"/>
        </w:rPr>
        <w:t>doy.</w:t>
      </w:r>
    </w:p>
    <w:p>
      <w:pPr>
        <w:pStyle w:val="BodyText"/>
        <w:spacing w:line="360" w:lineRule="auto" w:before="242"/>
        <w:ind w:right="850"/>
        <w:jc w:val="both"/>
      </w:pPr>
      <w:r>
        <w:rPr/>
        <w:t>A mi pequeña sobrina Dafne, que, aunque no esté físicamente aquí, siempre la tendré en mi mente y</w:t>
      </w:r>
      <w:r>
        <w:rPr>
          <w:spacing w:val="-3"/>
        </w:rPr>
        <w:t> </w:t>
      </w:r>
      <w:r>
        <w:rPr/>
        <w:t>en mi corazón. Este logro es de cada uno de ustedes, porque con su amor y apoyo han hecho posible que este sueño se haga realidad.</w:t>
      </w:r>
    </w:p>
    <w:p>
      <w:pPr>
        <w:pStyle w:val="BodyText"/>
        <w:spacing w:after="0" w:line="360" w:lineRule="auto"/>
        <w:jc w:val="both"/>
        <w:sectPr>
          <w:footerReference w:type="default" r:id="rId10"/>
          <w:pgSz w:w="11900" w:h="16860"/>
          <w:pgMar w:header="0" w:footer="1060" w:top="1620" w:bottom="1260" w:left="1133" w:right="850"/>
          <w:pgNumType w:start="4"/>
        </w:sectPr>
      </w:pPr>
    </w:p>
    <w:p>
      <w:pPr>
        <w:spacing w:before="70"/>
        <w:ind w:left="1135" w:right="0" w:firstLine="0"/>
        <w:jc w:val="both"/>
        <w:rPr>
          <w:b/>
          <w:sz w:val="24"/>
        </w:rPr>
      </w:pPr>
      <w:r>
        <w:rPr>
          <w:b/>
          <w:sz w:val="24"/>
        </w:rPr>
        <w:t>Bryan</w:t>
      </w:r>
      <w:r>
        <w:rPr>
          <w:b/>
          <w:spacing w:val="-2"/>
          <w:sz w:val="24"/>
        </w:rPr>
        <w:t> </w:t>
      </w:r>
      <w:r>
        <w:rPr>
          <w:b/>
          <w:sz w:val="24"/>
        </w:rPr>
        <w:t>Javier</w:t>
      </w:r>
      <w:r>
        <w:rPr>
          <w:b/>
          <w:spacing w:val="-9"/>
          <w:sz w:val="24"/>
        </w:rPr>
        <w:t> </w:t>
      </w:r>
      <w:r>
        <w:rPr>
          <w:b/>
          <w:sz w:val="24"/>
        </w:rPr>
        <w:t>Carvajal </w:t>
      </w:r>
      <w:r>
        <w:rPr>
          <w:b/>
          <w:spacing w:val="-2"/>
          <w:sz w:val="24"/>
        </w:rPr>
        <w:t>Bermeo</w:t>
      </w:r>
    </w:p>
    <w:p>
      <w:pPr>
        <w:pStyle w:val="BodyText"/>
        <w:spacing w:before="101"/>
        <w:ind w:left="0"/>
        <w:rPr>
          <w:b/>
        </w:rPr>
      </w:pPr>
    </w:p>
    <w:p>
      <w:pPr>
        <w:pStyle w:val="BodyText"/>
        <w:spacing w:line="360" w:lineRule="auto"/>
        <w:ind w:right="851"/>
        <w:jc w:val="both"/>
      </w:pPr>
      <w:r>
        <w:rPr/>
        <w:t>Este trabajo de titulación se lo dedico a Dios por darme la vida y</w:t>
      </w:r>
      <w:r>
        <w:rPr>
          <w:spacing w:val="-3"/>
        </w:rPr>
        <w:t> </w:t>
      </w:r>
      <w:r>
        <w:rPr/>
        <w:t>ser mi guía en el transcurso de mi carrera brindándome sabiduría para culminar con éxito mi meta </w:t>
      </w:r>
      <w:r>
        <w:rPr>
          <w:spacing w:val="-2"/>
        </w:rPr>
        <w:t>propuesta.</w:t>
      </w:r>
    </w:p>
    <w:p>
      <w:pPr>
        <w:pStyle w:val="BodyText"/>
        <w:spacing w:line="360" w:lineRule="auto" w:before="242"/>
        <w:ind w:right="846"/>
        <w:jc w:val="both"/>
      </w:pPr>
      <w:r>
        <w:rPr/>
        <w:t>A</w:t>
      </w:r>
      <w:r>
        <w:rPr>
          <w:spacing w:val="-14"/>
        </w:rPr>
        <w:t> </w:t>
      </w:r>
      <w:r>
        <w:rPr/>
        <w:t>mis</w:t>
      </w:r>
      <w:r>
        <w:rPr>
          <w:spacing w:val="-12"/>
        </w:rPr>
        <w:t> </w:t>
      </w:r>
      <w:r>
        <w:rPr/>
        <w:t>padres</w:t>
      </w:r>
      <w:r>
        <w:rPr>
          <w:spacing w:val="-12"/>
        </w:rPr>
        <w:t> </w:t>
      </w:r>
      <w:r>
        <w:rPr/>
        <w:t>Edgar</w:t>
      </w:r>
      <w:r>
        <w:rPr>
          <w:spacing w:val="-13"/>
        </w:rPr>
        <w:t> </w:t>
      </w:r>
      <w:r>
        <w:rPr/>
        <w:t>Carvajal</w:t>
      </w:r>
      <w:r>
        <w:rPr>
          <w:spacing w:val="-7"/>
        </w:rPr>
        <w:t> </w:t>
      </w:r>
      <w:r>
        <w:rPr/>
        <w:t>y</w:t>
      </w:r>
      <w:r>
        <w:rPr>
          <w:spacing w:val="-15"/>
        </w:rPr>
        <w:t> </w:t>
      </w:r>
      <w:r>
        <w:rPr/>
        <w:t>Martha</w:t>
      </w:r>
      <w:r>
        <w:rPr>
          <w:spacing w:val="-11"/>
        </w:rPr>
        <w:t> </w:t>
      </w:r>
      <w:r>
        <w:rPr/>
        <w:t>Bermeo</w:t>
      </w:r>
      <w:r>
        <w:rPr>
          <w:spacing w:val="-12"/>
        </w:rPr>
        <w:t> </w:t>
      </w:r>
      <w:r>
        <w:rPr/>
        <w:t>por</w:t>
      </w:r>
      <w:r>
        <w:rPr>
          <w:spacing w:val="-11"/>
        </w:rPr>
        <w:t> </w:t>
      </w:r>
      <w:r>
        <w:rPr/>
        <w:t>todo</w:t>
      </w:r>
      <w:r>
        <w:rPr>
          <w:spacing w:val="-12"/>
        </w:rPr>
        <w:t> </w:t>
      </w:r>
      <w:r>
        <w:rPr/>
        <w:t>el</w:t>
      </w:r>
      <w:r>
        <w:rPr>
          <w:spacing w:val="-12"/>
        </w:rPr>
        <w:t> </w:t>
      </w:r>
      <w:r>
        <w:rPr/>
        <w:t>apoyo</w:t>
      </w:r>
      <w:r>
        <w:rPr>
          <w:spacing w:val="-10"/>
        </w:rPr>
        <w:t> </w:t>
      </w:r>
      <w:r>
        <w:rPr/>
        <w:t>incondicional</w:t>
      </w:r>
      <w:r>
        <w:rPr>
          <w:spacing w:val="-12"/>
        </w:rPr>
        <w:t> </w:t>
      </w:r>
      <w:r>
        <w:rPr/>
        <w:t>que me han brindado a lo largo de mis estudios. Sus sacrificios, sus concejos, su paciencia, y</w:t>
      </w:r>
      <w:r>
        <w:rPr>
          <w:spacing w:val="-8"/>
        </w:rPr>
        <w:t> </w:t>
      </w:r>
      <w:r>
        <w:rPr/>
        <w:t>amor</w:t>
      </w:r>
      <w:r>
        <w:rPr>
          <w:spacing w:val="-3"/>
        </w:rPr>
        <w:t> </w:t>
      </w:r>
      <w:r>
        <w:rPr/>
        <w:t>han</w:t>
      </w:r>
      <w:r>
        <w:rPr>
          <w:spacing w:val="-3"/>
        </w:rPr>
        <w:t> </w:t>
      </w:r>
      <w:r>
        <w:rPr/>
        <w:t>sido</w:t>
      </w:r>
      <w:r>
        <w:rPr>
          <w:spacing w:val="-3"/>
        </w:rPr>
        <w:t> </w:t>
      </w:r>
      <w:r>
        <w:rPr/>
        <w:t>fundamentales</w:t>
      </w:r>
      <w:r>
        <w:rPr>
          <w:spacing w:val="-3"/>
        </w:rPr>
        <w:t> </w:t>
      </w:r>
      <w:r>
        <w:rPr/>
        <w:t>para</w:t>
      </w:r>
      <w:r>
        <w:rPr>
          <w:spacing w:val="-5"/>
        </w:rPr>
        <w:t> </w:t>
      </w:r>
      <w:r>
        <w:rPr/>
        <w:t>mi</w:t>
      </w:r>
      <w:r>
        <w:rPr>
          <w:spacing w:val="-2"/>
        </w:rPr>
        <w:t> </w:t>
      </w:r>
      <w:r>
        <w:rPr/>
        <w:t>crecimiento</w:t>
      </w:r>
      <w:r>
        <w:rPr>
          <w:spacing w:val="-3"/>
        </w:rPr>
        <w:t> </w:t>
      </w:r>
      <w:r>
        <w:rPr/>
        <w:t>académico</w:t>
      </w:r>
      <w:r>
        <w:rPr>
          <w:spacing w:val="-3"/>
        </w:rPr>
        <w:t> </w:t>
      </w:r>
      <w:r>
        <w:rPr/>
        <w:t>desde</w:t>
      </w:r>
      <w:r>
        <w:rPr>
          <w:spacing w:val="-4"/>
        </w:rPr>
        <w:t> </w:t>
      </w:r>
      <w:r>
        <w:rPr/>
        <w:t>el principio, me han inspirado con su dedicación y compromiso hacia mi educación han trabajado incansablemente para proporcionarme las herramientas y oportunidades necesarias para</w:t>
      </w:r>
      <w:r>
        <w:rPr>
          <w:spacing w:val="-2"/>
        </w:rPr>
        <w:t> </w:t>
      </w:r>
      <w:r>
        <w:rPr/>
        <w:t>alcanzar</w:t>
      </w:r>
      <w:r>
        <w:rPr>
          <w:spacing w:val="-1"/>
        </w:rPr>
        <w:t> </w:t>
      </w:r>
      <w:r>
        <w:rPr/>
        <w:t>mis metas. Gracias por</w:t>
      </w:r>
      <w:r>
        <w:rPr>
          <w:spacing w:val="-1"/>
        </w:rPr>
        <w:t> </w:t>
      </w:r>
      <w:r>
        <w:rPr/>
        <w:t>creer</w:t>
      </w:r>
      <w:r>
        <w:rPr>
          <w:spacing w:val="-1"/>
        </w:rPr>
        <w:t> </w:t>
      </w:r>
      <w:r>
        <w:rPr/>
        <w:t>en mi incluso cuando dudaba de mis propias habilidades.</w:t>
      </w:r>
    </w:p>
    <w:p>
      <w:pPr>
        <w:pStyle w:val="BodyText"/>
        <w:spacing w:line="360" w:lineRule="auto" w:before="239"/>
        <w:ind w:right="847"/>
        <w:jc w:val="both"/>
      </w:pPr>
      <w:r>
        <w:rPr/>
        <w:t>A</w:t>
      </w:r>
      <w:r>
        <w:rPr>
          <w:spacing w:val="-9"/>
        </w:rPr>
        <w:t> </w:t>
      </w:r>
      <w:r>
        <w:rPr/>
        <w:t>mis</w:t>
      </w:r>
      <w:r>
        <w:rPr>
          <w:spacing w:val="-9"/>
        </w:rPr>
        <w:t> </w:t>
      </w:r>
      <w:r>
        <w:rPr/>
        <w:t>hermanas</w:t>
      </w:r>
      <w:r>
        <w:rPr>
          <w:spacing w:val="-9"/>
        </w:rPr>
        <w:t> </w:t>
      </w:r>
      <w:r>
        <w:rPr/>
        <w:t>Evelyn,</w:t>
      </w:r>
      <w:r>
        <w:rPr>
          <w:spacing w:val="-7"/>
        </w:rPr>
        <w:t> </w:t>
      </w:r>
      <w:r>
        <w:rPr/>
        <w:t>Stefanya,</w:t>
      </w:r>
      <w:r>
        <w:rPr>
          <w:spacing w:val="-9"/>
        </w:rPr>
        <w:t> </w:t>
      </w:r>
      <w:r>
        <w:rPr/>
        <w:t>Katherine</w:t>
      </w:r>
      <w:r>
        <w:rPr>
          <w:spacing w:val="-8"/>
        </w:rPr>
        <w:t> </w:t>
      </w:r>
      <w:r>
        <w:rPr/>
        <w:t>y</w:t>
      </w:r>
      <w:r>
        <w:rPr>
          <w:spacing w:val="-13"/>
        </w:rPr>
        <w:t> </w:t>
      </w:r>
      <w:r>
        <w:rPr/>
        <w:t>Doménica</w:t>
      </w:r>
      <w:r>
        <w:rPr>
          <w:spacing w:val="-9"/>
        </w:rPr>
        <w:t> </w:t>
      </w:r>
      <w:r>
        <w:rPr/>
        <w:t>este</w:t>
      </w:r>
      <w:r>
        <w:rPr>
          <w:spacing w:val="-9"/>
        </w:rPr>
        <w:t> </w:t>
      </w:r>
      <w:r>
        <w:rPr/>
        <w:t>logro</w:t>
      </w:r>
      <w:r>
        <w:rPr>
          <w:spacing w:val="-9"/>
        </w:rPr>
        <w:t> </w:t>
      </w:r>
      <w:r>
        <w:rPr/>
        <w:t>no</w:t>
      </w:r>
      <w:r>
        <w:rPr>
          <w:spacing w:val="-9"/>
        </w:rPr>
        <w:t> </w:t>
      </w:r>
      <w:r>
        <w:rPr/>
        <w:t>es</w:t>
      </w:r>
      <w:r>
        <w:rPr>
          <w:spacing w:val="-9"/>
        </w:rPr>
        <w:t> </w:t>
      </w:r>
      <w:r>
        <w:rPr/>
        <w:t>solo</w:t>
      </w:r>
      <w:r>
        <w:rPr>
          <w:spacing w:val="-9"/>
        </w:rPr>
        <w:t> </w:t>
      </w:r>
      <w:r>
        <w:rPr/>
        <w:t>mío también</w:t>
      </w:r>
      <w:r>
        <w:rPr>
          <w:spacing w:val="-3"/>
        </w:rPr>
        <w:t> </w:t>
      </w:r>
      <w:r>
        <w:rPr/>
        <w:t>les</w:t>
      </w:r>
      <w:r>
        <w:rPr>
          <w:spacing w:val="-3"/>
        </w:rPr>
        <w:t> </w:t>
      </w:r>
      <w:r>
        <w:rPr/>
        <w:t>pertenece</w:t>
      </w:r>
      <w:r>
        <w:rPr>
          <w:spacing w:val="-2"/>
        </w:rPr>
        <w:t> </w:t>
      </w:r>
      <w:r>
        <w:rPr/>
        <w:t>a</w:t>
      </w:r>
      <w:r>
        <w:rPr>
          <w:spacing w:val="-4"/>
        </w:rPr>
        <w:t> </w:t>
      </w:r>
      <w:r>
        <w:rPr/>
        <w:t>ustedes</w:t>
      </w:r>
      <w:r>
        <w:rPr>
          <w:spacing w:val="-3"/>
        </w:rPr>
        <w:t> </w:t>
      </w:r>
      <w:r>
        <w:rPr/>
        <w:t>porque</w:t>
      </w:r>
      <w:r>
        <w:rPr>
          <w:spacing w:val="-3"/>
        </w:rPr>
        <w:t> </w:t>
      </w:r>
      <w:r>
        <w:rPr/>
        <w:t>en</w:t>
      </w:r>
      <w:r>
        <w:rPr>
          <w:spacing w:val="-3"/>
        </w:rPr>
        <w:t> </w:t>
      </w:r>
      <w:r>
        <w:rPr/>
        <w:t>cada</w:t>
      </w:r>
      <w:r>
        <w:rPr>
          <w:spacing w:val="-4"/>
        </w:rPr>
        <w:t> </w:t>
      </w:r>
      <w:r>
        <w:rPr/>
        <w:t>palabra</w:t>
      </w:r>
      <w:r>
        <w:rPr>
          <w:spacing w:val="-5"/>
        </w:rPr>
        <w:t> </w:t>
      </w:r>
      <w:r>
        <w:rPr/>
        <w:t>de</w:t>
      </w:r>
      <w:r>
        <w:rPr>
          <w:spacing w:val="-4"/>
        </w:rPr>
        <w:t> </w:t>
      </w:r>
      <w:r>
        <w:rPr/>
        <w:t>aliento</w:t>
      </w:r>
      <w:r>
        <w:rPr>
          <w:spacing w:val="-3"/>
        </w:rPr>
        <w:t> </w:t>
      </w:r>
      <w:r>
        <w:rPr/>
        <w:t>en</w:t>
      </w:r>
      <w:r>
        <w:rPr>
          <w:spacing w:val="-2"/>
        </w:rPr>
        <w:t> </w:t>
      </w:r>
      <w:r>
        <w:rPr/>
        <w:t>cada</w:t>
      </w:r>
      <w:r>
        <w:rPr>
          <w:spacing w:val="-2"/>
        </w:rPr>
        <w:t> </w:t>
      </w:r>
      <w:r>
        <w:rPr/>
        <w:t>gesto</w:t>
      </w:r>
      <w:r>
        <w:rPr>
          <w:spacing w:val="-3"/>
        </w:rPr>
        <w:t> </w:t>
      </w:r>
      <w:r>
        <w:rPr/>
        <w:t>de apoyo en cada momento compartido encontré la fuerza necesaria para seguir </w:t>
      </w:r>
      <w:r>
        <w:rPr>
          <w:spacing w:val="-2"/>
        </w:rPr>
        <w:t>adelante.</w:t>
      </w:r>
    </w:p>
    <w:p>
      <w:pPr>
        <w:pStyle w:val="BodyText"/>
        <w:spacing w:line="360" w:lineRule="auto" w:before="241"/>
        <w:ind w:right="853"/>
        <w:jc w:val="both"/>
      </w:pPr>
      <w:r>
        <w:rPr/>
        <w:t>Sin</w:t>
      </w:r>
      <w:r>
        <w:rPr>
          <w:spacing w:val="-7"/>
        </w:rPr>
        <w:t> </w:t>
      </w:r>
      <w:r>
        <w:rPr/>
        <w:t>dejar</w:t>
      </w:r>
      <w:r>
        <w:rPr>
          <w:spacing w:val="-7"/>
        </w:rPr>
        <w:t> </w:t>
      </w:r>
      <w:r>
        <w:rPr/>
        <w:t>atrás</w:t>
      </w:r>
      <w:r>
        <w:rPr>
          <w:spacing w:val="-6"/>
        </w:rPr>
        <w:t> </w:t>
      </w:r>
      <w:r>
        <w:rPr/>
        <w:t>a</w:t>
      </w:r>
      <w:r>
        <w:rPr>
          <w:spacing w:val="-8"/>
        </w:rPr>
        <w:t> </w:t>
      </w:r>
      <w:r>
        <w:rPr/>
        <w:t>toda</w:t>
      </w:r>
      <w:r>
        <w:rPr>
          <w:spacing w:val="-7"/>
        </w:rPr>
        <w:t> </w:t>
      </w:r>
      <w:r>
        <w:rPr/>
        <w:t>mi</w:t>
      </w:r>
      <w:r>
        <w:rPr>
          <w:spacing w:val="-7"/>
        </w:rPr>
        <w:t> </w:t>
      </w:r>
      <w:r>
        <w:rPr/>
        <w:t>familia</w:t>
      </w:r>
      <w:r>
        <w:rPr>
          <w:spacing w:val="-8"/>
        </w:rPr>
        <w:t> </w:t>
      </w:r>
      <w:r>
        <w:rPr/>
        <w:t>por</w:t>
      </w:r>
      <w:r>
        <w:rPr>
          <w:spacing w:val="-7"/>
        </w:rPr>
        <w:t> </w:t>
      </w:r>
      <w:r>
        <w:rPr/>
        <w:t>confiar</w:t>
      </w:r>
      <w:r>
        <w:rPr>
          <w:spacing w:val="-7"/>
        </w:rPr>
        <w:t> </w:t>
      </w:r>
      <w:r>
        <w:rPr/>
        <w:t>en</w:t>
      </w:r>
      <w:r>
        <w:rPr>
          <w:spacing w:val="-6"/>
        </w:rPr>
        <w:t> </w:t>
      </w:r>
      <w:r>
        <w:rPr/>
        <w:t>mí,</w:t>
      </w:r>
      <w:r>
        <w:rPr>
          <w:spacing w:val="-6"/>
        </w:rPr>
        <w:t> </w:t>
      </w:r>
      <w:r>
        <w:rPr/>
        <w:t>a</w:t>
      </w:r>
      <w:r>
        <w:rPr>
          <w:spacing w:val="-8"/>
        </w:rPr>
        <w:t> </w:t>
      </w:r>
      <w:r>
        <w:rPr/>
        <w:t>mi</w:t>
      </w:r>
      <w:r>
        <w:rPr>
          <w:spacing w:val="-7"/>
        </w:rPr>
        <w:t> </w:t>
      </w:r>
      <w:r>
        <w:rPr/>
        <w:t>abuelita</w:t>
      </w:r>
      <w:r>
        <w:rPr>
          <w:spacing w:val="-8"/>
        </w:rPr>
        <w:t> </w:t>
      </w:r>
      <w:r>
        <w:rPr/>
        <w:t>paterna</w:t>
      </w:r>
      <w:r>
        <w:rPr>
          <w:spacing w:val="-5"/>
        </w:rPr>
        <w:t> </w:t>
      </w:r>
      <w:r>
        <w:rPr/>
        <w:t>Inés</w:t>
      </w:r>
      <w:r>
        <w:rPr>
          <w:spacing w:val="-6"/>
        </w:rPr>
        <w:t> </w:t>
      </w:r>
      <w:r>
        <w:rPr/>
        <w:t>Mejía por ser un pilar fundamental importante en mi vida su presencia ha sido un regalo invaluable en mi vida. A mi tío Patricio Carvajal por su cariño, por su apoyo incondicional sus palabras fueron vitales a mi familia paterna por el amor y el respaldo de la familia son la base de todo sueño alcanzado.</w:t>
      </w:r>
    </w:p>
    <w:p>
      <w:pPr>
        <w:pStyle w:val="BodyText"/>
        <w:spacing w:line="360" w:lineRule="auto" w:before="239"/>
        <w:ind w:right="848"/>
        <w:jc w:val="both"/>
      </w:pPr>
      <w:r>
        <w:rPr/>
        <w:t>Y al final, pero sin ser menos importante a mi gran amiga Milenna Cáceres me siento tan afortunado de tenerle en mi vida, de poder compartir mis alegrías y</w:t>
      </w:r>
      <w:r>
        <w:rPr>
          <w:spacing w:val="-4"/>
        </w:rPr>
        <w:t> </w:t>
      </w:r>
      <w:r>
        <w:rPr/>
        <w:t>mis tristezas, de poder reír y llorar esta tesis lleva una parte de ella porque sin sus concejos,</w:t>
      </w:r>
      <w:r>
        <w:rPr>
          <w:spacing w:val="-15"/>
        </w:rPr>
        <w:t> </w:t>
      </w:r>
      <w:r>
        <w:rPr/>
        <w:t>sin</w:t>
      </w:r>
      <w:r>
        <w:rPr>
          <w:spacing w:val="-15"/>
        </w:rPr>
        <w:t> </w:t>
      </w:r>
      <w:r>
        <w:rPr/>
        <w:t>su</w:t>
      </w:r>
      <w:r>
        <w:rPr>
          <w:spacing w:val="-15"/>
        </w:rPr>
        <w:t> </w:t>
      </w:r>
      <w:r>
        <w:rPr/>
        <w:t>compañía,</w:t>
      </w:r>
      <w:r>
        <w:rPr>
          <w:spacing w:val="-15"/>
        </w:rPr>
        <w:t> </w:t>
      </w:r>
      <w:r>
        <w:rPr/>
        <w:t>y</w:t>
      </w:r>
      <w:r>
        <w:rPr>
          <w:spacing w:val="-15"/>
        </w:rPr>
        <w:t> </w:t>
      </w:r>
      <w:r>
        <w:rPr/>
        <w:t>su</w:t>
      </w:r>
      <w:r>
        <w:rPr>
          <w:spacing w:val="-14"/>
        </w:rPr>
        <w:t> </w:t>
      </w:r>
      <w:r>
        <w:rPr/>
        <w:t>cariño,</w:t>
      </w:r>
      <w:r>
        <w:rPr>
          <w:spacing w:val="-15"/>
        </w:rPr>
        <w:t> </w:t>
      </w:r>
      <w:r>
        <w:rPr/>
        <w:t>nada</w:t>
      </w:r>
      <w:r>
        <w:rPr>
          <w:spacing w:val="-15"/>
        </w:rPr>
        <w:t> </w:t>
      </w:r>
      <w:r>
        <w:rPr/>
        <w:t>de</w:t>
      </w:r>
      <w:r>
        <w:rPr>
          <w:spacing w:val="-15"/>
        </w:rPr>
        <w:t> </w:t>
      </w:r>
      <w:r>
        <w:rPr/>
        <w:t>esto</w:t>
      </w:r>
      <w:r>
        <w:rPr>
          <w:spacing w:val="-14"/>
        </w:rPr>
        <w:t> </w:t>
      </w:r>
      <w:r>
        <w:rPr/>
        <w:t>habría</w:t>
      </w:r>
      <w:r>
        <w:rPr>
          <w:spacing w:val="-15"/>
        </w:rPr>
        <w:t> </w:t>
      </w:r>
      <w:r>
        <w:rPr/>
        <w:t>sido</w:t>
      </w:r>
      <w:r>
        <w:rPr>
          <w:spacing w:val="-14"/>
        </w:rPr>
        <w:t> </w:t>
      </w:r>
      <w:r>
        <w:rPr/>
        <w:t>igual</w:t>
      </w:r>
      <w:r>
        <w:rPr>
          <w:spacing w:val="-14"/>
        </w:rPr>
        <w:t> </w:t>
      </w:r>
      <w:r>
        <w:rPr/>
        <w:t>hoy</w:t>
      </w:r>
      <w:r>
        <w:rPr>
          <w:spacing w:val="-15"/>
        </w:rPr>
        <w:t> </w:t>
      </w:r>
      <w:r>
        <w:rPr/>
        <w:t>solamente me</w:t>
      </w:r>
      <w:r>
        <w:rPr>
          <w:spacing w:val="-11"/>
        </w:rPr>
        <w:t> </w:t>
      </w:r>
      <w:r>
        <w:rPr/>
        <w:t>queda</w:t>
      </w:r>
      <w:r>
        <w:rPr>
          <w:spacing w:val="-12"/>
        </w:rPr>
        <w:t> </w:t>
      </w:r>
      <w:r>
        <w:rPr/>
        <w:t>agradecerle</w:t>
      </w:r>
      <w:r>
        <w:rPr>
          <w:spacing w:val="-12"/>
        </w:rPr>
        <w:t> </w:t>
      </w:r>
      <w:r>
        <w:rPr/>
        <w:t>por</w:t>
      </w:r>
      <w:r>
        <w:rPr>
          <w:spacing w:val="-9"/>
        </w:rPr>
        <w:t> </w:t>
      </w:r>
      <w:r>
        <w:rPr/>
        <w:t>todo</w:t>
      </w:r>
      <w:r>
        <w:rPr>
          <w:spacing w:val="-10"/>
        </w:rPr>
        <w:t> </w:t>
      </w:r>
      <w:r>
        <w:rPr/>
        <w:t>por</w:t>
      </w:r>
      <w:r>
        <w:rPr>
          <w:spacing w:val="-11"/>
        </w:rPr>
        <w:t> </w:t>
      </w:r>
      <w:r>
        <w:rPr/>
        <w:t>siempre</w:t>
      </w:r>
      <w:r>
        <w:rPr>
          <w:spacing w:val="-12"/>
        </w:rPr>
        <w:t> </w:t>
      </w:r>
      <w:r>
        <w:rPr/>
        <w:t>ponerse</w:t>
      </w:r>
      <w:r>
        <w:rPr>
          <w:spacing w:val="-12"/>
        </w:rPr>
        <w:t> </w:t>
      </w:r>
      <w:r>
        <w:rPr/>
        <w:t>alegre,</w:t>
      </w:r>
      <w:r>
        <w:rPr>
          <w:spacing w:val="-11"/>
        </w:rPr>
        <w:t> </w:t>
      </w:r>
      <w:r>
        <w:rPr/>
        <w:t>feliz</w:t>
      </w:r>
      <w:r>
        <w:rPr>
          <w:spacing w:val="-7"/>
        </w:rPr>
        <w:t> </w:t>
      </w:r>
      <w:r>
        <w:rPr/>
        <w:t>y</w:t>
      </w:r>
      <w:r>
        <w:rPr>
          <w:spacing w:val="-13"/>
        </w:rPr>
        <w:t> </w:t>
      </w:r>
      <w:r>
        <w:rPr/>
        <w:t>contenta</w:t>
      </w:r>
      <w:r>
        <w:rPr>
          <w:spacing w:val="-9"/>
        </w:rPr>
        <w:t> </w:t>
      </w:r>
      <w:r>
        <w:rPr/>
        <w:t>por</w:t>
      </w:r>
      <w:r>
        <w:rPr>
          <w:spacing w:val="-11"/>
        </w:rPr>
        <w:t> </w:t>
      </w:r>
      <w:r>
        <w:rPr/>
        <w:t>este </w:t>
      </w:r>
      <w:r>
        <w:rPr>
          <w:spacing w:val="-2"/>
        </w:rPr>
        <w:t>logro.</w:t>
      </w:r>
    </w:p>
    <w:p>
      <w:pPr>
        <w:pStyle w:val="BodyText"/>
        <w:spacing w:after="0" w:line="360" w:lineRule="auto"/>
        <w:jc w:val="both"/>
        <w:sectPr>
          <w:pgSz w:w="11900" w:h="16860"/>
          <w:pgMar w:header="0" w:footer="1060" w:top="1620" w:bottom="1260" w:left="1133" w:right="850"/>
        </w:sectPr>
      </w:pPr>
    </w:p>
    <w:p>
      <w:pPr>
        <w:spacing w:before="70"/>
        <w:ind w:left="514" w:right="228" w:firstLine="0"/>
        <w:jc w:val="center"/>
        <w:rPr>
          <w:b/>
          <w:sz w:val="24"/>
        </w:rPr>
      </w:pPr>
      <w:r>
        <w:rPr>
          <w:b/>
          <w:spacing w:val="-2"/>
          <w:sz w:val="24"/>
        </w:rPr>
        <w:t>AGRADECIMIENTO</w:t>
      </w:r>
    </w:p>
    <w:p>
      <w:pPr>
        <w:pStyle w:val="BodyText"/>
        <w:spacing w:before="101"/>
        <w:ind w:left="0"/>
        <w:rPr>
          <w:b/>
        </w:rPr>
      </w:pPr>
    </w:p>
    <w:p>
      <w:pPr>
        <w:spacing w:before="0"/>
        <w:ind w:left="1135" w:right="0" w:firstLine="0"/>
        <w:jc w:val="both"/>
        <w:rPr>
          <w:b/>
          <w:sz w:val="24"/>
        </w:rPr>
      </w:pPr>
      <w:r>
        <w:rPr>
          <w:b/>
          <w:sz w:val="24"/>
        </w:rPr>
        <w:t>Evelyn</w:t>
      </w:r>
      <w:r>
        <w:rPr>
          <w:b/>
          <w:spacing w:val="-15"/>
          <w:sz w:val="24"/>
        </w:rPr>
        <w:t> </w:t>
      </w:r>
      <w:r>
        <w:rPr>
          <w:b/>
          <w:sz w:val="24"/>
        </w:rPr>
        <w:t>Adriana</w:t>
      </w:r>
      <w:r>
        <w:rPr>
          <w:b/>
          <w:spacing w:val="-12"/>
          <w:sz w:val="24"/>
        </w:rPr>
        <w:t> </w:t>
      </w:r>
      <w:r>
        <w:rPr>
          <w:b/>
          <w:sz w:val="24"/>
        </w:rPr>
        <w:t>Gaibor</w:t>
      </w:r>
      <w:r>
        <w:rPr>
          <w:b/>
          <w:spacing w:val="-16"/>
          <w:sz w:val="24"/>
        </w:rPr>
        <w:t> </w:t>
      </w:r>
      <w:r>
        <w:rPr>
          <w:b/>
          <w:spacing w:val="-2"/>
          <w:sz w:val="24"/>
        </w:rPr>
        <w:t>Yanza</w:t>
      </w:r>
    </w:p>
    <w:p>
      <w:pPr>
        <w:pStyle w:val="BodyText"/>
        <w:spacing w:before="103"/>
        <w:ind w:left="0"/>
        <w:rPr>
          <w:b/>
        </w:rPr>
      </w:pPr>
    </w:p>
    <w:p>
      <w:pPr>
        <w:pStyle w:val="BodyText"/>
        <w:spacing w:line="360" w:lineRule="auto" w:before="1"/>
        <w:ind w:right="851"/>
        <w:jc w:val="both"/>
      </w:pPr>
      <w:r>
        <w:rPr/>
        <w:t>Con infinita gratitud a Dios, por cada una de las cosas que puso en mi camino: mi familia, mis amigos, los días buenos e incluso los días malos, porque a través de ellos</w:t>
      </w:r>
      <w:r>
        <w:rPr>
          <w:spacing w:val="-6"/>
        </w:rPr>
        <w:t> </w:t>
      </w:r>
      <w:r>
        <w:rPr/>
        <w:t>me</w:t>
      </w:r>
      <w:r>
        <w:rPr>
          <w:spacing w:val="-6"/>
        </w:rPr>
        <w:t> </w:t>
      </w:r>
      <w:r>
        <w:rPr/>
        <w:t>ha</w:t>
      </w:r>
      <w:r>
        <w:rPr>
          <w:spacing w:val="-7"/>
        </w:rPr>
        <w:t> </w:t>
      </w:r>
      <w:r>
        <w:rPr/>
        <w:t>demostrado</w:t>
      </w:r>
      <w:r>
        <w:rPr>
          <w:spacing w:val="-4"/>
        </w:rPr>
        <w:t> </w:t>
      </w:r>
      <w:r>
        <w:rPr/>
        <w:t>lo</w:t>
      </w:r>
      <w:r>
        <w:rPr>
          <w:spacing w:val="-5"/>
        </w:rPr>
        <w:t> </w:t>
      </w:r>
      <w:r>
        <w:rPr/>
        <w:t>fuerte</w:t>
      </w:r>
      <w:r>
        <w:rPr>
          <w:spacing w:val="-3"/>
        </w:rPr>
        <w:t> </w:t>
      </w:r>
      <w:r>
        <w:rPr/>
        <w:t>y</w:t>
      </w:r>
      <w:r>
        <w:rPr>
          <w:spacing w:val="-8"/>
        </w:rPr>
        <w:t> </w:t>
      </w:r>
      <w:r>
        <w:rPr/>
        <w:t>capaz</w:t>
      </w:r>
      <w:r>
        <w:rPr>
          <w:spacing w:val="-5"/>
        </w:rPr>
        <w:t> </w:t>
      </w:r>
      <w:r>
        <w:rPr/>
        <w:t>que</w:t>
      </w:r>
      <w:r>
        <w:rPr>
          <w:spacing w:val="-7"/>
        </w:rPr>
        <w:t> </w:t>
      </w:r>
      <w:r>
        <w:rPr/>
        <w:t>soy,</w:t>
      </w:r>
      <w:r>
        <w:rPr>
          <w:spacing w:val="-3"/>
        </w:rPr>
        <w:t> </w:t>
      </w:r>
      <w:r>
        <w:rPr/>
        <w:t>y</w:t>
      </w:r>
      <w:r>
        <w:rPr>
          <w:spacing w:val="-8"/>
        </w:rPr>
        <w:t> </w:t>
      </w:r>
      <w:r>
        <w:rPr/>
        <w:t>las</w:t>
      </w:r>
      <w:r>
        <w:rPr>
          <w:spacing w:val="-3"/>
        </w:rPr>
        <w:t> </w:t>
      </w:r>
      <w:r>
        <w:rPr/>
        <w:t>grandes</w:t>
      </w:r>
      <w:r>
        <w:rPr>
          <w:spacing w:val="-3"/>
        </w:rPr>
        <w:t> </w:t>
      </w:r>
      <w:r>
        <w:rPr/>
        <w:t>virtudes</w:t>
      </w:r>
      <w:r>
        <w:rPr>
          <w:spacing w:val="-6"/>
        </w:rPr>
        <w:t> </w:t>
      </w:r>
      <w:r>
        <w:rPr/>
        <w:t>que</w:t>
      </w:r>
      <w:r>
        <w:rPr>
          <w:spacing w:val="-7"/>
        </w:rPr>
        <w:t> </w:t>
      </w:r>
      <w:r>
        <w:rPr/>
        <w:t>Él</w:t>
      </w:r>
      <w:r>
        <w:rPr>
          <w:spacing w:val="-6"/>
        </w:rPr>
        <w:t> </w:t>
      </w:r>
      <w:r>
        <w:rPr/>
        <w:t>me ha concedido.</w:t>
      </w:r>
    </w:p>
    <w:p>
      <w:pPr>
        <w:pStyle w:val="BodyText"/>
        <w:spacing w:line="360" w:lineRule="auto" w:before="240"/>
        <w:ind w:right="850"/>
        <w:jc w:val="both"/>
      </w:pPr>
      <w:r>
        <w:rPr/>
        <w:t>Gracias a mis padres por cada uno de sus consejos, por su apoyo inquebrantable y por enseñarme valores que han sido fundamentales en mi formación académica y </w:t>
      </w:r>
      <w:r>
        <w:rPr>
          <w:spacing w:val="-2"/>
        </w:rPr>
        <w:t>personal.</w:t>
      </w:r>
    </w:p>
    <w:p>
      <w:pPr>
        <w:pStyle w:val="BodyText"/>
        <w:spacing w:line="360" w:lineRule="auto" w:before="239"/>
        <w:ind w:right="851"/>
        <w:jc w:val="both"/>
      </w:pPr>
      <w:r>
        <w:rPr/>
        <w:t>A mis compañeros de desvelo, mi pequeña familia: mis pequeñas niñas y mi prometido, quienes con su hermosa sonrisa han borrado de mi mente todo pensamiento negativo, el estrés y el cansancio. Gracias por animarme y</w:t>
      </w:r>
      <w:r>
        <w:rPr>
          <w:spacing w:val="-1"/>
        </w:rPr>
        <w:t> </w:t>
      </w:r>
      <w:r>
        <w:rPr/>
        <w:t>darme las fuerzas necesarias para seguir luchando.</w:t>
      </w:r>
    </w:p>
    <w:p>
      <w:pPr>
        <w:pStyle w:val="BodyText"/>
        <w:spacing w:line="360" w:lineRule="auto" w:before="241"/>
        <w:ind w:right="851"/>
        <w:jc w:val="both"/>
      </w:pPr>
      <w:r>
        <w:rPr/>
        <w:t>A mis hermanos, quienes constantemente, con sus ocurrencias y momentos en familia, me han brindado motivos para mantenerme de pie.</w:t>
      </w:r>
    </w:p>
    <w:p>
      <w:pPr>
        <w:pStyle w:val="BodyText"/>
        <w:spacing w:line="360" w:lineRule="auto" w:before="240"/>
        <w:ind w:right="846"/>
        <w:jc w:val="both"/>
      </w:pPr>
      <w:r>
        <w:rPr/>
        <w:t>A</w:t>
      </w:r>
      <w:r>
        <w:rPr>
          <w:spacing w:val="-14"/>
        </w:rPr>
        <w:t> </w:t>
      </w:r>
      <w:r>
        <w:rPr/>
        <w:t>mis</w:t>
      </w:r>
      <w:r>
        <w:rPr>
          <w:spacing w:val="-13"/>
        </w:rPr>
        <w:t> </w:t>
      </w:r>
      <w:r>
        <w:rPr/>
        <w:t>suegros,</w:t>
      </w:r>
      <w:r>
        <w:rPr>
          <w:spacing w:val="-14"/>
        </w:rPr>
        <w:t> </w:t>
      </w:r>
      <w:r>
        <w:rPr/>
        <w:t>por</w:t>
      </w:r>
      <w:r>
        <w:rPr>
          <w:spacing w:val="-14"/>
        </w:rPr>
        <w:t> </w:t>
      </w:r>
      <w:r>
        <w:rPr/>
        <w:t>su</w:t>
      </w:r>
      <w:r>
        <w:rPr>
          <w:spacing w:val="-13"/>
        </w:rPr>
        <w:t> </w:t>
      </w:r>
      <w:r>
        <w:rPr/>
        <w:t>apoyo</w:t>
      </w:r>
      <w:r>
        <w:rPr>
          <w:spacing w:val="-11"/>
        </w:rPr>
        <w:t> </w:t>
      </w:r>
      <w:r>
        <w:rPr/>
        <w:t>durante</w:t>
      </w:r>
      <w:r>
        <w:rPr>
          <w:spacing w:val="-14"/>
        </w:rPr>
        <w:t> </w:t>
      </w:r>
      <w:r>
        <w:rPr/>
        <w:t>toda</w:t>
      </w:r>
      <w:r>
        <w:rPr>
          <w:spacing w:val="-14"/>
        </w:rPr>
        <w:t> </w:t>
      </w:r>
      <w:r>
        <w:rPr/>
        <w:t>mi</w:t>
      </w:r>
      <w:r>
        <w:rPr>
          <w:spacing w:val="-12"/>
        </w:rPr>
        <w:t> </w:t>
      </w:r>
      <w:r>
        <w:rPr/>
        <w:t>carrera;</w:t>
      </w:r>
      <w:r>
        <w:rPr>
          <w:spacing w:val="-13"/>
        </w:rPr>
        <w:t> </w:t>
      </w:r>
      <w:r>
        <w:rPr/>
        <w:t>en</w:t>
      </w:r>
      <w:r>
        <w:rPr>
          <w:spacing w:val="-13"/>
        </w:rPr>
        <w:t> </w:t>
      </w:r>
      <w:r>
        <w:rPr/>
        <w:t>especial</w:t>
      </w:r>
      <w:r>
        <w:rPr>
          <w:spacing w:val="-13"/>
        </w:rPr>
        <w:t> </w:t>
      </w:r>
      <w:r>
        <w:rPr/>
        <w:t>a</w:t>
      </w:r>
      <w:r>
        <w:rPr>
          <w:spacing w:val="-14"/>
        </w:rPr>
        <w:t> </w:t>
      </w:r>
      <w:r>
        <w:rPr/>
        <w:t>mi</w:t>
      </w:r>
      <w:r>
        <w:rPr>
          <w:spacing w:val="-12"/>
        </w:rPr>
        <w:t> </w:t>
      </w:r>
      <w:r>
        <w:rPr/>
        <w:t>suegro,</w:t>
      </w:r>
      <w:r>
        <w:rPr>
          <w:spacing w:val="-13"/>
        </w:rPr>
        <w:t> </w:t>
      </w:r>
      <w:r>
        <w:rPr/>
        <w:t>Javier Ramírez, quien me ha brindado su ayuda en distintas situaciones que han sido de gran importancia para mí.</w:t>
      </w:r>
    </w:p>
    <w:p>
      <w:pPr>
        <w:pStyle w:val="BodyText"/>
        <w:spacing w:line="360" w:lineRule="auto" w:before="239"/>
        <w:ind w:right="850"/>
        <w:jc w:val="both"/>
      </w:pPr>
      <w:r>
        <w:rPr/>
        <w:t>A mis cuatro abuelitos, mis pilares fundamentales, gracias por estar siempre dándome</w:t>
      </w:r>
      <w:r>
        <w:rPr>
          <w:spacing w:val="-7"/>
        </w:rPr>
        <w:t> </w:t>
      </w:r>
      <w:r>
        <w:rPr/>
        <w:t>palabras</w:t>
      </w:r>
      <w:r>
        <w:rPr>
          <w:spacing w:val="-7"/>
        </w:rPr>
        <w:t> </w:t>
      </w:r>
      <w:r>
        <w:rPr/>
        <w:t>de</w:t>
      </w:r>
      <w:r>
        <w:rPr>
          <w:spacing w:val="-8"/>
        </w:rPr>
        <w:t> </w:t>
      </w:r>
      <w:r>
        <w:rPr/>
        <w:t>aliento,</w:t>
      </w:r>
      <w:r>
        <w:rPr>
          <w:spacing w:val="-6"/>
        </w:rPr>
        <w:t> </w:t>
      </w:r>
      <w:r>
        <w:rPr/>
        <w:t>recordándome</w:t>
      </w:r>
      <w:r>
        <w:rPr>
          <w:spacing w:val="-8"/>
        </w:rPr>
        <w:t> </w:t>
      </w:r>
      <w:r>
        <w:rPr/>
        <w:t>que</w:t>
      </w:r>
      <w:r>
        <w:rPr>
          <w:spacing w:val="-8"/>
        </w:rPr>
        <w:t> </w:t>
      </w:r>
      <w:r>
        <w:rPr/>
        <w:t>me</w:t>
      </w:r>
      <w:r>
        <w:rPr>
          <w:spacing w:val="-10"/>
        </w:rPr>
        <w:t> </w:t>
      </w:r>
      <w:r>
        <w:rPr/>
        <w:t>quieren</w:t>
      </w:r>
      <w:r>
        <w:rPr>
          <w:spacing w:val="-4"/>
        </w:rPr>
        <w:t> </w:t>
      </w:r>
      <w:r>
        <w:rPr/>
        <w:t>y</w:t>
      </w:r>
      <w:r>
        <w:rPr>
          <w:spacing w:val="-12"/>
        </w:rPr>
        <w:t> </w:t>
      </w:r>
      <w:r>
        <w:rPr/>
        <w:t>que</w:t>
      </w:r>
      <w:r>
        <w:rPr>
          <w:spacing w:val="-8"/>
        </w:rPr>
        <w:t> </w:t>
      </w:r>
      <w:r>
        <w:rPr/>
        <w:t>están</w:t>
      </w:r>
      <w:r>
        <w:rPr>
          <w:spacing w:val="-7"/>
        </w:rPr>
        <w:t> </w:t>
      </w:r>
      <w:r>
        <w:rPr/>
        <w:t>orgullosos de</w:t>
      </w:r>
      <w:r>
        <w:rPr>
          <w:spacing w:val="-8"/>
        </w:rPr>
        <w:t> </w:t>
      </w:r>
      <w:r>
        <w:rPr/>
        <w:t>mí.</w:t>
      </w:r>
      <w:r>
        <w:rPr>
          <w:spacing w:val="-7"/>
        </w:rPr>
        <w:t> </w:t>
      </w:r>
      <w:r>
        <w:rPr/>
        <w:t>Agradezco</w:t>
      </w:r>
      <w:r>
        <w:rPr>
          <w:spacing w:val="-7"/>
        </w:rPr>
        <w:t> </w:t>
      </w:r>
      <w:r>
        <w:rPr/>
        <w:t>profundamente</w:t>
      </w:r>
      <w:r>
        <w:rPr>
          <w:spacing w:val="-8"/>
        </w:rPr>
        <w:t> </w:t>
      </w:r>
      <w:r>
        <w:rPr/>
        <w:t>que</w:t>
      </w:r>
      <w:r>
        <w:rPr>
          <w:spacing w:val="-6"/>
        </w:rPr>
        <w:t> </w:t>
      </w:r>
      <w:r>
        <w:rPr/>
        <w:t>sigan</w:t>
      </w:r>
      <w:r>
        <w:rPr>
          <w:spacing w:val="-8"/>
        </w:rPr>
        <w:t> </w:t>
      </w:r>
      <w:r>
        <w:rPr/>
        <w:t>a</w:t>
      </w:r>
      <w:r>
        <w:rPr>
          <w:spacing w:val="-6"/>
        </w:rPr>
        <w:t> </w:t>
      </w:r>
      <w:r>
        <w:rPr/>
        <w:t>mi</w:t>
      </w:r>
      <w:r>
        <w:rPr>
          <w:spacing w:val="-7"/>
        </w:rPr>
        <w:t> </w:t>
      </w:r>
      <w:r>
        <w:rPr/>
        <w:t>lado</w:t>
      </w:r>
      <w:r>
        <w:rPr>
          <w:spacing w:val="-3"/>
        </w:rPr>
        <w:t> </w:t>
      </w:r>
      <w:r>
        <w:rPr/>
        <w:t>y</w:t>
      </w:r>
      <w:r>
        <w:rPr>
          <w:spacing w:val="-13"/>
        </w:rPr>
        <w:t> </w:t>
      </w:r>
      <w:r>
        <w:rPr/>
        <w:t>poder</w:t>
      </w:r>
      <w:r>
        <w:rPr>
          <w:spacing w:val="-8"/>
        </w:rPr>
        <w:t> </w:t>
      </w:r>
      <w:r>
        <w:rPr/>
        <w:t>contar</w:t>
      </w:r>
      <w:r>
        <w:rPr>
          <w:spacing w:val="-8"/>
        </w:rPr>
        <w:t> </w:t>
      </w:r>
      <w:r>
        <w:rPr/>
        <w:t>con</w:t>
      </w:r>
      <w:r>
        <w:rPr>
          <w:spacing w:val="-5"/>
        </w:rPr>
        <w:t> </w:t>
      </w:r>
      <w:r>
        <w:rPr/>
        <w:t>los</w:t>
      </w:r>
      <w:r>
        <w:rPr>
          <w:spacing w:val="-7"/>
        </w:rPr>
        <w:t> </w:t>
      </w:r>
      <w:r>
        <w:rPr/>
        <w:t>cuatro para escuchar cada una de sus enseñanzas.</w:t>
      </w:r>
    </w:p>
    <w:p>
      <w:pPr>
        <w:pStyle w:val="BodyText"/>
        <w:spacing w:line="360" w:lineRule="auto" w:before="240"/>
        <w:ind w:right="851"/>
        <w:jc w:val="both"/>
      </w:pPr>
      <w:r>
        <w:rPr/>
        <w:t>A</w:t>
      </w:r>
      <w:r>
        <w:rPr>
          <w:spacing w:val="-2"/>
        </w:rPr>
        <w:t> </w:t>
      </w:r>
      <w:r>
        <w:rPr/>
        <w:t>mi</w:t>
      </w:r>
      <w:r>
        <w:rPr>
          <w:spacing w:val="-1"/>
        </w:rPr>
        <w:t> </w:t>
      </w:r>
      <w:r>
        <w:rPr/>
        <w:t>tutor</w:t>
      </w:r>
      <w:r>
        <w:rPr>
          <w:spacing w:val="-2"/>
        </w:rPr>
        <w:t> </w:t>
      </w:r>
      <w:r>
        <w:rPr/>
        <w:t>de</w:t>
      </w:r>
      <w:r>
        <w:rPr>
          <w:spacing w:val="-2"/>
        </w:rPr>
        <w:t> </w:t>
      </w:r>
      <w:r>
        <w:rPr/>
        <w:t>tesis,</w:t>
      </w:r>
      <w:r>
        <w:rPr>
          <w:spacing w:val="-1"/>
        </w:rPr>
        <w:t> </w:t>
      </w:r>
      <w:r>
        <w:rPr/>
        <w:t>Franco</w:t>
      </w:r>
      <w:r>
        <w:rPr>
          <w:spacing w:val="-1"/>
        </w:rPr>
        <w:t> </w:t>
      </w:r>
      <w:r>
        <w:rPr/>
        <w:t>Cordero,</w:t>
      </w:r>
      <w:r>
        <w:rPr>
          <w:spacing w:val="-2"/>
        </w:rPr>
        <w:t> </w:t>
      </w:r>
      <w:r>
        <w:rPr/>
        <w:t>quien</w:t>
      </w:r>
      <w:r>
        <w:rPr>
          <w:spacing w:val="-2"/>
        </w:rPr>
        <w:t> </w:t>
      </w:r>
      <w:r>
        <w:rPr/>
        <w:t>con</w:t>
      </w:r>
      <w:r>
        <w:rPr>
          <w:spacing w:val="-1"/>
        </w:rPr>
        <w:t> </w:t>
      </w:r>
      <w:r>
        <w:rPr/>
        <w:t>su conocimiento y</w:t>
      </w:r>
      <w:r>
        <w:rPr>
          <w:spacing w:val="-4"/>
        </w:rPr>
        <w:t> </w:t>
      </w:r>
      <w:r>
        <w:rPr/>
        <w:t>guía</w:t>
      </w:r>
      <w:r>
        <w:rPr>
          <w:spacing w:val="-2"/>
        </w:rPr>
        <w:t> </w:t>
      </w:r>
      <w:r>
        <w:rPr/>
        <w:t>profesional en</w:t>
      </w:r>
      <w:r>
        <w:rPr>
          <w:spacing w:val="-13"/>
        </w:rPr>
        <w:t> </w:t>
      </w:r>
      <w:r>
        <w:rPr/>
        <w:t>el</w:t>
      </w:r>
      <w:r>
        <w:rPr>
          <w:spacing w:val="-13"/>
        </w:rPr>
        <w:t> </w:t>
      </w:r>
      <w:r>
        <w:rPr/>
        <w:t>desarrollo</w:t>
      </w:r>
      <w:r>
        <w:rPr>
          <w:spacing w:val="-13"/>
        </w:rPr>
        <w:t> </w:t>
      </w:r>
      <w:r>
        <w:rPr/>
        <w:t>de</w:t>
      </w:r>
      <w:r>
        <w:rPr>
          <w:spacing w:val="-12"/>
        </w:rPr>
        <w:t> </w:t>
      </w:r>
      <w:r>
        <w:rPr/>
        <w:t>esta</w:t>
      </w:r>
      <w:r>
        <w:rPr>
          <w:spacing w:val="-13"/>
        </w:rPr>
        <w:t> </w:t>
      </w:r>
      <w:r>
        <w:rPr/>
        <w:t>investigación</w:t>
      </w:r>
      <w:r>
        <w:rPr>
          <w:spacing w:val="-13"/>
        </w:rPr>
        <w:t> </w:t>
      </w:r>
      <w:r>
        <w:rPr/>
        <w:t>ha</w:t>
      </w:r>
      <w:r>
        <w:rPr>
          <w:spacing w:val="-14"/>
        </w:rPr>
        <w:t> </w:t>
      </w:r>
      <w:r>
        <w:rPr/>
        <w:t>sido</w:t>
      </w:r>
      <w:r>
        <w:rPr>
          <w:spacing w:val="-10"/>
        </w:rPr>
        <w:t> </w:t>
      </w:r>
      <w:r>
        <w:rPr/>
        <w:t>parte</w:t>
      </w:r>
      <w:r>
        <w:rPr>
          <w:spacing w:val="-10"/>
        </w:rPr>
        <w:t> </w:t>
      </w:r>
      <w:r>
        <w:rPr/>
        <w:t>fundamental</w:t>
      </w:r>
      <w:r>
        <w:rPr>
          <w:spacing w:val="-13"/>
        </w:rPr>
        <w:t> </w:t>
      </w:r>
      <w:r>
        <w:rPr/>
        <w:t>para</w:t>
      </w:r>
      <w:r>
        <w:rPr>
          <w:spacing w:val="-13"/>
        </w:rPr>
        <w:t> </w:t>
      </w:r>
      <w:r>
        <w:rPr/>
        <w:t>la</w:t>
      </w:r>
      <w:r>
        <w:rPr>
          <w:spacing w:val="-14"/>
        </w:rPr>
        <w:t> </w:t>
      </w:r>
      <w:r>
        <w:rPr/>
        <w:t>culminación exitosa de este trabajo.</w:t>
      </w:r>
    </w:p>
    <w:p>
      <w:pPr>
        <w:pStyle w:val="BodyText"/>
        <w:spacing w:line="360" w:lineRule="auto" w:before="242"/>
        <w:ind w:right="847"/>
        <w:jc w:val="both"/>
      </w:pPr>
      <w:r>
        <w:rPr/>
        <w:t>A</w:t>
      </w:r>
      <w:r>
        <w:rPr>
          <w:spacing w:val="-1"/>
        </w:rPr>
        <w:t> </w:t>
      </w:r>
      <w:r>
        <w:rPr/>
        <w:t>cada</w:t>
      </w:r>
      <w:r>
        <w:rPr>
          <w:spacing w:val="-1"/>
        </w:rPr>
        <w:t> </w:t>
      </w:r>
      <w:r>
        <w:rPr/>
        <w:t>uno de</w:t>
      </w:r>
      <w:r>
        <w:rPr>
          <w:spacing w:val="-1"/>
        </w:rPr>
        <w:t> </w:t>
      </w:r>
      <w:r>
        <w:rPr/>
        <w:t>mis familiares, amigos, conocidos y</w:t>
      </w:r>
      <w:r>
        <w:rPr>
          <w:spacing w:val="-3"/>
        </w:rPr>
        <w:t> </w:t>
      </w:r>
      <w:r>
        <w:rPr/>
        <w:t>compañeros</w:t>
      </w:r>
      <w:r>
        <w:rPr>
          <w:spacing w:val="-1"/>
        </w:rPr>
        <w:t> </w:t>
      </w:r>
      <w:r>
        <w:rPr/>
        <w:t>que, de una</w:t>
      </w:r>
      <w:r>
        <w:rPr>
          <w:spacing w:val="-1"/>
        </w:rPr>
        <w:t> </w:t>
      </w:r>
      <w:r>
        <w:rPr/>
        <w:t>u otra manera, han estado presentes en esta etapa de mi vida.</w:t>
      </w:r>
    </w:p>
    <w:p>
      <w:pPr>
        <w:pStyle w:val="BodyText"/>
        <w:spacing w:after="0" w:line="360" w:lineRule="auto"/>
        <w:jc w:val="both"/>
        <w:sectPr>
          <w:pgSz w:w="11900" w:h="16860"/>
          <w:pgMar w:header="0" w:footer="1060" w:top="1620" w:bottom="1260" w:left="1133" w:right="850"/>
        </w:sectPr>
      </w:pPr>
    </w:p>
    <w:p>
      <w:pPr>
        <w:spacing w:before="70"/>
        <w:ind w:left="1135" w:right="0" w:firstLine="0"/>
        <w:jc w:val="both"/>
        <w:rPr>
          <w:b/>
          <w:sz w:val="24"/>
        </w:rPr>
      </w:pPr>
      <w:r>
        <w:rPr>
          <w:b/>
          <w:sz w:val="24"/>
        </w:rPr>
        <w:t>Bryan</w:t>
      </w:r>
      <w:r>
        <w:rPr>
          <w:b/>
          <w:spacing w:val="-2"/>
          <w:sz w:val="24"/>
        </w:rPr>
        <w:t> </w:t>
      </w:r>
      <w:r>
        <w:rPr>
          <w:b/>
          <w:sz w:val="24"/>
        </w:rPr>
        <w:t>Javier</w:t>
      </w:r>
      <w:r>
        <w:rPr>
          <w:b/>
          <w:spacing w:val="-9"/>
          <w:sz w:val="24"/>
        </w:rPr>
        <w:t> </w:t>
      </w:r>
      <w:r>
        <w:rPr>
          <w:b/>
          <w:sz w:val="24"/>
        </w:rPr>
        <w:t>Carvajal </w:t>
      </w:r>
      <w:r>
        <w:rPr>
          <w:b/>
          <w:spacing w:val="-2"/>
          <w:sz w:val="24"/>
        </w:rPr>
        <w:t>Bermeo</w:t>
      </w:r>
    </w:p>
    <w:p>
      <w:pPr>
        <w:pStyle w:val="BodyText"/>
        <w:spacing w:before="101"/>
        <w:ind w:left="0"/>
        <w:rPr>
          <w:b/>
        </w:rPr>
      </w:pPr>
    </w:p>
    <w:p>
      <w:pPr>
        <w:pStyle w:val="BodyText"/>
        <w:spacing w:line="360" w:lineRule="auto"/>
        <w:ind w:right="848"/>
        <w:jc w:val="both"/>
      </w:pPr>
      <w:r>
        <w:rPr/>
        <w:t>Primero,</w:t>
      </w:r>
      <w:r>
        <w:rPr>
          <w:spacing w:val="-11"/>
        </w:rPr>
        <w:t> </w:t>
      </w:r>
      <w:r>
        <w:rPr/>
        <w:t>quiero</w:t>
      </w:r>
      <w:r>
        <w:rPr>
          <w:spacing w:val="-11"/>
        </w:rPr>
        <w:t> </w:t>
      </w:r>
      <w:r>
        <w:rPr/>
        <w:t>agradecer</w:t>
      </w:r>
      <w:r>
        <w:rPr>
          <w:spacing w:val="-11"/>
        </w:rPr>
        <w:t> </w:t>
      </w:r>
      <w:r>
        <w:rPr/>
        <w:t>a</w:t>
      </w:r>
      <w:r>
        <w:rPr>
          <w:spacing w:val="-12"/>
        </w:rPr>
        <w:t> </w:t>
      </w:r>
      <w:r>
        <w:rPr/>
        <w:t>Dios</w:t>
      </w:r>
      <w:r>
        <w:rPr>
          <w:spacing w:val="-11"/>
        </w:rPr>
        <w:t> </w:t>
      </w:r>
      <w:r>
        <w:rPr/>
        <w:t>por</w:t>
      </w:r>
      <w:r>
        <w:rPr>
          <w:spacing w:val="-11"/>
        </w:rPr>
        <w:t> </w:t>
      </w:r>
      <w:r>
        <w:rPr/>
        <w:t>todas</w:t>
      </w:r>
      <w:r>
        <w:rPr>
          <w:spacing w:val="-11"/>
        </w:rPr>
        <w:t> </w:t>
      </w:r>
      <w:r>
        <w:rPr/>
        <w:t>las</w:t>
      </w:r>
      <w:r>
        <w:rPr>
          <w:spacing w:val="-11"/>
        </w:rPr>
        <w:t> </w:t>
      </w:r>
      <w:r>
        <w:rPr/>
        <w:t>bendiciones</w:t>
      </w:r>
      <w:r>
        <w:rPr>
          <w:spacing w:val="-11"/>
        </w:rPr>
        <w:t> </w:t>
      </w:r>
      <w:r>
        <w:rPr/>
        <w:t>que</w:t>
      </w:r>
      <w:r>
        <w:rPr>
          <w:spacing w:val="-12"/>
        </w:rPr>
        <w:t> </w:t>
      </w:r>
      <w:r>
        <w:rPr/>
        <w:t>ha</w:t>
      </w:r>
      <w:r>
        <w:rPr>
          <w:spacing w:val="-12"/>
        </w:rPr>
        <w:t> </w:t>
      </w:r>
      <w:r>
        <w:rPr/>
        <w:t>derramado</w:t>
      </w:r>
      <w:r>
        <w:rPr>
          <w:spacing w:val="-11"/>
        </w:rPr>
        <w:t> </w:t>
      </w:r>
      <w:r>
        <w:rPr/>
        <w:t>en</w:t>
      </w:r>
      <w:r>
        <w:rPr>
          <w:spacing w:val="-11"/>
        </w:rPr>
        <w:t> </w:t>
      </w:r>
      <w:r>
        <w:rPr/>
        <w:t>mi vida gracias por el regalo de la vida, por la salud que me brinda y por las oportunidades que ha puesto en mi camino.</w:t>
      </w:r>
    </w:p>
    <w:p>
      <w:pPr>
        <w:pStyle w:val="BodyText"/>
        <w:spacing w:line="360" w:lineRule="auto" w:before="242"/>
        <w:ind w:right="850"/>
        <w:jc w:val="both"/>
      </w:pPr>
      <w:r>
        <w:rPr/>
        <w:t>Agradezco también a nuestro tutor de tesis Dr. Franco Cordero por habernos brindado su apoyo constante, sus conocimientos, su paciencia para realizar este trabajo de investigación final, que a la vez es el inicio de nuestra nueva etapa de vida como profesional</w:t>
      </w:r>
    </w:p>
    <w:p>
      <w:pPr>
        <w:pStyle w:val="BodyText"/>
        <w:spacing w:line="360" w:lineRule="auto" w:before="240"/>
        <w:ind w:right="848"/>
        <w:jc w:val="both"/>
      </w:pPr>
      <w:r>
        <w:rPr/>
        <w:t>A la Universidad Estatal de Bolívar Facultad de Ciencias Agropecuarias Recursos Naturales y de Ambiente por abrirnos las puertas y cobijarnos con los conocimientos</w:t>
      </w:r>
      <w:r>
        <w:rPr>
          <w:spacing w:val="-13"/>
        </w:rPr>
        <w:t> </w:t>
      </w:r>
      <w:r>
        <w:rPr/>
        <w:t>de</w:t>
      </w:r>
      <w:r>
        <w:rPr>
          <w:spacing w:val="-14"/>
        </w:rPr>
        <w:t> </w:t>
      </w:r>
      <w:r>
        <w:rPr/>
        <w:t>sus</w:t>
      </w:r>
      <w:r>
        <w:rPr>
          <w:spacing w:val="-10"/>
        </w:rPr>
        <w:t> </w:t>
      </w:r>
      <w:r>
        <w:rPr/>
        <w:t>distinguidos</w:t>
      </w:r>
      <w:r>
        <w:rPr>
          <w:spacing w:val="-13"/>
        </w:rPr>
        <w:t> </w:t>
      </w:r>
      <w:r>
        <w:rPr/>
        <w:t>docentes,</w:t>
      </w:r>
      <w:r>
        <w:rPr>
          <w:spacing w:val="-13"/>
        </w:rPr>
        <w:t> </w:t>
      </w:r>
      <w:r>
        <w:rPr/>
        <w:t>que</w:t>
      </w:r>
      <w:r>
        <w:rPr>
          <w:spacing w:val="-14"/>
        </w:rPr>
        <w:t> </w:t>
      </w:r>
      <w:r>
        <w:rPr/>
        <w:t>nos</w:t>
      </w:r>
      <w:r>
        <w:rPr>
          <w:spacing w:val="-13"/>
        </w:rPr>
        <w:t> </w:t>
      </w:r>
      <w:r>
        <w:rPr/>
        <w:t>forman</w:t>
      </w:r>
      <w:r>
        <w:rPr>
          <w:spacing w:val="-11"/>
        </w:rPr>
        <w:t> </w:t>
      </w:r>
      <w:r>
        <w:rPr/>
        <w:t>como</w:t>
      </w:r>
      <w:r>
        <w:rPr>
          <w:spacing w:val="-13"/>
        </w:rPr>
        <w:t> </w:t>
      </w:r>
      <w:r>
        <w:rPr/>
        <w:t>profesionales</w:t>
      </w:r>
      <w:r>
        <w:rPr>
          <w:spacing w:val="-13"/>
        </w:rPr>
        <w:t> </w:t>
      </w:r>
      <w:r>
        <w:rPr/>
        <w:t>de la Medicina Veterinaria.</w:t>
      </w:r>
    </w:p>
    <w:p>
      <w:pPr>
        <w:pStyle w:val="BodyText"/>
        <w:spacing w:line="360" w:lineRule="auto" w:before="240"/>
        <w:ind w:right="846"/>
        <w:jc w:val="both"/>
      </w:pPr>
      <w:r>
        <w:rPr/>
        <w:t>A</w:t>
      </w:r>
      <w:r>
        <w:rPr>
          <w:spacing w:val="-9"/>
        </w:rPr>
        <w:t> </w:t>
      </w:r>
      <w:r>
        <w:rPr/>
        <w:t>mis</w:t>
      </w:r>
      <w:r>
        <w:rPr>
          <w:spacing w:val="-8"/>
        </w:rPr>
        <w:t> </w:t>
      </w:r>
      <w:r>
        <w:rPr/>
        <w:t>padres</w:t>
      </w:r>
      <w:r>
        <w:rPr>
          <w:spacing w:val="-8"/>
        </w:rPr>
        <w:t> </w:t>
      </w:r>
      <w:r>
        <w:rPr/>
        <w:t>Edgar</w:t>
      </w:r>
      <w:r>
        <w:rPr>
          <w:spacing w:val="-9"/>
        </w:rPr>
        <w:t> </w:t>
      </w:r>
      <w:r>
        <w:rPr/>
        <w:t>Carvajal</w:t>
      </w:r>
      <w:r>
        <w:rPr>
          <w:spacing w:val="-2"/>
        </w:rPr>
        <w:t> </w:t>
      </w:r>
      <w:r>
        <w:rPr/>
        <w:t>y</w:t>
      </w:r>
      <w:r>
        <w:rPr>
          <w:spacing w:val="-13"/>
        </w:rPr>
        <w:t> </w:t>
      </w:r>
      <w:r>
        <w:rPr/>
        <w:t>Martha</w:t>
      </w:r>
      <w:r>
        <w:rPr>
          <w:spacing w:val="-7"/>
        </w:rPr>
        <w:t> </w:t>
      </w:r>
      <w:r>
        <w:rPr/>
        <w:t>Bermeo,</w:t>
      </w:r>
      <w:r>
        <w:rPr>
          <w:spacing w:val="-6"/>
        </w:rPr>
        <w:t> </w:t>
      </w:r>
      <w:r>
        <w:rPr/>
        <w:t>a</w:t>
      </w:r>
      <w:r>
        <w:rPr>
          <w:spacing w:val="-7"/>
        </w:rPr>
        <w:t> </w:t>
      </w:r>
      <w:r>
        <w:rPr/>
        <w:t>mis</w:t>
      </w:r>
      <w:r>
        <w:rPr>
          <w:spacing w:val="-8"/>
        </w:rPr>
        <w:t> </w:t>
      </w:r>
      <w:r>
        <w:rPr/>
        <w:t>hermanas</w:t>
      </w:r>
      <w:r>
        <w:rPr>
          <w:spacing w:val="-8"/>
        </w:rPr>
        <w:t> </w:t>
      </w:r>
      <w:r>
        <w:rPr/>
        <w:t>Evelyn,</w:t>
      </w:r>
      <w:r>
        <w:rPr>
          <w:spacing w:val="-6"/>
        </w:rPr>
        <w:t> </w:t>
      </w:r>
      <w:r>
        <w:rPr/>
        <w:t>Doménica Stefanya y Katherine, a mi abuelita Ines Mejía, a mis tíos paternos Patricio y Manolo Carvajal y a mis amigos Milenna, Paola, Mario, Princesa, Elizabeth, Nayely, Jennifer, Joselyn, Daniela y Mishell les estoy muy agradecido por la amistad, el compañerismo y la inspiración que han aportado a mi vida.</w:t>
      </w:r>
    </w:p>
    <w:p>
      <w:pPr>
        <w:pStyle w:val="BodyText"/>
        <w:spacing w:line="360" w:lineRule="auto" w:before="240"/>
        <w:ind w:right="847"/>
        <w:jc w:val="both"/>
      </w:pPr>
      <w:r>
        <w:rPr/>
        <w:t>Y sin dejar de agradecer a mi compañera de tesis Evelyn Gaibor por compartir conmigo esta aventura</w:t>
      </w:r>
      <w:r>
        <w:rPr>
          <w:spacing w:val="-1"/>
        </w:rPr>
        <w:t> </w:t>
      </w:r>
      <w:r>
        <w:rPr/>
        <w:t>por</w:t>
      </w:r>
      <w:r>
        <w:rPr>
          <w:spacing w:val="-1"/>
        </w:rPr>
        <w:t> </w:t>
      </w:r>
      <w:r>
        <w:rPr/>
        <w:t>realizar</w:t>
      </w:r>
      <w:r>
        <w:rPr>
          <w:spacing w:val="-1"/>
        </w:rPr>
        <w:t> </w:t>
      </w:r>
      <w:r>
        <w:rPr/>
        <w:t>esta</w:t>
      </w:r>
      <w:r>
        <w:rPr>
          <w:spacing w:val="-1"/>
        </w:rPr>
        <w:t> </w:t>
      </w:r>
      <w:r>
        <w:rPr/>
        <w:t>investigación, a</w:t>
      </w:r>
      <w:r>
        <w:rPr>
          <w:spacing w:val="-1"/>
        </w:rPr>
        <w:t> </w:t>
      </w:r>
      <w:r>
        <w:rPr/>
        <w:t>la</w:t>
      </w:r>
      <w:r>
        <w:rPr>
          <w:spacing w:val="-1"/>
        </w:rPr>
        <w:t> </w:t>
      </w:r>
      <w:r>
        <w:rPr/>
        <w:t>señora</w:t>
      </w:r>
      <w:r>
        <w:rPr>
          <w:spacing w:val="-2"/>
        </w:rPr>
        <w:t> </w:t>
      </w:r>
      <w:r>
        <w:rPr/>
        <w:t>Alicia</w:t>
      </w:r>
      <w:r>
        <w:rPr>
          <w:spacing w:val="-1"/>
        </w:rPr>
        <w:t> </w:t>
      </w:r>
      <w:r>
        <w:rPr/>
        <w:t>Yanza y</w:t>
      </w:r>
      <w:r>
        <w:rPr>
          <w:spacing w:val="-5"/>
        </w:rPr>
        <w:t> </w:t>
      </w:r>
      <w:r>
        <w:rPr/>
        <w:t>a Bryan Gaibor por ayudarnos, por su compañía por su amistad por nunca dejarnos solos por las risas por los momentos vividos que siempre se quedaran en mí </w:t>
      </w:r>
      <w:r>
        <w:rPr>
          <w:spacing w:val="-2"/>
        </w:rPr>
        <w:t>corazón.</w:t>
      </w:r>
    </w:p>
    <w:p>
      <w:pPr>
        <w:pStyle w:val="BodyText"/>
        <w:spacing w:after="0" w:line="360" w:lineRule="auto"/>
        <w:jc w:val="both"/>
        <w:sectPr>
          <w:pgSz w:w="11900" w:h="16860"/>
          <w:pgMar w:header="0" w:footer="1060" w:top="1620" w:bottom="1260" w:left="1133" w:right="850"/>
        </w:sectPr>
      </w:pPr>
    </w:p>
    <w:p>
      <w:pPr>
        <w:spacing w:before="70"/>
        <w:ind w:left="379" w:right="228" w:firstLine="0"/>
        <w:jc w:val="center"/>
        <w:rPr>
          <w:b/>
          <w:sz w:val="24"/>
        </w:rPr>
      </w:pPr>
      <w:r>
        <w:rPr>
          <w:b/>
          <w:sz w:val="24"/>
        </w:rPr>
        <w:t>ÍNDICE</w:t>
      </w:r>
      <w:r>
        <w:rPr>
          <w:b/>
          <w:spacing w:val="-1"/>
          <w:sz w:val="24"/>
        </w:rPr>
        <w:t> </w:t>
      </w:r>
      <w:r>
        <w:rPr>
          <w:b/>
          <w:sz w:val="24"/>
        </w:rPr>
        <w:t>DE </w:t>
      </w:r>
      <w:r>
        <w:rPr>
          <w:b/>
          <w:spacing w:val="-2"/>
          <w:sz w:val="24"/>
        </w:rPr>
        <w:t>CONTENIDO</w:t>
      </w:r>
    </w:p>
    <w:p>
      <w:pPr>
        <w:spacing w:after="0"/>
        <w:jc w:val="center"/>
        <w:rPr>
          <w:b/>
          <w:sz w:val="24"/>
        </w:rPr>
        <w:sectPr>
          <w:pgSz w:w="11900" w:h="16860"/>
          <w:pgMar w:header="0" w:footer="1060" w:top="1620" w:bottom="1934" w:left="1133" w:right="850"/>
        </w:sectPr>
      </w:pPr>
    </w:p>
    <w:sdt>
      <w:sdtPr>
        <w:docPartObj>
          <w:docPartGallery w:val="Table of Contents"/>
          <w:docPartUnique/>
        </w:docPartObj>
      </w:sdtPr>
      <w:sdtEndPr/>
      <w:sdtContent>
        <w:p>
          <w:pPr>
            <w:pStyle w:val="TOC1"/>
            <w:tabs>
              <w:tab w:pos="9056" w:val="right" w:leader="dot"/>
            </w:tabs>
            <w:spacing w:before="773"/>
            <w:ind w:left="1135" w:firstLine="0"/>
          </w:pPr>
          <w:hyperlink w:history="true" w:anchor="_bookmark0">
            <w:r>
              <w:rPr/>
              <w:t>CAPÍTULO</w:t>
            </w:r>
            <w:r>
              <w:rPr>
                <w:spacing w:val="-2"/>
              </w:rPr>
              <w:t> </w:t>
            </w:r>
            <w:r>
              <w:rPr>
                <w:spacing w:val="-10"/>
              </w:rPr>
              <w:t>I</w:t>
            </w:r>
            <w:r>
              <w:rPr/>
              <w:tab/>
            </w:r>
            <w:r>
              <w:rPr>
                <w:spacing w:val="-10"/>
              </w:rPr>
              <w:t>1</w:t>
            </w:r>
          </w:hyperlink>
        </w:p>
        <w:p>
          <w:pPr>
            <w:pStyle w:val="TOC1"/>
            <w:numPr>
              <w:ilvl w:val="1"/>
              <w:numId w:val="1"/>
            </w:numPr>
            <w:tabs>
              <w:tab w:pos="1855" w:val="left" w:leader="none"/>
              <w:tab w:pos="9056" w:val="right" w:leader="dot"/>
            </w:tabs>
            <w:spacing w:line="240" w:lineRule="auto" w:before="240" w:after="0"/>
            <w:ind w:left="1855" w:right="0" w:hanging="720"/>
            <w:jc w:val="left"/>
          </w:pPr>
          <w:hyperlink w:history="true" w:anchor="_bookmark1">
            <w:r>
              <w:rPr>
                <w:spacing w:val="-2"/>
              </w:rPr>
              <w:t>INTRODUCCIÓN</w:t>
            </w:r>
            <w:r>
              <w:rPr/>
              <w:tab/>
            </w:r>
            <w:r>
              <w:rPr>
                <w:spacing w:val="-10"/>
              </w:rPr>
              <w:t>1</w:t>
            </w:r>
          </w:hyperlink>
        </w:p>
        <w:p>
          <w:pPr>
            <w:pStyle w:val="TOC1"/>
            <w:numPr>
              <w:ilvl w:val="1"/>
              <w:numId w:val="1"/>
            </w:numPr>
            <w:tabs>
              <w:tab w:pos="1855" w:val="left" w:leader="none"/>
              <w:tab w:pos="9056" w:val="right" w:leader="dot"/>
            </w:tabs>
            <w:spacing w:line="240" w:lineRule="auto" w:before="240" w:after="0"/>
            <w:ind w:left="1855" w:right="0" w:hanging="720"/>
            <w:jc w:val="left"/>
          </w:pPr>
          <w:hyperlink w:history="true" w:anchor="_bookmark2">
            <w:r>
              <w:rPr>
                <w:spacing w:val="-2"/>
              </w:rPr>
              <w:t>PROBLEMA</w:t>
            </w:r>
            <w:r>
              <w:rPr/>
              <w:tab/>
            </w:r>
            <w:r>
              <w:rPr>
                <w:spacing w:val="-10"/>
              </w:rPr>
              <w:t>3</w:t>
            </w:r>
          </w:hyperlink>
        </w:p>
        <w:p>
          <w:pPr>
            <w:pStyle w:val="TOC1"/>
            <w:numPr>
              <w:ilvl w:val="0"/>
              <w:numId w:val="2"/>
            </w:numPr>
            <w:tabs>
              <w:tab w:pos="1855" w:val="left" w:leader="none"/>
              <w:tab w:pos="9056" w:val="right" w:leader="dot"/>
            </w:tabs>
            <w:spacing w:line="240" w:lineRule="auto" w:before="240" w:after="0"/>
            <w:ind w:left="1855" w:right="0" w:hanging="720"/>
            <w:jc w:val="left"/>
          </w:pPr>
          <w:hyperlink w:history="true" w:anchor="_bookmark3">
            <w:r>
              <w:rPr>
                <w:spacing w:val="-2"/>
              </w:rPr>
              <w:t>OBJETIVOS</w:t>
            </w:r>
            <w:r>
              <w:rPr/>
              <w:tab/>
            </w:r>
            <w:r>
              <w:rPr>
                <w:spacing w:val="-10"/>
              </w:rPr>
              <w:t>4</w:t>
            </w:r>
          </w:hyperlink>
        </w:p>
        <w:p>
          <w:pPr>
            <w:pStyle w:val="TOC2"/>
            <w:numPr>
              <w:ilvl w:val="1"/>
              <w:numId w:val="2"/>
            </w:numPr>
            <w:tabs>
              <w:tab w:pos="1855" w:val="left" w:leader="none"/>
              <w:tab w:pos="9056" w:val="right" w:leader="dot"/>
            </w:tabs>
            <w:spacing w:line="240" w:lineRule="auto" w:before="241" w:after="0"/>
            <w:ind w:left="1855" w:right="0" w:hanging="720"/>
            <w:jc w:val="left"/>
          </w:pPr>
          <w:hyperlink w:history="true" w:anchor="_bookmark4">
            <w:r>
              <w:rPr/>
              <w:t>Objetivo</w:t>
            </w:r>
            <w:r>
              <w:rPr>
                <w:spacing w:val="-1"/>
              </w:rPr>
              <w:t> </w:t>
            </w:r>
            <w:r>
              <w:rPr>
                <w:spacing w:val="-2"/>
              </w:rPr>
              <w:t>general</w:t>
            </w:r>
            <w:r>
              <w:rPr/>
              <w:tab/>
            </w:r>
            <w:r>
              <w:rPr>
                <w:spacing w:val="-10"/>
              </w:rPr>
              <w:t>4</w:t>
            </w:r>
          </w:hyperlink>
        </w:p>
        <w:p>
          <w:pPr>
            <w:pStyle w:val="TOC2"/>
            <w:numPr>
              <w:ilvl w:val="1"/>
              <w:numId w:val="2"/>
            </w:numPr>
            <w:tabs>
              <w:tab w:pos="1855" w:val="left" w:leader="none"/>
              <w:tab w:pos="9056" w:val="right" w:leader="dot"/>
            </w:tabs>
            <w:spacing w:line="240" w:lineRule="auto" w:before="240" w:after="0"/>
            <w:ind w:left="1855" w:right="0" w:hanging="720"/>
            <w:jc w:val="left"/>
          </w:pPr>
          <w:hyperlink w:history="true" w:anchor="_bookmark5">
            <w:r>
              <w:rPr/>
              <w:t>Objetivos </w:t>
            </w:r>
            <w:r>
              <w:rPr>
                <w:spacing w:val="-2"/>
              </w:rPr>
              <w:t>específicos</w:t>
            </w:r>
            <w:r>
              <w:rPr/>
              <w:tab/>
            </w:r>
            <w:r>
              <w:rPr>
                <w:spacing w:val="-10"/>
              </w:rPr>
              <w:t>4</w:t>
            </w:r>
          </w:hyperlink>
        </w:p>
        <w:p>
          <w:pPr>
            <w:pStyle w:val="TOC1"/>
            <w:numPr>
              <w:ilvl w:val="1"/>
              <w:numId w:val="2"/>
            </w:numPr>
            <w:tabs>
              <w:tab w:pos="1855" w:val="left" w:leader="none"/>
              <w:tab w:pos="9056" w:val="right" w:leader="dot"/>
            </w:tabs>
            <w:spacing w:line="240" w:lineRule="auto" w:before="240" w:after="0"/>
            <w:ind w:left="1855" w:right="0" w:hanging="720"/>
            <w:jc w:val="left"/>
          </w:pPr>
          <w:hyperlink w:history="true" w:anchor="_bookmark6">
            <w:r>
              <w:rPr>
                <w:spacing w:val="-2"/>
              </w:rPr>
              <w:t>HIPÓTESIS</w:t>
            </w:r>
            <w:r>
              <w:rPr/>
              <w:tab/>
            </w:r>
            <w:r>
              <w:rPr>
                <w:spacing w:val="-10"/>
              </w:rPr>
              <w:t>5</w:t>
            </w:r>
          </w:hyperlink>
        </w:p>
        <w:p>
          <w:pPr>
            <w:pStyle w:val="TOC1"/>
            <w:tabs>
              <w:tab w:pos="9056" w:val="right" w:leader="dot"/>
            </w:tabs>
            <w:ind w:left="1135" w:firstLine="0"/>
          </w:pPr>
          <w:hyperlink w:history="true" w:anchor="_bookmark7">
            <w:r>
              <w:rPr/>
              <w:t>CAPÍTULO III.</w:t>
            </w:r>
            <w:r>
              <w:rPr>
                <w:spacing w:val="-3"/>
              </w:rPr>
              <w:t> </w:t>
            </w:r>
            <w:r>
              <w:rPr/>
              <w:t>MARCO</w:t>
            </w:r>
            <w:r>
              <w:rPr>
                <w:spacing w:val="-5"/>
              </w:rPr>
              <w:t> </w:t>
            </w:r>
            <w:r>
              <w:rPr>
                <w:spacing w:val="-2"/>
              </w:rPr>
              <w:t>TEÓRICO</w:t>
            </w:r>
            <w:r>
              <w:rPr/>
              <w:tab/>
            </w:r>
            <w:r>
              <w:rPr>
                <w:spacing w:val="-10"/>
              </w:rPr>
              <w:t>6</w:t>
            </w:r>
          </w:hyperlink>
        </w:p>
        <w:p>
          <w:pPr>
            <w:pStyle w:val="TOC2"/>
            <w:numPr>
              <w:ilvl w:val="1"/>
              <w:numId w:val="3"/>
            </w:numPr>
            <w:tabs>
              <w:tab w:pos="1855" w:val="left" w:leader="none"/>
              <w:tab w:pos="9056" w:val="right" w:leader="dot"/>
            </w:tabs>
            <w:spacing w:line="240" w:lineRule="auto" w:before="240" w:after="0"/>
            <w:ind w:left="1855" w:right="0" w:hanging="720"/>
            <w:jc w:val="left"/>
          </w:pPr>
          <w:hyperlink w:history="true" w:anchor="_bookmark8">
            <w:r>
              <w:rPr/>
              <w:t>Anatomía</w:t>
            </w:r>
            <w:r>
              <w:rPr>
                <w:spacing w:val="-7"/>
              </w:rPr>
              <w:t> </w:t>
            </w:r>
            <w:r>
              <w:rPr/>
              <w:t>del</w:t>
            </w:r>
            <w:r>
              <w:rPr>
                <w:spacing w:val="-1"/>
              </w:rPr>
              <w:t> </w:t>
            </w:r>
            <w:r>
              <w:rPr>
                <w:spacing w:val="-2"/>
              </w:rPr>
              <w:t>cuerno</w:t>
            </w:r>
            <w:r>
              <w:rPr/>
              <w:tab/>
            </w:r>
            <w:r>
              <w:rPr>
                <w:spacing w:val="-10"/>
              </w:rPr>
              <w:t>6</w:t>
            </w:r>
          </w:hyperlink>
        </w:p>
        <w:p>
          <w:pPr>
            <w:pStyle w:val="TOC2"/>
            <w:numPr>
              <w:ilvl w:val="2"/>
              <w:numId w:val="3"/>
            </w:numPr>
            <w:tabs>
              <w:tab w:pos="1737" w:val="left" w:leader="none"/>
              <w:tab w:pos="9056" w:val="right" w:leader="dot"/>
            </w:tabs>
            <w:spacing w:line="240" w:lineRule="auto" w:before="240" w:after="0"/>
            <w:ind w:left="1737" w:right="0" w:hanging="602"/>
            <w:jc w:val="left"/>
          </w:pPr>
          <w:hyperlink w:history="true" w:anchor="_bookmark9">
            <w:r>
              <w:rPr/>
              <w:t>Inervación</w:t>
            </w:r>
            <w:r>
              <w:rPr>
                <w:spacing w:val="-5"/>
              </w:rPr>
              <w:t> </w:t>
            </w:r>
            <w:r>
              <w:rPr/>
              <w:t>del</w:t>
            </w:r>
            <w:r>
              <w:rPr>
                <w:spacing w:val="-3"/>
              </w:rPr>
              <w:t> </w:t>
            </w:r>
            <w:r>
              <w:rPr>
                <w:spacing w:val="-2"/>
              </w:rPr>
              <w:t>cuerno</w:t>
            </w:r>
            <w:r>
              <w:rPr/>
              <w:tab/>
            </w:r>
            <w:r>
              <w:rPr>
                <w:spacing w:val="-10"/>
              </w:rPr>
              <w:t>7</w:t>
            </w:r>
          </w:hyperlink>
        </w:p>
        <w:p>
          <w:pPr>
            <w:pStyle w:val="TOC2"/>
            <w:numPr>
              <w:ilvl w:val="1"/>
              <w:numId w:val="3"/>
            </w:numPr>
            <w:tabs>
              <w:tab w:pos="1855" w:val="left" w:leader="none"/>
              <w:tab w:pos="9056" w:val="right" w:leader="dot"/>
            </w:tabs>
            <w:spacing w:line="240" w:lineRule="auto" w:before="240" w:after="0"/>
            <w:ind w:left="1855" w:right="0" w:hanging="720"/>
            <w:jc w:val="left"/>
          </w:pPr>
          <w:hyperlink w:history="true" w:anchor="_bookmark10">
            <w:r>
              <w:rPr/>
              <w:t>El</w:t>
            </w:r>
            <w:r>
              <w:rPr>
                <w:spacing w:val="-5"/>
              </w:rPr>
              <w:t> </w:t>
            </w:r>
            <w:r>
              <w:rPr>
                <w:spacing w:val="-2"/>
              </w:rPr>
              <w:t>descorne</w:t>
            </w:r>
            <w:r>
              <w:rPr/>
              <w:tab/>
            </w:r>
            <w:r>
              <w:rPr>
                <w:spacing w:val="-12"/>
              </w:rPr>
              <w:t>8</w:t>
            </w:r>
          </w:hyperlink>
        </w:p>
        <w:p>
          <w:pPr>
            <w:pStyle w:val="TOC2"/>
            <w:numPr>
              <w:ilvl w:val="2"/>
              <w:numId w:val="3"/>
            </w:numPr>
            <w:tabs>
              <w:tab w:pos="2095" w:val="left" w:leader="none"/>
              <w:tab w:pos="9056" w:val="right" w:leader="dot"/>
            </w:tabs>
            <w:spacing w:line="240" w:lineRule="auto" w:before="241" w:after="0"/>
            <w:ind w:left="2095" w:right="0" w:hanging="960"/>
            <w:jc w:val="left"/>
          </w:pPr>
          <w:hyperlink w:history="true" w:anchor="_bookmark11">
            <w:r>
              <w:rPr/>
              <w:t>Métodos de</w:t>
            </w:r>
            <w:r>
              <w:rPr>
                <w:spacing w:val="-1"/>
              </w:rPr>
              <w:t> </w:t>
            </w:r>
            <w:r>
              <w:rPr>
                <w:spacing w:val="-2"/>
              </w:rPr>
              <w:t>descorne</w:t>
            </w:r>
            <w:r>
              <w:rPr/>
              <w:tab/>
            </w:r>
            <w:r>
              <w:rPr>
                <w:spacing w:val="-10"/>
              </w:rPr>
              <w:t>8</w:t>
            </w:r>
          </w:hyperlink>
        </w:p>
        <w:p>
          <w:pPr>
            <w:pStyle w:val="TOC2"/>
            <w:numPr>
              <w:ilvl w:val="2"/>
              <w:numId w:val="3"/>
            </w:numPr>
            <w:tabs>
              <w:tab w:pos="2095" w:val="left" w:leader="none"/>
              <w:tab w:pos="9056" w:val="right" w:leader="dot"/>
            </w:tabs>
            <w:spacing w:line="240" w:lineRule="auto" w:before="240" w:after="0"/>
            <w:ind w:left="2095" w:right="0" w:hanging="960"/>
            <w:jc w:val="left"/>
          </w:pPr>
          <w:hyperlink w:history="true" w:anchor="_bookmark12">
            <w:r>
              <w:rPr/>
              <w:t>Descorne</w:t>
            </w:r>
            <w:r>
              <w:rPr>
                <w:spacing w:val="-5"/>
              </w:rPr>
              <w:t> </w:t>
            </w:r>
            <w:r>
              <w:rPr/>
              <w:t>con</w:t>
            </w:r>
            <w:r>
              <w:rPr>
                <w:spacing w:val="-2"/>
              </w:rPr>
              <w:t> </w:t>
            </w:r>
            <w:r>
              <w:rPr/>
              <w:t>cauterización</w:t>
            </w:r>
            <w:r>
              <w:rPr>
                <w:spacing w:val="-1"/>
              </w:rPr>
              <w:t> </w:t>
            </w:r>
            <w:r>
              <w:rPr>
                <w:spacing w:val="-2"/>
              </w:rPr>
              <w:t>térmica</w:t>
            </w:r>
            <w:r>
              <w:rPr/>
              <w:tab/>
            </w:r>
            <w:r>
              <w:rPr>
                <w:spacing w:val="-10"/>
              </w:rPr>
              <w:t>9</w:t>
            </w:r>
          </w:hyperlink>
        </w:p>
        <w:p>
          <w:pPr>
            <w:pStyle w:val="TOC2"/>
            <w:numPr>
              <w:ilvl w:val="2"/>
              <w:numId w:val="3"/>
            </w:numPr>
            <w:tabs>
              <w:tab w:pos="2095" w:val="left" w:leader="none"/>
              <w:tab w:pos="9056" w:val="right" w:leader="dot"/>
            </w:tabs>
            <w:spacing w:line="240" w:lineRule="auto" w:before="240" w:after="0"/>
            <w:ind w:left="2095" w:right="0" w:hanging="960"/>
            <w:jc w:val="left"/>
          </w:pPr>
          <w:hyperlink w:history="true" w:anchor="_bookmark13">
            <w:r>
              <w:rPr/>
              <w:t>Descorne</w:t>
            </w:r>
            <w:r>
              <w:rPr>
                <w:spacing w:val="-7"/>
              </w:rPr>
              <w:t> </w:t>
            </w:r>
            <w:r>
              <w:rPr/>
              <w:t>con</w:t>
            </w:r>
            <w:r>
              <w:rPr>
                <w:spacing w:val="-1"/>
              </w:rPr>
              <w:t> </w:t>
            </w:r>
            <w:r>
              <w:rPr/>
              <w:t>cauterización </w:t>
            </w:r>
            <w:r>
              <w:rPr>
                <w:spacing w:val="-2"/>
              </w:rPr>
              <w:t>química</w:t>
            </w:r>
            <w:r>
              <w:rPr/>
              <w:tab/>
            </w:r>
            <w:r>
              <w:rPr>
                <w:spacing w:val="-10"/>
              </w:rPr>
              <w:t>9</w:t>
            </w:r>
          </w:hyperlink>
        </w:p>
        <w:p>
          <w:pPr>
            <w:pStyle w:val="TOC2"/>
            <w:numPr>
              <w:ilvl w:val="2"/>
              <w:numId w:val="3"/>
            </w:numPr>
            <w:tabs>
              <w:tab w:pos="2095" w:val="left" w:leader="none"/>
              <w:tab w:pos="9056" w:val="right" w:leader="dot"/>
            </w:tabs>
            <w:spacing w:line="240" w:lineRule="auto" w:before="240" w:after="0"/>
            <w:ind w:left="2095" w:right="0" w:hanging="960"/>
            <w:jc w:val="left"/>
          </w:pPr>
          <w:hyperlink w:history="true" w:anchor="_bookmark14">
            <w:r>
              <w:rPr/>
              <w:t>Descorne</w:t>
            </w:r>
            <w:r>
              <w:rPr>
                <w:spacing w:val="-7"/>
              </w:rPr>
              <w:t> </w:t>
            </w:r>
            <w:r>
              <w:rPr/>
              <w:t>con</w:t>
            </w:r>
            <w:r>
              <w:rPr>
                <w:spacing w:val="-1"/>
              </w:rPr>
              <w:t> </w:t>
            </w:r>
            <w:r>
              <w:rPr>
                <w:spacing w:val="-2"/>
              </w:rPr>
              <w:t>isoeugenol</w:t>
            </w:r>
            <w:r>
              <w:rPr/>
              <w:tab/>
            </w:r>
            <w:r>
              <w:rPr>
                <w:spacing w:val="-5"/>
              </w:rPr>
              <w:t>10</w:t>
            </w:r>
          </w:hyperlink>
        </w:p>
        <w:p>
          <w:pPr>
            <w:pStyle w:val="TOC2"/>
            <w:numPr>
              <w:ilvl w:val="1"/>
              <w:numId w:val="3"/>
            </w:numPr>
            <w:tabs>
              <w:tab w:pos="1855" w:val="left" w:leader="none"/>
              <w:tab w:pos="9056" w:val="right" w:leader="dot"/>
            </w:tabs>
            <w:spacing w:line="240" w:lineRule="auto" w:before="240" w:after="0"/>
            <w:ind w:left="1855" w:right="0" w:hanging="720"/>
            <w:jc w:val="left"/>
          </w:pPr>
          <w:hyperlink w:history="true" w:anchor="_bookmark15">
            <w:r>
              <w:rPr/>
              <w:t>Indicaciones</w:t>
            </w:r>
            <w:r>
              <w:rPr>
                <w:spacing w:val="-3"/>
              </w:rPr>
              <w:t> </w:t>
            </w:r>
            <w:r>
              <w:rPr/>
              <w:t>para</w:t>
            </w:r>
            <w:r>
              <w:rPr>
                <w:spacing w:val="-2"/>
              </w:rPr>
              <w:t> </w:t>
            </w:r>
            <w:r>
              <w:rPr/>
              <w:t>el</w:t>
            </w:r>
            <w:r>
              <w:rPr>
                <w:spacing w:val="-2"/>
              </w:rPr>
              <w:t> descorne</w:t>
            </w:r>
            <w:r>
              <w:rPr/>
              <w:tab/>
            </w:r>
            <w:r>
              <w:rPr>
                <w:spacing w:val="-5"/>
              </w:rPr>
              <w:t>10</w:t>
            </w:r>
          </w:hyperlink>
        </w:p>
        <w:p>
          <w:pPr>
            <w:pStyle w:val="TOC2"/>
            <w:numPr>
              <w:ilvl w:val="1"/>
              <w:numId w:val="3"/>
            </w:numPr>
            <w:tabs>
              <w:tab w:pos="1855" w:val="left" w:leader="none"/>
              <w:tab w:pos="9056" w:val="right" w:leader="dot"/>
            </w:tabs>
            <w:spacing w:line="240" w:lineRule="auto" w:before="240" w:after="0"/>
            <w:ind w:left="1855" w:right="0" w:hanging="720"/>
            <w:jc w:val="left"/>
          </w:pPr>
          <w:hyperlink w:history="true" w:anchor="_bookmark16">
            <w:r>
              <w:rPr/>
              <w:t>Impacto</w:t>
            </w:r>
            <w:r>
              <w:rPr>
                <w:spacing w:val="-1"/>
              </w:rPr>
              <w:t> </w:t>
            </w:r>
            <w:r>
              <w:rPr/>
              <w:t>del</w:t>
            </w:r>
            <w:r>
              <w:rPr>
                <w:spacing w:val="-1"/>
              </w:rPr>
              <w:t> </w:t>
            </w:r>
            <w:r>
              <w:rPr/>
              <w:t>descorne</w:t>
            </w:r>
            <w:r>
              <w:rPr>
                <w:spacing w:val="-2"/>
              </w:rPr>
              <w:t> </w:t>
            </w:r>
            <w:r>
              <w:rPr/>
              <w:t>en</w:t>
            </w:r>
            <w:r>
              <w:rPr>
                <w:spacing w:val="-1"/>
              </w:rPr>
              <w:t> </w:t>
            </w:r>
            <w:r>
              <w:rPr/>
              <w:t>el</w:t>
            </w:r>
            <w:r>
              <w:rPr>
                <w:spacing w:val="-1"/>
              </w:rPr>
              <w:t> </w:t>
            </w:r>
            <w:r>
              <w:rPr/>
              <w:t>bienestar</w:t>
            </w:r>
            <w:r>
              <w:rPr>
                <w:spacing w:val="-3"/>
              </w:rPr>
              <w:t> </w:t>
            </w:r>
            <w:r>
              <w:rPr/>
              <w:t>de</w:t>
            </w:r>
            <w:r>
              <w:rPr>
                <w:spacing w:val="-5"/>
              </w:rPr>
              <w:t> </w:t>
            </w:r>
            <w:r>
              <w:rPr/>
              <w:t>los</w:t>
            </w:r>
            <w:r>
              <w:rPr>
                <w:spacing w:val="-1"/>
              </w:rPr>
              <w:t> </w:t>
            </w:r>
            <w:r>
              <w:rPr>
                <w:spacing w:val="-2"/>
              </w:rPr>
              <w:t>terneros</w:t>
            </w:r>
            <w:r>
              <w:rPr/>
              <w:tab/>
            </w:r>
            <w:r>
              <w:rPr>
                <w:spacing w:val="-5"/>
              </w:rPr>
              <w:t>11</w:t>
            </w:r>
          </w:hyperlink>
        </w:p>
        <w:p>
          <w:pPr>
            <w:pStyle w:val="TOC2"/>
            <w:numPr>
              <w:ilvl w:val="2"/>
              <w:numId w:val="3"/>
            </w:numPr>
            <w:tabs>
              <w:tab w:pos="2095" w:val="left" w:leader="none"/>
              <w:tab w:pos="9056" w:val="right" w:leader="dot"/>
            </w:tabs>
            <w:spacing w:line="240" w:lineRule="auto" w:before="240" w:after="0"/>
            <w:ind w:left="2095" w:right="0" w:hanging="960"/>
            <w:jc w:val="left"/>
          </w:pPr>
          <w:hyperlink w:history="true" w:anchor="_bookmark17">
            <w:r>
              <w:rPr/>
              <w:t>Impacto</w:t>
            </w:r>
            <w:r>
              <w:rPr>
                <w:spacing w:val="-2"/>
              </w:rPr>
              <w:t> </w:t>
            </w:r>
            <w:r>
              <w:rPr/>
              <w:t>sobre</w:t>
            </w:r>
            <w:r>
              <w:rPr>
                <w:spacing w:val="-3"/>
              </w:rPr>
              <w:t> </w:t>
            </w:r>
            <w:r>
              <w:rPr>
                <w:spacing w:val="-2"/>
              </w:rPr>
              <w:t>comportamiento</w:t>
            </w:r>
            <w:r>
              <w:rPr/>
              <w:tab/>
            </w:r>
            <w:r>
              <w:rPr>
                <w:spacing w:val="-5"/>
              </w:rPr>
              <w:t>13</w:t>
            </w:r>
          </w:hyperlink>
        </w:p>
        <w:p>
          <w:pPr>
            <w:pStyle w:val="TOC2"/>
            <w:numPr>
              <w:ilvl w:val="2"/>
              <w:numId w:val="3"/>
            </w:numPr>
            <w:tabs>
              <w:tab w:pos="2095" w:val="left" w:leader="none"/>
              <w:tab w:pos="9056" w:val="right" w:leader="dot"/>
            </w:tabs>
            <w:spacing w:line="240" w:lineRule="auto" w:before="240" w:after="0"/>
            <w:ind w:left="2095" w:right="0" w:hanging="960"/>
            <w:jc w:val="left"/>
          </w:pPr>
          <w:hyperlink w:history="true" w:anchor="_bookmark18">
            <w:r>
              <w:rPr/>
              <w:t>Impacto</w:t>
            </w:r>
            <w:r>
              <w:rPr>
                <w:spacing w:val="-2"/>
              </w:rPr>
              <w:t> </w:t>
            </w:r>
            <w:r>
              <w:rPr/>
              <w:t>sobre</w:t>
            </w:r>
            <w:r>
              <w:rPr>
                <w:spacing w:val="-5"/>
              </w:rPr>
              <w:t> </w:t>
            </w:r>
            <w:r>
              <w:rPr/>
              <w:t>los</w:t>
            </w:r>
            <w:r>
              <w:rPr>
                <w:spacing w:val="-2"/>
              </w:rPr>
              <w:t> </w:t>
            </w:r>
            <w:r>
              <w:rPr/>
              <w:t>indicadores</w:t>
            </w:r>
            <w:r>
              <w:rPr>
                <w:spacing w:val="-1"/>
              </w:rPr>
              <w:t> </w:t>
            </w:r>
            <w:r>
              <w:rPr>
                <w:spacing w:val="-2"/>
              </w:rPr>
              <w:t>clínicos</w:t>
            </w:r>
            <w:r>
              <w:rPr/>
              <w:tab/>
            </w:r>
            <w:r>
              <w:rPr>
                <w:spacing w:val="-5"/>
              </w:rPr>
              <w:t>14</w:t>
            </w:r>
          </w:hyperlink>
        </w:p>
        <w:p>
          <w:pPr>
            <w:pStyle w:val="TOC2"/>
            <w:numPr>
              <w:ilvl w:val="2"/>
              <w:numId w:val="3"/>
            </w:numPr>
            <w:tabs>
              <w:tab w:pos="2095" w:val="left" w:leader="none"/>
              <w:tab w:pos="9056" w:val="right" w:leader="dot"/>
            </w:tabs>
            <w:spacing w:line="240" w:lineRule="auto" w:before="240" w:after="0"/>
            <w:ind w:left="2095" w:right="0" w:hanging="960"/>
            <w:jc w:val="left"/>
          </w:pPr>
          <w:hyperlink w:history="true" w:anchor="_bookmark19">
            <w:r>
              <w:rPr/>
              <w:t>Impacto</w:t>
            </w:r>
            <w:r>
              <w:rPr>
                <w:spacing w:val="-1"/>
              </w:rPr>
              <w:t> </w:t>
            </w:r>
            <w:r>
              <w:rPr/>
              <w:t>sobre</w:t>
            </w:r>
            <w:r>
              <w:rPr>
                <w:spacing w:val="-5"/>
              </w:rPr>
              <w:t> </w:t>
            </w:r>
            <w:r>
              <w:rPr/>
              <w:t>los</w:t>
            </w:r>
            <w:r>
              <w:rPr>
                <w:spacing w:val="-2"/>
              </w:rPr>
              <w:t> </w:t>
            </w:r>
            <w:r>
              <w:rPr/>
              <w:t>parámetros</w:t>
            </w:r>
            <w:r>
              <w:rPr>
                <w:spacing w:val="-1"/>
              </w:rPr>
              <w:t> </w:t>
            </w:r>
            <w:r>
              <w:rPr>
                <w:spacing w:val="-2"/>
              </w:rPr>
              <w:t>sanguíneos</w:t>
            </w:r>
            <w:r>
              <w:rPr/>
              <w:tab/>
            </w:r>
            <w:r>
              <w:rPr>
                <w:spacing w:val="-5"/>
              </w:rPr>
              <w:t>15</w:t>
            </w:r>
          </w:hyperlink>
        </w:p>
        <w:p>
          <w:pPr>
            <w:pStyle w:val="TOC2"/>
            <w:numPr>
              <w:ilvl w:val="2"/>
              <w:numId w:val="3"/>
            </w:numPr>
            <w:tabs>
              <w:tab w:pos="2095" w:val="left" w:leader="none"/>
              <w:tab w:pos="9056" w:val="right" w:leader="dot"/>
            </w:tabs>
            <w:spacing w:line="240" w:lineRule="auto" w:before="240" w:after="0"/>
            <w:ind w:left="2095" w:right="0" w:hanging="960"/>
            <w:jc w:val="left"/>
          </w:pPr>
          <w:hyperlink w:history="true" w:anchor="_bookmark20">
            <w:r>
              <w:rPr/>
              <w:t>Impacto</w:t>
            </w:r>
            <w:r>
              <w:rPr>
                <w:spacing w:val="-2"/>
              </w:rPr>
              <w:t> </w:t>
            </w:r>
            <w:r>
              <w:rPr/>
              <w:t>sobre</w:t>
            </w:r>
            <w:r>
              <w:rPr>
                <w:spacing w:val="-5"/>
              </w:rPr>
              <w:t> </w:t>
            </w:r>
            <w:r>
              <w:rPr/>
              <w:t>los</w:t>
            </w:r>
            <w:r>
              <w:rPr>
                <w:spacing w:val="-2"/>
              </w:rPr>
              <w:t> </w:t>
            </w:r>
            <w:r>
              <w:rPr/>
              <w:t>indicadores</w:t>
            </w:r>
            <w:r>
              <w:rPr>
                <w:spacing w:val="-1"/>
              </w:rPr>
              <w:t> </w:t>
            </w:r>
            <w:r>
              <w:rPr>
                <w:spacing w:val="-2"/>
              </w:rPr>
              <w:t>productivos</w:t>
            </w:r>
            <w:r>
              <w:rPr/>
              <w:tab/>
            </w:r>
            <w:r>
              <w:rPr>
                <w:spacing w:val="-5"/>
              </w:rPr>
              <w:t>15</w:t>
            </w:r>
          </w:hyperlink>
        </w:p>
        <w:p>
          <w:pPr>
            <w:pStyle w:val="TOC2"/>
            <w:numPr>
              <w:ilvl w:val="1"/>
              <w:numId w:val="3"/>
            </w:numPr>
            <w:tabs>
              <w:tab w:pos="1855" w:val="left" w:leader="none"/>
              <w:tab w:pos="9056" w:val="right" w:leader="dot"/>
            </w:tabs>
            <w:spacing w:line="240" w:lineRule="auto" w:before="240" w:after="0"/>
            <w:ind w:left="1855" w:right="0" w:hanging="720"/>
            <w:jc w:val="left"/>
          </w:pPr>
          <w:hyperlink w:history="true" w:anchor="_bookmark21">
            <w:r>
              <w:rPr/>
              <w:t>Relación</w:t>
            </w:r>
            <w:r>
              <w:rPr>
                <w:spacing w:val="-8"/>
              </w:rPr>
              <w:t> </w:t>
            </w:r>
            <w:r>
              <w:rPr/>
              <w:t>del</w:t>
            </w:r>
            <w:r>
              <w:rPr>
                <w:spacing w:val="-1"/>
              </w:rPr>
              <w:t> </w:t>
            </w:r>
            <w:r>
              <w:rPr/>
              <w:t>dolor</w:t>
            </w:r>
            <w:r>
              <w:rPr>
                <w:spacing w:val="-4"/>
              </w:rPr>
              <w:t> </w:t>
            </w:r>
            <w:r>
              <w:rPr/>
              <w:t>del</w:t>
            </w:r>
            <w:r>
              <w:rPr>
                <w:spacing w:val="-1"/>
              </w:rPr>
              <w:t> </w:t>
            </w:r>
            <w:r>
              <w:rPr/>
              <w:t>descorne</w:t>
            </w:r>
            <w:r>
              <w:rPr>
                <w:spacing w:val="-2"/>
              </w:rPr>
              <w:t> </w:t>
            </w:r>
            <w:r>
              <w:rPr/>
              <w:t>con</w:t>
            </w:r>
            <w:r>
              <w:rPr>
                <w:spacing w:val="-4"/>
              </w:rPr>
              <w:t> </w:t>
            </w:r>
            <w:r>
              <w:rPr/>
              <w:t>el</w:t>
            </w:r>
            <w:r>
              <w:rPr>
                <w:spacing w:val="-1"/>
              </w:rPr>
              <w:t> </w:t>
            </w:r>
            <w:r>
              <w:rPr/>
              <w:t>tamaño</w:t>
            </w:r>
            <w:r>
              <w:rPr>
                <w:spacing w:val="-2"/>
              </w:rPr>
              <w:t> </w:t>
            </w:r>
            <w:r>
              <w:rPr/>
              <w:t>de</w:t>
            </w:r>
            <w:r>
              <w:rPr>
                <w:spacing w:val="-5"/>
              </w:rPr>
              <w:t> </w:t>
            </w:r>
            <w:r>
              <w:rPr/>
              <w:t>las</w:t>
            </w:r>
            <w:r>
              <w:rPr>
                <w:spacing w:val="1"/>
              </w:rPr>
              <w:t> </w:t>
            </w:r>
            <w:r>
              <w:rPr/>
              <w:t>yemas</w:t>
            </w:r>
            <w:r>
              <w:rPr>
                <w:spacing w:val="1"/>
              </w:rPr>
              <w:t> </w:t>
            </w:r>
            <w:r>
              <w:rPr>
                <w:spacing w:val="-2"/>
              </w:rPr>
              <w:t>cornuales</w:t>
            </w:r>
            <w:r>
              <w:rPr/>
              <w:tab/>
            </w:r>
            <w:r>
              <w:rPr>
                <w:spacing w:val="-5"/>
              </w:rPr>
              <w:t>16</w:t>
            </w:r>
          </w:hyperlink>
        </w:p>
        <w:p>
          <w:pPr>
            <w:pStyle w:val="TOC2"/>
            <w:numPr>
              <w:ilvl w:val="1"/>
              <w:numId w:val="3"/>
            </w:numPr>
            <w:tabs>
              <w:tab w:pos="1855" w:val="left" w:leader="none"/>
              <w:tab w:pos="9056" w:val="right" w:leader="dot"/>
            </w:tabs>
            <w:spacing w:line="240" w:lineRule="auto" w:before="240" w:after="0"/>
            <w:ind w:left="1855" w:right="0" w:hanging="720"/>
            <w:jc w:val="left"/>
          </w:pPr>
          <w:hyperlink w:history="true" w:anchor="_bookmark22">
            <w:r>
              <w:rPr/>
              <w:t>Manejo</w:t>
            </w:r>
            <w:r>
              <w:rPr>
                <w:spacing w:val="-1"/>
              </w:rPr>
              <w:t> </w:t>
            </w:r>
            <w:r>
              <w:rPr/>
              <w:t>del</w:t>
            </w:r>
            <w:r>
              <w:rPr>
                <w:spacing w:val="-1"/>
              </w:rPr>
              <w:t> </w:t>
            </w:r>
            <w:r>
              <w:rPr/>
              <w:t>dolor</w:t>
            </w:r>
            <w:r>
              <w:rPr>
                <w:spacing w:val="-1"/>
              </w:rPr>
              <w:t> </w:t>
            </w:r>
            <w:r>
              <w:rPr/>
              <w:t>en</w:t>
            </w:r>
            <w:r>
              <w:rPr>
                <w:spacing w:val="-1"/>
              </w:rPr>
              <w:t> </w:t>
            </w:r>
            <w:r>
              <w:rPr>
                <w:spacing w:val="-2"/>
              </w:rPr>
              <w:t>descorne</w:t>
            </w:r>
            <w:r>
              <w:rPr/>
              <w:tab/>
            </w:r>
            <w:r>
              <w:rPr>
                <w:spacing w:val="-5"/>
              </w:rPr>
              <w:t>17</w:t>
            </w:r>
          </w:hyperlink>
        </w:p>
        <w:p>
          <w:pPr>
            <w:pStyle w:val="TOC2"/>
            <w:numPr>
              <w:ilvl w:val="2"/>
              <w:numId w:val="3"/>
            </w:numPr>
            <w:tabs>
              <w:tab w:pos="2095" w:val="left" w:leader="none"/>
              <w:tab w:pos="9056" w:val="right" w:leader="dot"/>
            </w:tabs>
            <w:spacing w:line="240" w:lineRule="auto" w:before="240" w:after="20"/>
            <w:ind w:left="2095" w:right="0" w:hanging="960"/>
            <w:jc w:val="left"/>
          </w:pPr>
          <w:hyperlink w:history="true" w:anchor="_bookmark23">
            <w:r>
              <w:rPr>
                <w:spacing w:val="-2"/>
              </w:rPr>
              <w:t>Generalidades</w:t>
            </w:r>
            <w:r>
              <w:rPr/>
              <w:tab/>
            </w:r>
            <w:r>
              <w:rPr>
                <w:spacing w:val="-5"/>
              </w:rPr>
              <w:t>17</w:t>
            </w:r>
          </w:hyperlink>
        </w:p>
        <w:p>
          <w:pPr>
            <w:pStyle w:val="TOC2"/>
            <w:numPr>
              <w:ilvl w:val="2"/>
              <w:numId w:val="3"/>
            </w:numPr>
            <w:tabs>
              <w:tab w:pos="2095" w:val="left" w:leader="none"/>
              <w:tab w:pos="9056" w:val="right" w:leader="dot"/>
            </w:tabs>
            <w:spacing w:line="240" w:lineRule="auto" w:before="79" w:after="0"/>
            <w:ind w:left="2095" w:right="0" w:hanging="960"/>
            <w:jc w:val="left"/>
          </w:pPr>
          <w:hyperlink w:history="true" w:anchor="_bookmark24">
            <w:r>
              <w:rPr/>
              <w:t>Medicamentos</w:t>
            </w:r>
            <w:r>
              <w:rPr>
                <w:spacing w:val="-7"/>
              </w:rPr>
              <w:t> </w:t>
            </w:r>
            <w:r>
              <w:rPr/>
              <w:t>usados</w:t>
            </w:r>
            <w:r>
              <w:rPr>
                <w:spacing w:val="-1"/>
              </w:rPr>
              <w:t> </w:t>
            </w:r>
            <w:r>
              <w:rPr/>
              <w:t>para</w:t>
            </w:r>
            <w:r>
              <w:rPr>
                <w:spacing w:val="-5"/>
              </w:rPr>
              <w:t> </w:t>
            </w:r>
            <w:r>
              <w:rPr/>
              <w:t>el manejo del</w:t>
            </w:r>
            <w:r>
              <w:rPr>
                <w:spacing w:val="-3"/>
              </w:rPr>
              <w:t> </w:t>
            </w:r>
            <w:r>
              <w:rPr/>
              <w:t>dolor</w:t>
            </w:r>
            <w:r>
              <w:rPr>
                <w:spacing w:val="-2"/>
              </w:rPr>
              <w:t> </w:t>
            </w:r>
            <w:r>
              <w:rPr/>
              <w:t>del</w:t>
            </w:r>
            <w:r>
              <w:rPr>
                <w:spacing w:val="1"/>
              </w:rPr>
              <w:t> </w:t>
            </w:r>
            <w:r>
              <w:rPr>
                <w:spacing w:val="-2"/>
              </w:rPr>
              <w:t>descorne</w:t>
            </w:r>
            <w:r>
              <w:rPr/>
              <w:tab/>
            </w:r>
            <w:r>
              <w:rPr>
                <w:spacing w:val="-5"/>
              </w:rPr>
              <w:t>19</w:t>
            </w:r>
          </w:hyperlink>
        </w:p>
        <w:p>
          <w:pPr>
            <w:pStyle w:val="TOC2"/>
            <w:numPr>
              <w:ilvl w:val="2"/>
              <w:numId w:val="3"/>
            </w:numPr>
            <w:tabs>
              <w:tab w:pos="2095" w:val="left" w:leader="none"/>
              <w:tab w:pos="9056" w:val="right" w:leader="dot"/>
            </w:tabs>
            <w:spacing w:line="240" w:lineRule="auto" w:before="240" w:after="0"/>
            <w:ind w:left="2095" w:right="0" w:hanging="960"/>
            <w:jc w:val="left"/>
          </w:pPr>
          <w:hyperlink w:history="true" w:anchor="_bookmark25">
            <w:r>
              <w:rPr/>
              <w:t>Anestésicos</w:t>
            </w:r>
            <w:r>
              <w:rPr>
                <w:spacing w:val="-2"/>
              </w:rPr>
              <w:t> </w:t>
            </w:r>
            <w:r>
              <w:rPr/>
              <w:t>locales</w:t>
            </w:r>
            <w:r>
              <w:rPr>
                <w:spacing w:val="-3"/>
              </w:rPr>
              <w:t> </w:t>
            </w:r>
            <w:r>
              <w:rPr/>
              <w:t>utilizados</w:t>
            </w:r>
            <w:r>
              <w:rPr>
                <w:spacing w:val="-1"/>
              </w:rPr>
              <w:t> </w:t>
            </w:r>
            <w:r>
              <w:rPr/>
              <w:t>en</w:t>
            </w:r>
            <w:r>
              <w:rPr>
                <w:spacing w:val="-1"/>
              </w:rPr>
              <w:t> </w:t>
            </w:r>
            <w:r>
              <w:rPr>
                <w:spacing w:val="-2"/>
              </w:rPr>
              <w:t>descorne</w:t>
            </w:r>
            <w:r>
              <w:rPr/>
              <w:tab/>
            </w:r>
            <w:r>
              <w:rPr>
                <w:spacing w:val="-5"/>
              </w:rPr>
              <w:t>19</w:t>
            </w:r>
          </w:hyperlink>
        </w:p>
        <w:p>
          <w:pPr>
            <w:pStyle w:val="TOC2"/>
            <w:numPr>
              <w:ilvl w:val="2"/>
              <w:numId w:val="3"/>
            </w:numPr>
            <w:tabs>
              <w:tab w:pos="2095" w:val="left" w:leader="none"/>
              <w:tab w:pos="9056" w:val="right" w:leader="dot"/>
            </w:tabs>
            <w:spacing w:line="240" w:lineRule="auto" w:before="240" w:after="0"/>
            <w:ind w:left="2095" w:right="0" w:hanging="960"/>
            <w:jc w:val="left"/>
          </w:pPr>
          <w:hyperlink w:history="true" w:anchor="_bookmark26">
            <w:r>
              <w:rPr/>
              <w:t>Antiinflamatorios</w:t>
            </w:r>
            <w:r>
              <w:rPr>
                <w:spacing w:val="-4"/>
              </w:rPr>
              <w:t> </w:t>
            </w:r>
            <w:r>
              <w:rPr/>
              <w:t>utilizados</w:t>
            </w:r>
            <w:r>
              <w:rPr>
                <w:spacing w:val="-3"/>
              </w:rPr>
              <w:t> </w:t>
            </w:r>
            <w:r>
              <w:rPr/>
              <w:t>en</w:t>
            </w:r>
            <w:r>
              <w:rPr>
                <w:spacing w:val="-2"/>
              </w:rPr>
              <w:t> descornes</w:t>
            </w:r>
            <w:r>
              <w:rPr/>
              <w:tab/>
            </w:r>
            <w:r>
              <w:rPr>
                <w:spacing w:val="-5"/>
              </w:rPr>
              <w:t>20</w:t>
            </w:r>
          </w:hyperlink>
        </w:p>
        <w:p>
          <w:pPr>
            <w:pStyle w:val="TOC2"/>
            <w:numPr>
              <w:ilvl w:val="1"/>
              <w:numId w:val="3"/>
            </w:numPr>
            <w:tabs>
              <w:tab w:pos="1855" w:val="left" w:leader="none"/>
              <w:tab w:pos="9056" w:val="right" w:leader="dot"/>
            </w:tabs>
            <w:spacing w:line="240" w:lineRule="auto" w:before="241" w:after="0"/>
            <w:ind w:left="1855" w:right="0" w:hanging="720"/>
            <w:jc w:val="left"/>
          </w:pPr>
          <w:hyperlink w:history="true" w:anchor="_bookmark27">
            <w:r>
              <w:rPr/>
              <w:t>Analgesia</w:t>
            </w:r>
            <w:r>
              <w:rPr>
                <w:spacing w:val="-4"/>
              </w:rPr>
              <w:t> </w:t>
            </w:r>
            <w:r>
              <w:rPr/>
              <w:t>multimodal</w:t>
            </w:r>
            <w:r>
              <w:rPr>
                <w:spacing w:val="-3"/>
              </w:rPr>
              <w:t> </w:t>
            </w:r>
            <w:r>
              <w:rPr/>
              <w:t>en</w:t>
            </w:r>
            <w:r>
              <w:rPr>
                <w:spacing w:val="1"/>
              </w:rPr>
              <w:t> </w:t>
            </w:r>
            <w:r>
              <w:rPr>
                <w:spacing w:val="-2"/>
              </w:rPr>
              <w:t>descorne</w:t>
            </w:r>
            <w:r>
              <w:rPr/>
              <w:tab/>
            </w:r>
            <w:r>
              <w:rPr>
                <w:spacing w:val="-5"/>
              </w:rPr>
              <w:t>21</w:t>
            </w:r>
          </w:hyperlink>
        </w:p>
        <w:p>
          <w:pPr>
            <w:pStyle w:val="TOC2"/>
            <w:numPr>
              <w:ilvl w:val="1"/>
              <w:numId w:val="3"/>
            </w:numPr>
            <w:tabs>
              <w:tab w:pos="1855" w:val="left" w:leader="none"/>
              <w:tab w:pos="9056" w:val="right" w:leader="dot"/>
            </w:tabs>
            <w:spacing w:line="240" w:lineRule="auto" w:before="240" w:after="0"/>
            <w:ind w:left="1855" w:right="0" w:hanging="720"/>
            <w:jc w:val="left"/>
          </w:pPr>
          <w:hyperlink w:history="true" w:anchor="_bookmark28">
            <w:r>
              <w:rPr/>
              <w:t>Lidocaína</w:t>
            </w:r>
            <w:r>
              <w:rPr>
                <w:spacing w:val="-3"/>
              </w:rPr>
              <w:t> </w:t>
            </w:r>
            <w:r>
              <w:rPr>
                <w:spacing w:val="-2"/>
              </w:rPr>
              <w:t>tamponada</w:t>
            </w:r>
            <w:r>
              <w:rPr/>
              <w:tab/>
            </w:r>
            <w:r>
              <w:rPr>
                <w:spacing w:val="-5"/>
              </w:rPr>
              <w:t>22</w:t>
            </w:r>
          </w:hyperlink>
        </w:p>
        <w:p>
          <w:pPr>
            <w:pStyle w:val="TOC2"/>
            <w:numPr>
              <w:ilvl w:val="2"/>
              <w:numId w:val="3"/>
            </w:numPr>
            <w:tabs>
              <w:tab w:pos="2095" w:val="left" w:leader="none"/>
              <w:tab w:pos="9056" w:val="right" w:leader="dot"/>
            </w:tabs>
            <w:spacing w:line="240" w:lineRule="auto" w:before="240" w:after="0"/>
            <w:ind w:left="2095" w:right="0" w:hanging="960"/>
            <w:jc w:val="left"/>
          </w:pPr>
          <w:hyperlink w:history="true" w:anchor="_bookmark29">
            <w:r>
              <w:rPr/>
              <w:t>Métodos para</w:t>
            </w:r>
            <w:r>
              <w:rPr>
                <w:spacing w:val="-2"/>
              </w:rPr>
              <w:t> </w:t>
            </w:r>
            <w:r>
              <w:rPr/>
              <w:t>tamponar</w:t>
            </w:r>
            <w:r>
              <w:rPr>
                <w:spacing w:val="-3"/>
              </w:rPr>
              <w:t> </w:t>
            </w:r>
            <w:r>
              <w:rPr/>
              <w:t>la</w:t>
            </w:r>
            <w:r>
              <w:rPr>
                <w:spacing w:val="-1"/>
              </w:rPr>
              <w:t> </w:t>
            </w:r>
            <w:r>
              <w:rPr>
                <w:spacing w:val="-2"/>
              </w:rPr>
              <w:t>lidocaína</w:t>
            </w:r>
            <w:r>
              <w:rPr/>
              <w:tab/>
            </w:r>
            <w:r>
              <w:rPr>
                <w:spacing w:val="-5"/>
              </w:rPr>
              <w:t>23</w:t>
            </w:r>
          </w:hyperlink>
        </w:p>
        <w:p>
          <w:pPr>
            <w:pStyle w:val="TOC2"/>
            <w:numPr>
              <w:ilvl w:val="2"/>
              <w:numId w:val="3"/>
            </w:numPr>
            <w:tabs>
              <w:tab w:pos="2095" w:val="left" w:leader="none"/>
              <w:tab w:pos="9056" w:val="right" w:leader="dot"/>
            </w:tabs>
            <w:spacing w:line="240" w:lineRule="auto" w:before="240" w:after="0"/>
            <w:ind w:left="2095" w:right="0" w:hanging="960"/>
            <w:jc w:val="left"/>
          </w:pPr>
          <w:hyperlink w:history="true" w:anchor="_bookmark30">
            <w:r>
              <w:rPr/>
              <w:t>Usos</w:t>
            </w:r>
            <w:r>
              <w:rPr>
                <w:spacing w:val="-1"/>
              </w:rPr>
              <w:t> </w:t>
            </w:r>
            <w:r>
              <w:rPr/>
              <w:t>de</w:t>
            </w:r>
            <w:r>
              <w:rPr>
                <w:spacing w:val="-5"/>
              </w:rPr>
              <w:t> </w:t>
            </w:r>
            <w:r>
              <w:rPr/>
              <w:t>lidocaína</w:t>
            </w:r>
            <w:r>
              <w:rPr>
                <w:spacing w:val="-1"/>
              </w:rPr>
              <w:t> </w:t>
            </w:r>
            <w:r>
              <w:rPr/>
              <w:t>tamponada</w:t>
            </w:r>
            <w:r>
              <w:rPr>
                <w:spacing w:val="-2"/>
              </w:rPr>
              <w:t> </w:t>
            </w:r>
            <w:r>
              <w:rPr/>
              <w:t>en </w:t>
            </w:r>
            <w:r>
              <w:rPr>
                <w:spacing w:val="-2"/>
              </w:rPr>
              <w:t>veterinaria</w:t>
            </w:r>
            <w:r>
              <w:rPr/>
              <w:tab/>
            </w:r>
            <w:r>
              <w:rPr>
                <w:spacing w:val="-5"/>
              </w:rPr>
              <w:t>24</w:t>
            </w:r>
          </w:hyperlink>
        </w:p>
        <w:p>
          <w:pPr>
            <w:pStyle w:val="TOC2"/>
            <w:numPr>
              <w:ilvl w:val="1"/>
              <w:numId w:val="3"/>
            </w:numPr>
            <w:tabs>
              <w:tab w:pos="1855" w:val="left" w:leader="none"/>
              <w:tab w:pos="9056" w:val="right" w:leader="dot"/>
            </w:tabs>
            <w:spacing w:line="240" w:lineRule="auto" w:before="240" w:after="0"/>
            <w:ind w:left="1855" w:right="0" w:hanging="720"/>
            <w:jc w:val="left"/>
          </w:pPr>
          <w:hyperlink w:history="true" w:anchor="_bookmark31">
            <w:r>
              <w:rPr/>
              <w:t>Bupivacaína</w:t>
            </w:r>
            <w:r>
              <w:rPr>
                <w:spacing w:val="-3"/>
              </w:rPr>
              <w:t> </w:t>
            </w:r>
            <w:r>
              <w:rPr>
                <w:spacing w:val="-2"/>
              </w:rPr>
              <w:t>tampona</w:t>
            </w:r>
            <w:r>
              <w:rPr/>
              <w:tab/>
            </w:r>
            <w:r>
              <w:rPr>
                <w:spacing w:val="-5"/>
              </w:rPr>
              <w:t>25</w:t>
            </w:r>
          </w:hyperlink>
        </w:p>
        <w:p>
          <w:pPr>
            <w:pStyle w:val="TOC2"/>
            <w:numPr>
              <w:ilvl w:val="2"/>
              <w:numId w:val="4"/>
            </w:numPr>
            <w:tabs>
              <w:tab w:pos="1855" w:val="left" w:leader="none"/>
              <w:tab w:pos="9056" w:val="right" w:leader="dot"/>
            </w:tabs>
            <w:spacing w:line="240" w:lineRule="auto" w:before="240" w:after="0"/>
            <w:ind w:left="1855" w:right="0" w:hanging="720"/>
            <w:jc w:val="left"/>
          </w:pPr>
          <w:hyperlink w:history="true" w:anchor="_bookmark32">
            <w:r>
              <w:rPr/>
              <w:t>Escala</w:t>
            </w:r>
            <w:r>
              <w:rPr>
                <w:spacing w:val="-8"/>
              </w:rPr>
              <w:t> </w:t>
            </w:r>
            <w:r>
              <w:rPr/>
              <w:t>del</w:t>
            </w:r>
            <w:r>
              <w:rPr>
                <w:spacing w:val="-8"/>
              </w:rPr>
              <w:t> </w:t>
            </w:r>
            <w:r>
              <w:rPr/>
              <w:t>dolor</w:t>
            </w:r>
            <w:r>
              <w:rPr>
                <w:spacing w:val="-5"/>
              </w:rPr>
              <w:t> </w:t>
            </w:r>
            <w:r>
              <w:rPr/>
              <w:t>usada</w:t>
            </w:r>
            <w:r>
              <w:rPr>
                <w:spacing w:val="-12"/>
              </w:rPr>
              <w:t> </w:t>
            </w:r>
            <w:r>
              <w:rPr/>
              <w:t>en</w:t>
            </w:r>
            <w:r>
              <w:rPr>
                <w:spacing w:val="-8"/>
              </w:rPr>
              <w:t> </w:t>
            </w:r>
            <w:r>
              <w:rPr>
                <w:spacing w:val="-2"/>
              </w:rPr>
              <w:t>bovinos</w:t>
            </w:r>
            <w:r>
              <w:rPr/>
              <w:tab/>
            </w:r>
            <w:r>
              <w:rPr>
                <w:spacing w:val="-5"/>
              </w:rPr>
              <w:t>26</w:t>
            </w:r>
          </w:hyperlink>
        </w:p>
        <w:p>
          <w:pPr>
            <w:pStyle w:val="TOC2"/>
            <w:numPr>
              <w:ilvl w:val="2"/>
              <w:numId w:val="4"/>
            </w:numPr>
            <w:tabs>
              <w:tab w:pos="1855" w:val="left" w:leader="none"/>
              <w:tab w:pos="9056" w:val="right" w:leader="dot"/>
            </w:tabs>
            <w:spacing w:line="240" w:lineRule="auto" w:before="240" w:after="0"/>
            <w:ind w:left="1855" w:right="0" w:hanging="720"/>
            <w:jc w:val="left"/>
          </w:pPr>
          <w:hyperlink w:history="true" w:anchor="_bookmark34">
            <w:r>
              <w:rPr/>
              <w:t>Escala</w:t>
            </w:r>
            <w:r>
              <w:rPr>
                <w:spacing w:val="-8"/>
              </w:rPr>
              <w:t> </w:t>
            </w:r>
            <w:r>
              <w:rPr/>
              <w:t>de</w:t>
            </w:r>
            <w:r>
              <w:rPr>
                <w:spacing w:val="-10"/>
              </w:rPr>
              <w:t> </w:t>
            </w:r>
            <w:r>
              <w:rPr/>
              <w:t>valoración</w:t>
            </w:r>
            <w:r>
              <w:rPr>
                <w:spacing w:val="-8"/>
              </w:rPr>
              <w:t> </w:t>
            </w:r>
            <w:r>
              <w:rPr/>
              <w:t>de</w:t>
            </w:r>
            <w:r>
              <w:rPr>
                <w:spacing w:val="-10"/>
              </w:rPr>
              <w:t> </w:t>
            </w:r>
            <w:r>
              <w:rPr/>
              <w:t>heridas</w:t>
            </w:r>
            <w:r>
              <w:rPr>
                <w:spacing w:val="-6"/>
              </w:rPr>
              <w:t> </w:t>
            </w:r>
            <w:r>
              <w:rPr/>
              <w:t>en</w:t>
            </w:r>
            <w:r>
              <w:rPr>
                <w:spacing w:val="-9"/>
              </w:rPr>
              <w:t> </w:t>
            </w:r>
            <w:r>
              <w:rPr>
                <w:spacing w:val="-2"/>
              </w:rPr>
              <w:t>descorne</w:t>
            </w:r>
            <w:r>
              <w:rPr/>
              <w:tab/>
            </w:r>
            <w:r>
              <w:rPr>
                <w:spacing w:val="-5"/>
              </w:rPr>
              <w:t>27</w:t>
            </w:r>
          </w:hyperlink>
        </w:p>
        <w:p>
          <w:pPr>
            <w:pStyle w:val="TOC2"/>
            <w:numPr>
              <w:ilvl w:val="1"/>
              <w:numId w:val="5"/>
            </w:numPr>
            <w:tabs>
              <w:tab w:pos="1855" w:val="left" w:leader="none"/>
              <w:tab w:pos="9056" w:val="right" w:leader="dot"/>
            </w:tabs>
            <w:spacing w:line="240" w:lineRule="auto" w:before="240" w:after="0"/>
            <w:ind w:left="1855" w:right="0" w:hanging="720"/>
            <w:jc w:val="left"/>
          </w:pPr>
          <w:hyperlink w:history="true" w:anchor="_bookmark36">
            <w:r>
              <w:rPr>
                <w:spacing w:val="-2"/>
              </w:rPr>
              <w:t>Materiales</w:t>
            </w:r>
            <w:r>
              <w:rPr/>
              <w:tab/>
            </w:r>
            <w:r>
              <w:rPr>
                <w:spacing w:val="-5"/>
              </w:rPr>
              <w:t>28</w:t>
            </w:r>
          </w:hyperlink>
        </w:p>
        <w:p>
          <w:pPr>
            <w:pStyle w:val="TOC2"/>
            <w:numPr>
              <w:ilvl w:val="2"/>
              <w:numId w:val="5"/>
            </w:numPr>
            <w:tabs>
              <w:tab w:pos="2095" w:val="left" w:leader="none"/>
              <w:tab w:pos="9056" w:val="right" w:leader="dot"/>
            </w:tabs>
            <w:spacing w:line="240" w:lineRule="auto" w:before="240" w:after="0"/>
            <w:ind w:left="2095" w:right="0" w:hanging="960"/>
            <w:jc w:val="left"/>
          </w:pPr>
          <w:hyperlink w:history="true" w:anchor="_bookmark37">
            <w:r>
              <w:rPr/>
              <w:t>Localización de</w:t>
            </w:r>
            <w:r>
              <w:rPr>
                <w:spacing w:val="-2"/>
              </w:rPr>
              <w:t> </w:t>
            </w:r>
            <w:r>
              <w:rPr/>
              <w:t>la</w:t>
            </w:r>
            <w:r>
              <w:rPr>
                <w:spacing w:val="-2"/>
              </w:rPr>
              <w:t> investigación</w:t>
            </w:r>
            <w:r>
              <w:rPr/>
              <w:tab/>
            </w:r>
            <w:r>
              <w:rPr>
                <w:spacing w:val="-5"/>
              </w:rPr>
              <w:t>28</w:t>
            </w:r>
          </w:hyperlink>
        </w:p>
        <w:p>
          <w:pPr>
            <w:pStyle w:val="TOC2"/>
            <w:numPr>
              <w:ilvl w:val="2"/>
              <w:numId w:val="5"/>
            </w:numPr>
            <w:tabs>
              <w:tab w:pos="2095" w:val="left" w:leader="none"/>
              <w:tab w:pos="9056" w:val="right" w:leader="dot"/>
            </w:tabs>
            <w:spacing w:line="240" w:lineRule="auto" w:before="240" w:after="0"/>
            <w:ind w:left="2095" w:right="0" w:hanging="960"/>
            <w:jc w:val="left"/>
          </w:pPr>
          <w:hyperlink w:history="true" w:anchor="_bookmark39">
            <w:r>
              <w:rPr/>
              <w:t>Zona</w:t>
            </w:r>
            <w:r>
              <w:rPr>
                <w:spacing w:val="-5"/>
              </w:rPr>
              <w:t> </w:t>
            </w:r>
            <w:r>
              <w:rPr/>
              <w:t>de</w:t>
            </w:r>
            <w:r>
              <w:rPr>
                <w:spacing w:val="-2"/>
              </w:rPr>
              <w:t> </w:t>
            </w:r>
            <w:r>
              <w:rPr>
                <w:spacing w:val="-4"/>
              </w:rPr>
              <w:t>vida</w:t>
            </w:r>
            <w:r>
              <w:rPr/>
              <w:tab/>
            </w:r>
            <w:r>
              <w:rPr>
                <w:spacing w:val="-5"/>
              </w:rPr>
              <w:t>28</w:t>
            </w:r>
          </w:hyperlink>
        </w:p>
        <w:p>
          <w:pPr>
            <w:pStyle w:val="TOC2"/>
            <w:numPr>
              <w:ilvl w:val="1"/>
              <w:numId w:val="5"/>
            </w:numPr>
            <w:tabs>
              <w:tab w:pos="1855" w:val="left" w:leader="none"/>
              <w:tab w:pos="9056" w:val="right" w:leader="dot"/>
            </w:tabs>
            <w:spacing w:line="240" w:lineRule="auto" w:before="241" w:after="0"/>
            <w:ind w:left="1855" w:right="0" w:hanging="720"/>
            <w:jc w:val="left"/>
          </w:pPr>
          <w:hyperlink w:history="true" w:anchor="_bookmark40">
            <w:r>
              <w:rPr>
                <w:spacing w:val="-2"/>
              </w:rPr>
              <w:t>Metodología</w:t>
            </w:r>
            <w:r>
              <w:rPr/>
              <w:tab/>
            </w:r>
            <w:r>
              <w:rPr>
                <w:spacing w:val="-5"/>
              </w:rPr>
              <w:t>29</w:t>
            </w:r>
          </w:hyperlink>
        </w:p>
        <w:p>
          <w:pPr>
            <w:pStyle w:val="TOC2"/>
            <w:numPr>
              <w:ilvl w:val="2"/>
              <w:numId w:val="5"/>
            </w:numPr>
            <w:tabs>
              <w:tab w:pos="2095" w:val="left" w:leader="none"/>
              <w:tab w:pos="9056" w:val="right" w:leader="dot"/>
            </w:tabs>
            <w:spacing w:line="240" w:lineRule="auto" w:before="240" w:after="0"/>
            <w:ind w:left="2095" w:right="0" w:hanging="960"/>
            <w:jc w:val="left"/>
          </w:pPr>
          <w:hyperlink w:history="true" w:anchor="_bookmark41">
            <w:r>
              <w:rPr/>
              <w:t>Material</w:t>
            </w:r>
            <w:r>
              <w:rPr>
                <w:spacing w:val="-7"/>
              </w:rPr>
              <w:t> </w:t>
            </w:r>
            <w:r>
              <w:rPr>
                <w:spacing w:val="-2"/>
              </w:rPr>
              <w:t>experimental</w:t>
            </w:r>
            <w:r>
              <w:rPr/>
              <w:tab/>
            </w:r>
            <w:r>
              <w:rPr>
                <w:spacing w:val="-5"/>
              </w:rPr>
              <w:t>29</w:t>
            </w:r>
          </w:hyperlink>
        </w:p>
        <w:p>
          <w:pPr>
            <w:pStyle w:val="TOC2"/>
            <w:numPr>
              <w:ilvl w:val="2"/>
              <w:numId w:val="5"/>
            </w:numPr>
            <w:tabs>
              <w:tab w:pos="2095" w:val="left" w:leader="none"/>
              <w:tab w:pos="9056" w:val="right" w:leader="dot"/>
            </w:tabs>
            <w:spacing w:line="240" w:lineRule="auto" w:before="240" w:after="0"/>
            <w:ind w:left="2095" w:right="0" w:hanging="960"/>
            <w:jc w:val="left"/>
          </w:pPr>
          <w:hyperlink w:history="true" w:anchor="_bookmark42">
            <w:r>
              <w:rPr/>
              <w:t>Factores</w:t>
            </w:r>
            <w:r>
              <w:rPr>
                <w:spacing w:val="-3"/>
              </w:rPr>
              <w:t> </w:t>
            </w:r>
            <w:r>
              <w:rPr/>
              <w:t>en </w:t>
            </w:r>
            <w:r>
              <w:rPr>
                <w:spacing w:val="-2"/>
              </w:rPr>
              <w:t>estudio</w:t>
            </w:r>
            <w:r>
              <w:rPr/>
              <w:tab/>
            </w:r>
            <w:r>
              <w:rPr>
                <w:spacing w:val="-5"/>
              </w:rPr>
              <w:t>29</w:t>
            </w:r>
          </w:hyperlink>
        </w:p>
        <w:p>
          <w:pPr>
            <w:pStyle w:val="TOC2"/>
            <w:numPr>
              <w:ilvl w:val="2"/>
              <w:numId w:val="5"/>
            </w:numPr>
            <w:tabs>
              <w:tab w:pos="2095" w:val="left" w:leader="none"/>
              <w:tab w:pos="9056" w:val="right" w:leader="dot"/>
            </w:tabs>
            <w:spacing w:line="240" w:lineRule="auto" w:before="240" w:after="0"/>
            <w:ind w:left="2095" w:right="0" w:hanging="960"/>
            <w:jc w:val="left"/>
          </w:pPr>
          <w:hyperlink w:history="true" w:anchor="_bookmark43">
            <w:r>
              <w:rPr>
                <w:spacing w:val="-2"/>
              </w:rPr>
              <w:t>Tratamientos</w:t>
            </w:r>
            <w:r>
              <w:rPr/>
              <w:tab/>
            </w:r>
            <w:r>
              <w:rPr>
                <w:spacing w:val="-5"/>
              </w:rPr>
              <w:t>29</w:t>
            </w:r>
          </w:hyperlink>
        </w:p>
        <w:p>
          <w:pPr>
            <w:pStyle w:val="TOC2"/>
            <w:numPr>
              <w:ilvl w:val="2"/>
              <w:numId w:val="5"/>
            </w:numPr>
            <w:tabs>
              <w:tab w:pos="2095" w:val="left" w:leader="none"/>
              <w:tab w:pos="9056" w:val="right" w:leader="dot"/>
            </w:tabs>
            <w:spacing w:line="240" w:lineRule="auto" w:before="240" w:after="0"/>
            <w:ind w:left="2095" w:right="0" w:hanging="960"/>
            <w:jc w:val="left"/>
          </w:pPr>
          <w:hyperlink w:history="true" w:anchor="_bookmark46">
            <w:r>
              <w:rPr/>
              <w:t>Tipo de</w:t>
            </w:r>
            <w:r>
              <w:rPr>
                <w:spacing w:val="-4"/>
              </w:rPr>
              <w:t> </w:t>
            </w:r>
            <w:r>
              <w:rPr/>
              <w:t>diseño</w:t>
            </w:r>
            <w:r>
              <w:rPr>
                <w:spacing w:val="-1"/>
              </w:rPr>
              <w:t> </w:t>
            </w:r>
            <w:r>
              <w:rPr>
                <w:spacing w:val="-2"/>
              </w:rPr>
              <w:t>experimental</w:t>
            </w:r>
            <w:r>
              <w:rPr/>
              <w:tab/>
            </w:r>
            <w:r>
              <w:rPr>
                <w:spacing w:val="-5"/>
              </w:rPr>
              <w:t>30</w:t>
            </w:r>
          </w:hyperlink>
        </w:p>
        <w:p>
          <w:pPr>
            <w:pStyle w:val="TOC2"/>
            <w:numPr>
              <w:ilvl w:val="2"/>
              <w:numId w:val="5"/>
            </w:numPr>
            <w:tabs>
              <w:tab w:pos="2095" w:val="left" w:leader="none"/>
              <w:tab w:pos="9056" w:val="right" w:leader="dot"/>
            </w:tabs>
            <w:spacing w:line="240" w:lineRule="auto" w:before="240" w:after="0"/>
            <w:ind w:left="2095" w:right="0" w:hanging="960"/>
            <w:jc w:val="left"/>
          </w:pPr>
          <w:hyperlink w:history="true" w:anchor="_bookmark47">
            <w:r>
              <w:rPr/>
              <w:t>Tipo de </w:t>
            </w:r>
            <w:r>
              <w:rPr>
                <w:spacing w:val="-2"/>
              </w:rPr>
              <w:t>análisis</w:t>
            </w:r>
            <w:r>
              <w:rPr/>
              <w:tab/>
            </w:r>
            <w:r>
              <w:rPr>
                <w:spacing w:val="-5"/>
              </w:rPr>
              <w:t>30</w:t>
            </w:r>
          </w:hyperlink>
        </w:p>
        <w:p>
          <w:pPr>
            <w:pStyle w:val="TOC2"/>
            <w:numPr>
              <w:ilvl w:val="2"/>
              <w:numId w:val="5"/>
            </w:numPr>
            <w:tabs>
              <w:tab w:pos="2095" w:val="left" w:leader="none"/>
              <w:tab w:pos="9056" w:val="right" w:leader="dot"/>
            </w:tabs>
            <w:spacing w:line="240" w:lineRule="auto" w:before="240" w:after="0"/>
            <w:ind w:left="2095" w:right="0" w:hanging="960"/>
            <w:jc w:val="left"/>
          </w:pPr>
          <w:hyperlink w:history="true" w:anchor="_bookmark48">
            <w:r>
              <w:rPr/>
              <w:t>Métodos</w:t>
            </w:r>
            <w:r>
              <w:rPr>
                <w:spacing w:val="-1"/>
              </w:rPr>
              <w:t> </w:t>
            </w:r>
            <w:r>
              <w:rPr/>
              <w:t>de</w:t>
            </w:r>
            <w:r>
              <w:rPr>
                <w:spacing w:val="-1"/>
              </w:rPr>
              <w:t> </w:t>
            </w:r>
            <w:r>
              <w:rPr/>
              <w:t>evaluación</w:t>
            </w:r>
            <w:r>
              <w:rPr>
                <w:spacing w:val="3"/>
              </w:rPr>
              <w:t> </w:t>
            </w:r>
            <w:r>
              <w:rPr/>
              <w:t>y</w:t>
            </w:r>
            <w:r>
              <w:rPr>
                <w:spacing w:val="-4"/>
              </w:rPr>
              <w:t> </w:t>
            </w:r>
            <w:r>
              <w:rPr/>
              <w:t>datos a</w:t>
            </w:r>
            <w:r>
              <w:rPr>
                <w:spacing w:val="-1"/>
              </w:rPr>
              <w:t> </w:t>
            </w:r>
            <w:r>
              <w:rPr>
                <w:spacing w:val="-2"/>
              </w:rPr>
              <w:t>tomarse</w:t>
            </w:r>
            <w:r>
              <w:rPr/>
              <w:tab/>
            </w:r>
            <w:r>
              <w:rPr>
                <w:spacing w:val="-5"/>
              </w:rPr>
              <w:t>30</w:t>
            </w:r>
          </w:hyperlink>
        </w:p>
        <w:p>
          <w:pPr>
            <w:pStyle w:val="TOC2"/>
            <w:numPr>
              <w:ilvl w:val="2"/>
              <w:numId w:val="5"/>
            </w:numPr>
            <w:tabs>
              <w:tab w:pos="2095" w:val="left" w:leader="none"/>
              <w:tab w:pos="9056" w:val="right" w:leader="dot"/>
            </w:tabs>
            <w:spacing w:line="240" w:lineRule="auto" w:before="241" w:after="0"/>
            <w:ind w:left="2095" w:right="0" w:hanging="960"/>
            <w:jc w:val="left"/>
          </w:pPr>
          <w:hyperlink w:history="true" w:anchor="_bookmark49">
            <w:r>
              <w:rPr/>
              <w:t>Manejo</w:t>
            </w:r>
            <w:r>
              <w:rPr>
                <w:spacing w:val="-1"/>
              </w:rPr>
              <w:t> </w:t>
            </w:r>
            <w:r>
              <w:rPr/>
              <w:t>del</w:t>
            </w:r>
            <w:r>
              <w:rPr>
                <w:spacing w:val="-1"/>
              </w:rPr>
              <w:t> </w:t>
            </w:r>
            <w:r>
              <w:rPr>
                <w:spacing w:val="-2"/>
              </w:rPr>
              <w:t>experimento</w:t>
            </w:r>
            <w:r>
              <w:rPr/>
              <w:tab/>
            </w:r>
            <w:r>
              <w:rPr>
                <w:spacing w:val="-5"/>
              </w:rPr>
              <w:t>32</w:t>
            </w:r>
          </w:hyperlink>
        </w:p>
        <w:p>
          <w:pPr>
            <w:pStyle w:val="TOC1"/>
            <w:tabs>
              <w:tab w:pos="9056" w:val="right" w:leader="dot"/>
            </w:tabs>
            <w:ind w:left="1135" w:firstLine="0"/>
          </w:pPr>
          <w:hyperlink w:history="true" w:anchor="_bookmark50">
            <w:r>
              <w:rPr/>
              <w:t>CAPÍTULO</w:t>
            </w:r>
            <w:r>
              <w:rPr>
                <w:spacing w:val="1"/>
              </w:rPr>
              <w:t> </w:t>
            </w:r>
            <w:r>
              <w:rPr/>
              <w:t>IV.</w:t>
            </w:r>
            <w:r>
              <w:rPr>
                <w:spacing w:val="-3"/>
              </w:rPr>
              <w:t> </w:t>
            </w:r>
            <w:r>
              <w:rPr/>
              <w:t>RESULTADOS</w:t>
            </w:r>
            <w:r>
              <w:rPr>
                <w:spacing w:val="-3"/>
              </w:rPr>
              <w:t> </w:t>
            </w:r>
            <w:r>
              <w:rPr/>
              <w:t>Y</w:t>
            </w:r>
            <w:r>
              <w:rPr>
                <w:spacing w:val="-2"/>
              </w:rPr>
              <w:t> DISCUSIÓN</w:t>
            </w:r>
            <w:r>
              <w:rPr/>
              <w:tab/>
            </w:r>
            <w:r>
              <w:rPr>
                <w:spacing w:val="-5"/>
              </w:rPr>
              <w:t>35</w:t>
            </w:r>
          </w:hyperlink>
        </w:p>
        <w:p>
          <w:pPr>
            <w:pStyle w:val="TOC1"/>
            <w:tabs>
              <w:tab w:pos="9056" w:val="right" w:leader="dot"/>
            </w:tabs>
            <w:ind w:left="1135" w:firstLine="0"/>
          </w:pPr>
          <w:hyperlink w:history="true" w:anchor="_bookmark66">
            <w:r>
              <w:rPr/>
              <w:t>CAPÍTULO</w:t>
            </w:r>
            <w:r>
              <w:rPr>
                <w:spacing w:val="-5"/>
              </w:rPr>
              <w:t> </w:t>
            </w:r>
            <w:r>
              <w:rPr>
                <w:spacing w:val="-10"/>
              </w:rPr>
              <w:t>V</w:t>
            </w:r>
            <w:r>
              <w:rPr/>
              <w:tab/>
            </w:r>
            <w:r>
              <w:rPr>
                <w:spacing w:val="-5"/>
              </w:rPr>
              <w:t>54</w:t>
            </w:r>
          </w:hyperlink>
        </w:p>
        <w:p>
          <w:pPr>
            <w:pStyle w:val="TOC1"/>
            <w:numPr>
              <w:ilvl w:val="1"/>
              <w:numId w:val="6"/>
            </w:numPr>
            <w:tabs>
              <w:tab w:pos="1855" w:val="left" w:leader="none"/>
              <w:tab w:pos="9056" w:val="right" w:leader="dot"/>
            </w:tabs>
            <w:spacing w:line="240" w:lineRule="auto" w:before="240" w:after="0"/>
            <w:ind w:left="1855" w:right="0" w:hanging="720"/>
            <w:jc w:val="left"/>
          </w:pPr>
          <w:hyperlink w:history="true" w:anchor="_bookmark67">
            <w:r>
              <w:rPr>
                <w:spacing w:val="-2"/>
              </w:rPr>
              <w:t>CONCLUSIONES</w:t>
            </w:r>
            <w:r>
              <w:rPr/>
              <w:tab/>
            </w:r>
            <w:r>
              <w:rPr>
                <w:spacing w:val="-5"/>
              </w:rPr>
              <w:t>54</w:t>
            </w:r>
          </w:hyperlink>
        </w:p>
        <w:p>
          <w:pPr>
            <w:pStyle w:val="TOC1"/>
            <w:numPr>
              <w:ilvl w:val="1"/>
              <w:numId w:val="6"/>
            </w:numPr>
            <w:tabs>
              <w:tab w:pos="1855" w:val="left" w:leader="none"/>
              <w:tab w:pos="9056" w:val="right" w:leader="dot"/>
            </w:tabs>
            <w:spacing w:line="240" w:lineRule="auto" w:before="240" w:after="0"/>
            <w:ind w:left="1855" w:right="0" w:hanging="720"/>
            <w:jc w:val="left"/>
          </w:pPr>
          <w:hyperlink w:history="true" w:anchor="_bookmark68">
            <w:r>
              <w:rPr>
                <w:spacing w:val="-2"/>
              </w:rPr>
              <w:t>RECOMENDACIONES</w:t>
            </w:r>
            <w:r>
              <w:rPr/>
              <w:tab/>
            </w:r>
            <w:r>
              <w:rPr>
                <w:spacing w:val="-5"/>
              </w:rPr>
              <w:t>55</w:t>
            </w:r>
          </w:hyperlink>
        </w:p>
        <w:p>
          <w:pPr>
            <w:pStyle w:val="TOC1"/>
            <w:tabs>
              <w:tab w:pos="9056" w:val="right" w:leader="dot"/>
            </w:tabs>
            <w:ind w:left="1135" w:firstLine="0"/>
          </w:pPr>
          <w:hyperlink w:history="true" w:anchor="_bookmark69">
            <w:r>
              <w:rPr>
                <w:spacing w:val="-2"/>
              </w:rPr>
              <w:t>BIBLIOGRAFÍA</w:t>
            </w:r>
            <w:r>
              <w:rPr/>
              <w:tab/>
            </w:r>
            <w:r>
              <w:rPr>
                <w:spacing w:val="-5"/>
              </w:rPr>
              <w:t>56</w:t>
            </w:r>
          </w:hyperlink>
        </w:p>
      </w:sdtContent>
    </w:sdt>
    <w:p>
      <w:pPr>
        <w:pStyle w:val="TOC1"/>
        <w:spacing w:after="0"/>
        <w:sectPr>
          <w:type w:val="continuous"/>
          <w:pgSz w:w="11900" w:h="16860"/>
          <w:pgMar w:header="0" w:footer="1060" w:top="1631" w:bottom="1934" w:left="1133" w:right="850"/>
        </w:sectPr>
      </w:pPr>
    </w:p>
    <w:p>
      <w:pPr>
        <w:spacing w:before="70"/>
        <w:ind w:left="378" w:right="228" w:firstLine="0"/>
        <w:jc w:val="center"/>
        <w:rPr>
          <w:b/>
          <w:sz w:val="24"/>
        </w:rPr>
      </w:pPr>
      <w:r>
        <w:rPr>
          <w:b/>
          <w:sz w:val="24"/>
        </w:rPr>
        <w:t>ÍNDICE</w:t>
      </w:r>
      <w:r>
        <w:rPr>
          <w:b/>
          <w:spacing w:val="-1"/>
          <w:sz w:val="24"/>
        </w:rPr>
        <w:t> </w:t>
      </w:r>
      <w:r>
        <w:rPr>
          <w:b/>
          <w:spacing w:val="-2"/>
          <w:sz w:val="24"/>
        </w:rPr>
        <w:t>TABLAS</w:t>
      </w:r>
    </w:p>
    <w:p>
      <w:pPr>
        <w:pStyle w:val="BodyText"/>
        <w:ind w:left="0"/>
        <w:rPr>
          <w:b/>
        </w:rPr>
      </w:pPr>
    </w:p>
    <w:p>
      <w:pPr>
        <w:pStyle w:val="BodyText"/>
        <w:ind w:left="0"/>
        <w:rPr>
          <w:b/>
        </w:rPr>
      </w:pPr>
    </w:p>
    <w:p>
      <w:pPr>
        <w:pStyle w:val="BodyText"/>
        <w:spacing w:before="204"/>
        <w:ind w:left="0"/>
        <w:rPr>
          <w:b/>
        </w:rPr>
      </w:pPr>
    </w:p>
    <w:p>
      <w:pPr>
        <w:pStyle w:val="BodyText"/>
        <w:tabs>
          <w:tab w:pos="8816" w:val="left" w:leader="dot"/>
        </w:tabs>
        <w:spacing w:before="1"/>
      </w:pPr>
      <w:hyperlink w:history="true" w:anchor="_bookmark33">
        <w:r>
          <w:rPr>
            <w:b/>
          </w:rPr>
          <w:t>Tabla</w:t>
        </w:r>
        <w:r>
          <w:rPr>
            <w:b/>
            <w:spacing w:val="-3"/>
          </w:rPr>
          <w:t> </w:t>
        </w:r>
        <w:r>
          <w:rPr>
            <w:b/>
          </w:rPr>
          <w:t>1</w:t>
        </w:r>
        <w:r>
          <w:rPr>
            <w:b/>
            <w:spacing w:val="58"/>
          </w:rPr>
          <w:t> </w:t>
        </w:r>
        <w:r>
          <w:rPr/>
          <w:t>Escala</w:t>
        </w:r>
        <w:r>
          <w:rPr>
            <w:spacing w:val="-4"/>
          </w:rPr>
          <w:t> </w:t>
        </w:r>
        <w:r>
          <w:rPr/>
          <w:t>del dolor</w:t>
        </w:r>
        <w:r>
          <w:rPr>
            <w:spacing w:val="-1"/>
          </w:rPr>
          <w:t> </w:t>
        </w:r>
        <w:r>
          <w:rPr/>
          <w:t>modificada</w:t>
        </w:r>
        <w:r>
          <w:rPr>
            <w:spacing w:val="-2"/>
          </w:rPr>
          <w:t> </w:t>
        </w:r>
        <w:r>
          <w:rPr/>
          <w:t>de</w:t>
        </w:r>
        <w:r>
          <w:rPr>
            <w:spacing w:val="-1"/>
          </w:rPr>
          <w:t> </w:t>
        </w:r>
        <w:r>
          <w:rPr/>
          <w:t>la</w:t>
        </w:r>
        <w:r>
          <w:rPr>
            <w:spacing w:val="-1"/>
          </w:rPr>
          <w:t> </w:t>
        </w:r>
        <w:r>
          <w:rPr/>
          <w:t>Unesp-Botucatu</w:t>
        </w:r>
        <w:r>
          <w:rPr>
            <w:spacing w:val="3"/>
          </w:rPr>
          <w:t> </w:t>
        </w:r>
        <w:r>
          <w:rPr>
            <w:spacing w:val="-2"/>
          </w:rPr>
          <w:t>(UCAPS)</w:t>
        </w:r>
        <w:r>
          <w:rPr/>
          <w:tab/>
        </w:r>
        <w:r>
          <w:rPr>
            <w:spacing w:val="-5"/>
          </w:rPr>
          <w:t>26</w:t>
        </w:r>
      </w:hyperlink>
    </w:p>
    <w:p>
      <w:pPr>
        <w:pStyle w:val="BodyText"/>
        <w:tabs>
          <w:tab w:pos="8816" w:val="left" w:leader="dot"/>
        </w:tabs>
        <w:spacing w:before="136"/>
      </w:pPr>
      <w:hyperlink w:history="true" w:anchor="_bookmark35">
        <w:r>
          <w:rPr>
            <w:b/>
          </w:rPr>
          <w:t>Tabla</w:t>
        </w:r>
        <w:r>
          <w:rPr>
            <w:b/>
            <w:spacing w:val="-1"/>
          </w:rPr>
          <w:t> </w:t>
        </w:r>
        <w:r>
          <w:rPr>
            <w:b/>
          </w:rPr>
          <w:t>2</w:t>
        </w:r>
        <w:r>
          <w:rPr>
            <w:b/>
            <w:spacing w:val="58"/>
          </w:rPr>
          <w:t> </w:t>
        </w:r>
        <w:r>
          <w:rPr/>
          <w:t>Escala</w:t>
        </w:r>
        <w:r>
          <w:rPr>
            <w:spacing w:val="-4"/>
          </w:rPr>
          <w:t> </w:t>
        </w:r>
        <w:r>
          <w:rPr/>
          <w:t>de</w:t>
        </w:r>
        <w:r>
          <w:rPr>
            <w:spacing w:val="-2"/>
          </w:rPr>
          <w:t> </w:t>
        </w:r>
        <w:r>
          <w:rPr/>
          <w:t>valoración</w:t>
        </w:r>
        <w:r>
          <w:rPr>
            <w:spacing w:val="-1"/>
          </w:rPr>
          <w:t> </w:t>
        </w:r>
        <w:r>
          <w:rPr/>
          <w:t>de</w:t>
        </w:r>
        <w:r>
          <w:rPr>
            <w:spacing w:val="-2"/>
          </w:rPr>
          <w:t> </w:t>
        </w:r>
        <w:r>
          <w:rPr/>
          <w:t>las</w:t>
        </w:r>
        <w:r>
          <w:rPr>
            <w:spacing w:val="-1"/>
          </w:rPr>
          <w:t> </w:t>
        </w:r>
        <w:r>
          <w:rPr/>
          <w:t>heridas en </w:t>
        </w:r>
        <w:r>
          <w:rPr>
            <w:spacing w:val="-2"/>
          </w:rPr>
          <w:t>terneros</w:t>
        </w:r>
        <w:r>
          <w:rPr/>
          <w:tab/>
        </w:r>
        <w:r>
          <w:rPr>
            <w:spacing w:val="-5"/>
          </w:rPr>
          <w:t>27</w:t>
        </w:r>
      </w:hyperlink>
    </w:p>
    <w:p>
      <w:pPr>
        <w:pStyle w:val="BodyText"/>
        <w:tabs>
          <w:tab w:pos="8816" w:val="left" w:leader="dot"/>
        </w:tabs>
        <w:spacing w:before="140"/>
      </w:pPr>
      <w:hyperlink w:history="true" w:anchor="_bookmark38">
        <w:r>
          <w:rPr>
            <w:b/>
          </w:rPr>
          <w:t>Tabla</w:t>
        </w:r>
        <w:r>
          <w:rPr>
            <w:b/>
            <w:spacing w:val="-2"/>
          </w:rPr>
          <w:t> </w:t>
        </w:r>
        <w:r>
          <w:rPr>
            <w:b/>
          </w:rPr>
          <w:t>3</w:t>
        </w:r>
        <w:r>
          <w:rPr>
            <w:b/>
            <w:spacing w:val="58"/>
          </w:rPr>
          <w:t> </w:t>
        </w:r>
        <w:r>
          <w:rPr/>
          <w:t>Situación</w:t>
        </w:r>
        <w:r>
          <w:rPr>
            <w:spacing w:val="-1"/>
          </w:rPr>
          <w:t> </w:t>
        </w:r>
        <w:r>
          <w:rPr/>
          <w:t>geográfica</w:t>
        </w:r>
        <w:r>
          <w:rPr>
            <w:spacing w:val="4"/>
          </w:rPr>
          <w:t> </w:t>
        </w:r>
        <w:r>
          <w:rPr/>
          <w:t>y</w:t>
        </w:r>
        <w:r>
          <w:rPr>
            <w:spacing w:val="-4"/>
          </w:rPr>
          <w:t> </w:t>
        </w:r>
        <w:r>
          <w:rPr>
            <w:spacing w:val="-2"/>
          </w:rPr>
          <w:t>edafoclimática</w:t>
        </w:r>
        <w:r>
          <w:rPr/>
          <w:tab/>
        </w:r>
        <w:r>
          <w:rPr>
            <w:spacing w:val="-5"/>
          </w:rPr>
          <w:t>28</w:t>
        </w:r>
      </w:hyperlink>
    </w:p>
    <w:p>
      <w:pPr>
        <w:tabs>
          <w:tab w:pos="8816" w:val="left" w:leader="dot"/>
        </w:tabs>
        <w:spacing w:before="136"/>
        <w:ind w:left="1135" w:right="0" w:firstLine="0"/>
        <w:jc w:val="left"/>
        <w:rPr>
          <w:sz w:val="24"/>
        </w:rPr>
      </w:pPr>
      <w:hyperlink w:history="true" w:anchor="_bookmark44">
        <w:r>
          <w:rPr>
            <w:b/>
            <w:sz w:val="24"/>
          </w:rPr>
          <w:t>Tabla</w:t>
        </w:r>
        <w:r>
          <w:rPr>
            <w:b/>
            <w:spacing w:val="-1"/>
            <w:sz w:val="24"/>
          </w:rPr>
          <w:t> </w:t>
        </w:r>
        <w:r>
          <w:rPr>
            <w:b/>
            <w:sz w:val="24"/>
          </w:rPr>
          <w:t>4</w:t>
        </w:r>
        <w:r>
          <w:rPr>
            <w:b/>
            <w:spacing w:val="59"/>
            <w:sz w:val="24"/>
          </w:rPr>
          <w:t> </w:t>
        </w:r>
        <w:r>
          <w:rPr>
            <w:sz w:val="24"/>
          </w:rPr>
          <w:t>Tratamientos</w:t>
        </w:r>
        <w:r>
          <w:rPr>
            <w:spacing w:val="14"/>
            <w:sz w:val="24"/>
          </w:rPr>
          <w:t> </w:t>
        </w:r>
        <w:r>
          <w:rPr>
            <w:sz w:val="24"/>
          </w:rPr>
          <w:t>en </w:t>
        </w:r>
        <w:r>
          <w:rPr>
            <w:spacing w:val="-2"/>
            <w:sz w:val="24"/>
          </w:rPr>
          <w:t>estudio</w:t>
        </w:r>
        <w:r>
          <w:rPr>
            <w:sz w:val="24"/>
          </w:rPr>
          <w:tab/>
        </w:r>
        <w:r>
          <w:rPr>
            <w:spacing w:val="-5"/>
            <w:sz w:val="24"/>
          </w:rPr>
          <w:t>29</w:t>
        </w:r>
      </w:hyperlink>
    </w:p>
    <w:p>
      <w:pPr>
        <w:pStyle w:val="BodyText"/>
        <w:tabs>
          <w:tab w:pos="8816" w:val="left" w:leader="dot"/>
        </w:tabs>
        <w:spacing w:before="140"/>
      </w:pPr>
      <w:hyperlink w:history="true" w:anchor="_bookmark45">
        <w:r>
          <w:rPr>
            <w:b/>
          </w:rPr>
          <w:t>Tabla</w:t>
        </w:r>
        <w:r>
          <w:rPr>
            <w:b/>
            <w:spacing w:val="-3"/>
          </w:rPr>
          <w:t> </w:t>
        </w:r>
        <w:r>
          <w:rPr>
            <w:b/>
          </w:rPr>
          <w:t>5</w:t>
        </w:r>
        <w:r>
          <w:rPr>
            <w:b/>
            <w:spacing w:val="56"/>
          </w:rPr>
          <w:t> </w:t>
        </w:r>
        <w:r>
          <w:rPr/>
          <w:t>Características</w:t>
        </w:r>
        <w:r>
          <w:rPr>
            <w:spacing w:val="-1"/>
          </w:rPr>
          <w:t> </w:t>
        </w:r>
        <w:r>
          <w:rPr/>
          <w:t>numéricas</w:t>
        </w:r>
        <w:r>
          <w:rPr>
            <w:spacing w:val="-2"/>
          </w:rPr>
          <w:t> </w:t>
        </w:r>
        <w:r>
          <w:rPr/>
          <w:t>del</w:t>
        </w:r>
        <w:r>
          <w:rPr>
            <w:spacing w:val="-2"/>
          </w:rPr>
          <w:t> experimento</w:t>
        </w:r>
        <w:r>
          <w:rPr/>
          <w:tab/>
        </w:r>
        <w:r>
          <w:rPr>
            <w:spacing w:val="-5"/>
          </w:rPr>
          <w:t>30</w:t>
        </w:r>
      </w:hyperlink>
    </w:p>
    <w:p>
      <w:pPr>
        <w:pStyle w:val="BodyText"/>
        <w:tabs>
          <w:tab w:pos="2215" w:val="left" w:leader="none"/>
          <w:tab w:pos="7040" w:val="left" w:leader="none"/>
          <w:tab w:pos="8816" w:val="left" w:leader="dot"/>
        </w:tabs>
        <w:spacing w:line="360" w:lineRule="auto" w:before="137"/>
        <w:ind w:right="849"/>
      </w:pPr>
      <w:hyperlink w:history="true" w:anchor="_bookmark51">
        <w:r>
          <w:rPr>
            <w:b/>
          </w:rPr>
          <w:t>Tabla</w:t>
        </w:r>
        <w:r>
          <w:rPr>
            <w:b/>
            <w:spacing w:val="40"/>
          </w:rPr>
          <w:t> </w:t>
        </w:r>
        <w:r>
          <w:rPr>
            <w:b/>
          </w:rPr>
          <w:t>6</w:t>
          <w:tab/>
        </w:r>
        <w:r>
          <w:rPr/>
          <w:t>Promedio</w:t>
        </w:r>
        <w:r>
          <w:rPr>
            <w:spacing w:val="40"/>
          </w:rPr>
          <w:t> </w:t>
        </w:r>
        <w:r>
          <w:rPr/>
          <w:t>de</w:t>
        </w:r>
        <w:r>
          <w:rPr>
            <w:spacing w:val="40"/>
          </w:rPr>
          <w:t> </w:t>
        </w:r>
        <w:r>
          <w:rPr/>
          <w:t>frecuencia</w:t>
        </w:r>
        <w:r>
          <w:rPr>
            <w:spacing w:val="40"/>
          </w:rPr>
          <w:t> </w:t>
        </w:r>
        <w:r>
          <w:rPr/>
          <w:t>cardiaca,</w:t>
        </w:r>
        <w:r>
          <w:rPr>
            <w:spacing w:val="40"/>
          </w:rPr>
          <w:t> </w:t>
        </w:r>
        <w:r>
          <w:rPr/>
          <w:t>respiratoria</w:t>
          <w:tab/>
          <w:t>antes</w:t>
        </w:r>
        <w:r>
          <w:rPr>
            <w:spacing w:val="40"/>
          </w:rPr>
          <w:t> </w:t>
        </w:r>
        <w:r>
          <w:rPr/>
          <w:t>y</w:t>
        </w:r>
        <w:r>
          <w:rPr>
            <w:spacing w:val="40"/>
          </w:rPr>
          <w:t> </w:t>
        </w:r>
        <w:r>
          <w:rPr/>
          <w:t>después</w:t>
        </w:r>
        <w:r>
          <w:rPr>
            <w:spacing w:val="40"/>
          </w:rPr>
          <w:t> </w:t>
        </w:r>
        <w:r>
          <w:rPr/>
          <w:t>del</w:t>
        </w:r>
      </w:hyperlink>
      <w:r>
        <w:rPr/>
        <w:t> </w:t>
      </w:r>
      <w:hyperlink w:history="true" w:anchor="_bookmark51">
        <w:r>
          <w:rPr/>
          <w:t>descorne</w:t>
        </w:r>
        <w:r>
          <w:rPr>
            <w:spacing w:val="-4"/>
          </w:rPr>
          <w:t> </w:t>
        </w:r>
        <w:r>
          <w:rPr/>
          <w:t>(latidos/min)</w:t>
        </w:r>
        <w:r>
          <w:rPr>
            <w:spacing w:val="-1"/>
          </w:rPr>
          <w:t> </w:t>
        </w:r>
        <w:r>
          <w:rPr/>
          <w:t>con</w:t>
        </w:r>
        <w:r>
          <w:rPr>
            <w:spacing w:val="-1"/>
          </w:rPr>
          <w:t> </w:t>
        </w:r>
        <w:r>
          <w:rPr/>
          <w:t>los</w:t>
        </w:r>
        <w:r>
          <w:rPr>
            <w:spacing w:val="-2"/>
          </w:rPr>
          <w:t> </w:t>
        </w:r>
        <w:r>
          <w:rPr/>
          <w:t>efectos</w:t>
        </w:r>
        <w:r>
          <w:rPr>
            <w:spacing w:val="-1"/>
          </w:rPr>
          <w:t> </w:t>
        </w:r>
        <w:r>
          <w:rPr/>
          <w:t>de</w:t>
        </w:r>
        <w:r>
          <w:rPr>
            <w:spacing w:val="-1"/>
          </w:rPr>
          <w:t> </w:t>
        </w:r>
        <w:r>
          <w:rPr/>
          <w:t>tratamientos</w:t>
        </w:r>
        <w:r>
          <w:rPr>
            <w:spacing w:val="-1"/>
          </w:rPr>
          <w:t> </w:t>
        </w:r>
        <w:r>
          <w:rPr>
            <w:spacing w:val="-2"/>
          </w:rPr>
          <w:t>analgésicos</w:t>
        </w:r>
        <w:r>
          <w:rPr/>
          <w:tab/>
        </w:r>
        <w:r>
          <w:rPr>
            <w:spacing w:val="-5"/>
          </w:rPr>
          <w:t>35</w:t>
        </w:r>
      </w:hyperlink>
    </w:p>
    <w:p>
      <w:pPr>
        <w:pStyle w:val="BodyText"/>
        <w:tabs>
          <w:tab w:pos="8816" w:val="left" w:leader="dot"/>
        </w:tabs>
      </w:pPr>
      <w:hyperlink w:history="true" w:anchor="_bookmark52">
        <w:r>
          <w:rPr>
            <w:b/>
          </w:rPr>
          <w:t>Tabla</w:t>
        </w:r>
        <w:r>
          <w:rPr>
            <w:b/>
            <w:spacing w:val="-3"/>
          </w:rPr>
          <w:t> </w:t>
        </w:r>
        <w:r>
          <w:rPr>
            <w:b/>
          </w:rPr>
          <w:t>7</w:t>
        </w:r>
        <w:r>
          <w:rPr>
            <w:b/>
            <w:spacing w:val="60"/>
          </w:rPr>
          <w:t> </w:t>
        </w:r>
        <w:r>
          <w:rPr/>
          <w:t>Comparación</w:t>
        </w:r>
        <w:r>
          <w:rPr>
            <w:spacing w:val="-1"/>
          </w:rPr>
          <w:t> </w:t>
        </w:r>
        <w:r>
          <w:rPr/>
          <w:t>de medias Tukey</w:t>
        </w:r>
        <w:r>
          <w:rPr>
            <w:spacing w:val="-5"/>
          </w:rPr>
          <w:t> </w:t>
        </w:r>
        <w:r>
          <w:rPr/>
          <w:t>(Frecuencia </w:t>
        </w:r>
        <w:r>
          <w:rPr>
            <w:spacing w:val="-2"/>
          </w:rPr>
          <w:t>cardiaca)</w:t>
        </w:r>
        <w:r>
          <w:rPr/>
          <w:tab/>
        </w:r>
        <w:r>
          <w:rPr>
            <w:spacing w:val="-5"/>
          </w:rPr>
          <w:t>37</w:t>
        </w:r>
      </w:hyperlink>
    </w:p>
    <w:p>
      <w:pPr>
        <w:pStyle w:val="BodyText"/>
        <w:tabs>
          <w:tab w:pos="8816" w:val="left" w:leader="dot"/>
        </w:tabs>
        <w:spacing w:before="139"/>
      </w:pPr>
      <w:hyperlink w:history="true" w:anchor="_bookmark54">
        <w:r>
          <w:rPr>
            <w:b/>
          </w:rPr>
          <w:t>Tabla</w:t>
        </w:r>
        <w:r>
          <w:rPr>
            <w:b/>
            <w:spacing w:val="-3"/>
          </w:rPr>
          <w:t> </w:t>
        </w:r>
        <w:r>
          <w:rPr>
            <w:b/>
          </w:rPr>
          <w:t>8</w:t>
        </w:r>
        <w:r>
          <w:rPr>
            <w:b/>
            <w:spacing w:val="60"/>
          </w:rPr>
          <w:t> </w:t>
        </w:r>
        <w:r>
          <w:rPr/>
          <w:t>Comparación</w:t>
        </w:r>
        <w:r>
          <w:rPr>
            <w:spacing w:val="-1"/>
          </w:rPr>
          <w:t> </w:t>
        </w:r>
        <w:r>
          <w:rPr/>
          <w:t>de medias Tukey</w:t>
        </w:r>
        <w:r>
          <w:rPr>
            <w:spacing w:val="-5"/>
          </w:rPr>
          <w:t> </w:t>
        </w:r>
        <w:r>
          <w:rPr/>
          <w:t>(Frecuencia </w:t>
        </w:r>
        <w:r>
          <w:rPr>
            <w:spacing w:val="-2"/>
          </w:rPr>
          <w:t>respiratoria)</w:t>
        </w:r>
        <w:r>
          <w:rPr/>
          <w:tab/>
        </w:r>
        <w:r>
          <w:rPr>
            <w:spacing w:val="-5"/>
          </w:rPr>
          <w:t>39</w:t>
        </w:r>
      </w:hyperlink>
    </w:p>
    <w:p>
      <w:pPr>
        <w:tabs>
          <w:tab w:pos="8816" w:val="left" w:leader="dot"/>
        </w:tabs>
        <w:spacing w:before="137"/>
        <w:ind w:left="1135" w:right="0" w:firstLine="0"/>
        <w:jc w:val="left"/>
        <w:rPr>
          <w:sz w:val="24"/>
        </w:rPr>
      </w:pPr>
      <w:hyperlink w:history="true" w:anchor="_bookmark56">
        <w:r>
          <w:rPr>
            <w:b/>
            <w:sz w:val="24"/>
          </w:rPr>
          <w:t>Tabla</w:t>
        </w:r>
        <w:r>
          <w:rPr>
            <w:b/>
            <w:spacing w:val="-2"/>
            <w:sz w:val="24"/>
          </w:rPr>
          <w:t> </w:t>
        </w:r>
        <w:r>
          <w:rPr>
            <w:b/>
            <w:sz w:val="24"/>
          </w:rPr>
          <w:t>9</w:t>
        </w:r>
        <w:r>
          <w:rPr>
            <w:b/>
            <w:spacing w:val="58"/>
            <w:sz w:val="24"/>
          </w:rPr>
          <w:t> </w:t>
        </w:r>
        <w:r>
          <w:rPr>
            <w:sz w:val="24"/>
          </w:rPr>
          <w:t>ANOVA</w:t>
        </w:r>
        <w:r>
          <w:rPr>
            <w:spacing w:val="-2"/>
            <w:sz w:val="24"/>
          </w:rPr>
          <w:t> </w:t>
        </w:r>
        <w:r>
          <w:rPr>
            <w:sz w:val="24"/>
          </w:rPr>
          <w:t>–</w:t>
        </w:r>
        <w:r>
          <w:rPr>
            <w:spacing w:val="-1"/>
            <w:sz w:val="24"/>
          </w:rPr>
          <w:t> </w:t>
        </w:r>
        <w:r>
          <w:rPr>
            <w:sz w:val="24"/>
          </w:rPr>
          <w:t>Frecuencia</w:t>
        </w:r>
        <w:r>
          <w:rPr>
            <w:spacing w:val="-1"/>
            <w:sz w:val="24"/>
          </w:rPr>
          <w:t> </w:t>
        </w:r>
        <w:r>
          <w:rPr>
            <w:spacing w:val="-2"/>
            <w:sz w:val="24"/>
          </w:rPr>
          <w:t>cardiaca</w:t>
        </w:r>
        <w:r>
          <w:rPr>
            <w:sz w:val="24"/>
          </w:rPr>
          <w:tab/>
        </w:r>
        <w:r>
          <w:rPr>
            <w:spacing w:val="-5"/>
            <w:sz w:val="24"/>
          </w:rPr>
          <w:t>40</w:t>
        </w:r>
      </w:hyperlink>
    </w:p>
    <w:p>
      <w:pPr>
        <w:tabs>
          <w:tab w:pos="8816" w:val="left" w:leader="dot"/>
        </w:tabs>
        <w:spacing w:before="139"/>
        <w:ind w:left="1135" w:right="0" w:firstLine="0"/>
        <w:jc w:val="left"/>
        <w:rPr>
          <w:sz w:val="24"/>
        </w:rPr>
      </w:pPr>
      <w:hyperlink w:history="true" w:anchor="_bookmark57">
        <w:r>
          <w:rPr>
            <w:b/>
            <w:sz w:val="24"/>
          </w:rPr>
          <w:t>Tabla</w:t>
        </w:r>
        <w:r>
          <w:rPr>
            <w:b/>
            <w:spacing w:val="-2"/>
            <w:sz w:val="24"/>
          </w:rPr>
          <w:t> </w:t>
        </w:r>
        <w:r>
          <w:rPr>
            <w:b/>
            <w:sz w:val="24"/>
          </w:rPr>
          <w:t>10</w:t>
        </w:r>
        <w:r>
          <w:rPr>
            <w:b/>
            <w:spacing w:val="58"/>
            <w:sz w:val="24"/>
          </w:rPr>
          <w:t> </w:t>
        </w:r>
        <w:r>
          <w:rPr>
            <w:sz w:val="24"/>
          </w:rPr>
          <w:t>ANOVA</w:t>
        </w:r>
        <w:r>
          <w:rPr>
            <w:spacing w:val="-2"/>
            <w:sz w:val="24"/>
          </w:rPr>
          <w:t> </w:t>
        </w:r>
        <w:r>
          <w:rPr>
            <w:sz w:val="24"/>
          </w:rPr>
          <w:t>–</w:t>
        </w:r>
        <w:r>
          <w:rPr>
            <w:spacing w:val="-1"/>
            <w:sz w:val="24"/>
          </w:rPr>
          <w:t> </w:t>
        </w:r>
        <w:r>
          <w:rPr>
            <w:sz w:val="24"/>
          </w:rPr>
          <w:t>Frecuencia </w:t>
        </w:r>
        <w:r>
          <w:rPr>
            <w:spacing w:val="-2"/>
            <w:sz w:val="24"/>
          </w:rPr>
          <w:t>respiratoria</w:t>
        </w:r>
        <w:r>
          <w:rPr>
            <w:sz w:val="24"/>
          </w:rPr>
          <w:tab/>
        </w:r>
        <w:r>
          <w:rPr>
            <w:spacing w:val="-5"/>
            <w:sz w:val="24"/>
          </w:rPr>
          <w:t>41</w:t>
        </w:r>
      </w:hyperlink>
    </w:p>
    <w:p>
      <w:pPr>
        <w:pStyle w:val="BodyText"/>
        <w:tabs>
          <w:tab w:pos="8816" w:val="left" w:leader="dot"/>
        </w:tabs>
        <w:spacing w:before="137"/>
      </w:pPr>
      <w:hyperlink w:history="true" w:anchor="_bookmark58">
        <w:r>
          <w:rPr>
            <w:b/>
          </w:rPr>
          <w:t>Tabla</w:t>
        </w:r>
        <w:r>
          <w:rPr>
            <w:b/>
            <w:spacing w:val="-1"/>
          </w:rPr>
          <w:t> </w:t>
        </w:r>
        <w:r>
          <w:rPr>
            <w:b/>
          </w:rPr>
          <w:t>11</w:t>
        </w:r>
        <w:r>
          <w:rPr>
            <w:b/>
            <w:spacing w:val="59"/>
          </w:rPr>
          <w:t> </w:t>
        </w:r>
        <w:r>
          <w:rPr/>
          <w:t>Promedios</w:t>
        </w:r>
        <w:r>
          <w:rPr>
            <w:spacing w:val="-1"/>
          </w:rPr>
          <w:t> </w:t>
        </w:r>
        <w:r>
          <w:rPr/>
          <w:t>por</w:t>
        </w:r>
        <w:r>
          <w:rPr>
            <w:spacing w:val="-4"/>
          </w:rPr>
          <w:t> </w:t>
        </w:r>
        <w:r>
          <w:rPr/>
          <w:t>tratamiento</w:t>
        </w:r>
        <w:r>
          <w:rPr>
            <w:spacing w:val="-1"/>
          </w:rPr>
          <w:t> </w:t>
        </w:r>
        <w:r>
          <w:rPr/>
          <w:t>PCR </w:t>
        </w:r>
        <w:r>
          <w:rPr>
            <w:spacing w:val="-2"/>
          </w:rPr>
          <w:t>(mg/L)</w:t>
        </w:r>
        <w:r>
          <w:rPr/>
          <w:tab/>
        </w:r>
        <w:r>
          <w:rPr>
            <w:spacing w:val="-5"/>
          </w:rPr>
          <w:t>43</w:t>
        </w:r>
      </w:hyperlink>
    </w:p>
    <w:p>
      <w:pPr>
        <w:tabs>
          <w:tab w:pos="8816" w:val="left" w:leader="dot"/>
        </w:tabs>
        <w:spacing w:before="139"/>
        <w:ind w:left="1135" w:right="0" w:firstLine="0"/>
        <w:jc w:val="left"/>
        <w:rPr>
          <w:sz w:val="24"/>
        </w:rPr>
      </w:pPr>
      <w:hyperlink w:history="true" w:anchor="_bookmark59">
        <w:r>
          <w:rPr>
            <w:b/>
            <w:sz w:val="24"/>
          </w:rPr>
          <w:t>Tabla</w:t>
        </w:r>
        <w:r>
          <w:rPr>
            <w:b/>
            <w:spacing w:val="-1"/>
            <w:sz w:val="24"/>
          </w:rPr>
          <w:t> </w:t>
        </w:r>
        <w:r>
          <w:rPr>
            <w:b/>
            <w:sz w:val="24"/>
          </w:rPr>
          <w:t>12</w:t>
        </w:r>
        <w:r>
          <w:rPr>
            <w:b/>
            <w:spacing w:val="58"/>
            <w:sz w:val="24"/>
          </w:rPr>
          <w:t> </w:t>
        </w:r>
        <w:r>
          <w:rPr>
            <w:sz w:val="24"/>
          </w:rPr>
          <w:t>ANOVA</w:t>
        </w:r>
        <w:r>
          <w:rPr>
            <w:spacing w:val="-1"/>
            <w:sz w:val="24"/>
          </w:rPr>
          <w:t> </w:t>
        </w:r>
        <w:r>
          <w:rPr>
            <w:sz w:val="24"/>
          </w:rPr>
          <w:t>–</w:t>
        </w:r>
        <w:r>
          <w:rPr>
            <w:spacing w:val="-1"/>
            <w:sz w:val="24"/>
          </w:rPr>
          <w:t> </w:t>
        </w:r>
        <w:r>
          <w:rPr>
            <w:sz w:val="24"/>
          </w:rPr>
          <w:t>Proteína</w:t>
        </w:r>
        <w:r>
          <w:rPr>
            <w:spacing w:val="-1"/>
            <w:sz w:val="24"/>
          </w:rPr>
          <w:t> </w:t>
        </w:r>
        <w:r>
          <w:rPr>
            <w:sz w:val="24"/>
          </w:rPr>
          <w:t>C </w:t>
        </w:r>
        <w:r>
          <w:rPr>
            <w:spacing w:val="-2"/>
            <w:sz w:val="24"/>
          </w:rPr>
          <w:t>Reactiva</w:t>
        </w:r>
        <w:r>
          <w:rPr>
            <w:sz w:val="24"/>
          </w:rPr>
          <w:tab/>
        </w:r>
        <w:r>
          <w:rPr>
            <w:spacing w:val="-5"/>
            <w:sz w:val="24"/>
          </w:rPr>
          <w:t>44</w:t>
        </w:r>
      </w:hyperlink>
    </w:p>
    <w:p>
      <w:pPr>
        <w:pStyle w:val="BodyText"/>
        <w:tabs>
          <w:tab w:pos="8816" w:val="left" w:leader="dot"/>
        </w:tabs>
        <w:spacing w:before="138"/>
      </w:pPr>
      <w:hyperlink w:history="true" w:anchor="_bookmark60">
        <w:r>
          <w:rPr>
            <w:b/>
          </w:rPr>
          <w:t>Tabla</w:t>
        </w:r>
        <w:r>
          <w:rPr>
            <w:b/>
            <w:spacing w:val="-1"/>
          </w:rPr>
          <w:t> </w:t>
        </w:r>
        <w:r>
          <w:rPr>
            <w:b/>
          </w:rPr>
          <w:t>13</w:t>
        </w:r>
        <w:r>
          <w:rPr>
            <w:b/>
            <w:spacing w:val="58"/>
          </w:rPr>
          <w:t> </w:t>
        </w:r>
        <w:r>
          <w:rPr/>
          <w:t>Promedio</w:t>
        </w:r>
        <w:r>
          <w:rPr>
            <w:spacing w:val="-1"/>
          </w:rPr>
          <w:t> </w:t>
        </w:r>
        <w:r>
          <w:rPr/>
          <w:t>de</w:t>
        </w:r>
        <w:r>
          <w:rPr>
            <w:spacing w:val="-1"/>
          </w:rPr>
          <w:t> </w:t>
        </w:r>
        <w:r>
          <w:rPr/>
          <w:t>ganancia</w:t>
        </w:r>
        <w:r>
          <w:rPr>
            <w:spacing w:val="-1"/>
          </w:rPr>
          <w:t> </w:t>
        </w:r>
        <w:r>
          <w:rPr/>
          <w:t>de</w:t>
        </w:r>
        <w:r>
          <w:rPr>
            <w:spacing w:val="-2"/>
          </w:rPr>
          <w:t> </w:t>
        </w:r>
        <w:r>
          <w:rPr/>
          <w:t>peso</w:t>
        </w:r>
        <w:r>
          <w:rPr>
            <w:spacing w:val="-1"/>
          </w:rPr>
          <w:t> </w:t>
        </w:r>
        <w:r>
          <w:rPr/>
          <w:t>por </w:t>
        </w:r>
        <w:r>
          <w:rPr>
            <w:spacing w:val="-2"/>
          </w:rPr>
          <w:t>tratamiento</w:t>
        </w:r>
        <w:r>
          <w:rPr/>
          <w:tab/>
        </w:r>
        <w:r>
          <w:rPr>
            <w:spacing w:val="-5"/>
          </w:rPr>
          <w:t>46</w:t>
        </w:r>
      </w:hyperlink>
    </w:p>
    <w:p>
      <w:pPr>
        <w:tabs>
          <w:tab w:pos="8816" w:val="left" w:leader="dot"/>
        </w:tabs>
        <w:spacing w:before="139"/>
        <w:ind w:left="1135" w:right="0" w:firstLine="0"/>
        <w:jc w:val="left"/>
        <w:rPr>
          <w:sz w:val="24"/>
        </w:rPr>
      </w:pPr>
      <w:hyperlink w:history="true" w:anchor="_bookmark61">
        <w:r>
          <w:rPr>
            <w:b/>
            <w:sz w:val="24"/>
          </w:rPr>
          <w:t>Tabla</w:t>
        </w:r>
        <w:r>
          <w:rPr>
            <w:b/>
            <w:spacing w:val="-1"/>
            <w:sz w:val="24"/>
          </w:rPr>
          <w:t> </w:t>
        </w:r>
        <w:r>
          <w:rPr>
            <w:b/>
            <w:sz w:val="24"/>
          </w:rPr>
          <w:t>14</w:t>
        </w:r>
        <w:r>
          <w:rPr>
            <w:b/>
            <w:spacing w:val="58"/>
            <w:sz w:val="24"/>
          </w:rPr>
          <w:t> </w:t>
        </w:r>
        <w:r>
          <w:rPr>
            <w:sz w:val="24"/>
          </w:rPr>
          <w:t>ANOVA</w:t>
        </w:r>
        <w:r>
          <w:rPr>
            <w:spacing w:val="-2"/>
            <w:sz w:val="24"/>
          </w:rPr>
          <w:t> </w:t>
        </w:r>
        <w:r>
          <w:rPr>
            <w:sz w:val="24"/>
          </w:rPr>
          <w:t>–</w:t>
        </w:r>
        <w:r>
          <w:rPr>
            <w:spacing w:val="-1"/>
            <w:sz w:val="24"/>
          </w:rPr>
          <w:t> </w:t>
        </w:r>
        <w:r>
          <w:rPr>
            <w:sz w:val="24"/>
          </w:rPr>
          <w:t>Ganancia</w:t>
        </w:r>
        <w:r>
          <w:rPr>
            <w:spacing w:val="-1"/>
            <w:sz w:val="24"/>
          </w:rPr>
          <w:t> </w:t>
        </w:r>
        <w:r>
          <w:rPr>
            <w:sz w:val="24"/>
          </w:rPr>
          <w:t>de</w:t>
        </w:r>
        <w:r>
          <w:rPr>
            <w:spacing w:val="-2"/>
            <w:sz w:val="24"/>
          </w:rPr>
          <w:t> </w:t>
        </w:r>
        <w:r>
          <w:rPr>
            <w:spacing w:val="-4"/>
            <w:sz w:val="24"/>
          </w:rPr>
          <w:t>peso</w:t>
        </w:r>
        <w:r>
          <w:rPr>
            <w:sz w:val="24"/>
          </w:rPr>
          <w:tab/>
        </w:r>
        <w:r>
          <w:rPr>
            <w:spacing w:val="-5"/>
            <w:sz w:val="24"/>
          </w:rPr>
          <w:t>47</w:t>
        </w:r>
      </w:hyperlink>
    </w:p>
    <w:p>
      <w:pPr>
        <w:pStyle w:val="BodyText"/>
        <w:tabs>
          <w:tab w:pos="8816" w:val="left" w:leader="dot"/>
        </w:tabs>
        <w:spacing w:before="137"/>
      </w:pPr>
      <w:hyperlink w:history="true" w:anchor="_bookmark62">
        <w:r>
          <w:rPr>
            <w:b/>
          </w:rPr>
          <w:t>Tabla</w:t>
        </w:r>
        <w:r>
          <w:rPr>
            <w:b/>
            <w:spacing w:val="-3"/>
          </w:rPr>
          <w:t> </w:t>
        </w:r>
        <w:r>
          <w:rPr>
            <w:b/>
          </w:rPr>
          <w:t>15</w:t>
        </w:r>
        <w:r>
          <w:rPr>
            <w:b/>
            <w:spacing w:val="59"/>
          </w:rPr>
          <w:t> </w:t>
        </w:r>
        <w:r>
          <w:rPr/>
          <w:t>Comparación de medias</w:t>
        </w:r>
        <w:r>
          <w:rPr>
            <w:spacing w:val="-1"/>
          </w:rPr>
          <w:t> </w:t>
        </w:r>
        <w:r>
          <w:rPr/>
          <w:t>Tukey</w:t>
        </w:r>
        <w:r>
          <w:rPr>
            <w:spacing w:val="-5"/>
          </w:rPr>
          <w:t> </w:t>
        </w:r>
        <w:r>
          <w:rPr/>
          <w:t>(Ganancia de</w:t>
        </w:r>
        <w:r>
          <w:rPr>
            <w:spacing w:val="-2"/>
          </w:rPr>
          <w:t> peso)</w:t>
        </w:r>
        <w:r>
          <w:rPr/>
          <w:tab/>
        </w:r>
        <w:r>
          <w:rPr>
            <w:spacing w:val="-5"/>
          </w:rPr>
          <w:t>48</w:t>
        </w:r>
      </w:hyperlink>
    </w:p>
    <w:p>
      <w:pPr>
        <w:pStyle w:val="BodyText"/>
        <w:tabs>
          <w:tab w:pos="8816" w:val="left" w:leader="dot"/>
        </w:tabs>
        <w:spacing w:before="137"/>
      </w:pPr>
      <w:hyperlink w:history="true" w:anchor="_bookmark63">
        <w:r>
          <w:rPr>
            <w:b/>
          </w:rPr>
          <w:t>Tabla</w:t>
        </w:r>
        <w:r>
          <w:rPr>
            <w:b/>
            <w:spacing w:val="-1"/>
          </w:rPr>
          <w:t> </w:t>
        </w:r>
        <w:r>
          <w:rPr>
            <w:b/>
          </w:rPr>
          <w:t>16</w:t>
        </w:r>
        <w:r>
          <w:rPr>
            <w:b/>
            <w:spacing w:val="60"/>
          </w:rPr>
          <w:t> </w:t>
        </w:r>
        <w:r>
          <w:rPr/>
          <w:t>Puntaje</w:t>
        </w:r>
        <w:r>
          <w:rPr>
            <w:spacing w:val="-1"/>
          </w:rPr>
          <w:t> </w:t>
        </w:r>
        <w:r>
          <w:rPr/>
          <w:t>promedio</w:t>
        </w:r>
        <w:r>
          <w:rPr>
            <w:spacing w:val="-1"/>
          </w:rPr>
          <w:t> </w:t>
        </w:r>
        <w:r>
          <w:rPr/>
          <w:t>de dolor</w:t>
        </w:r>
        <w:r>
          <w:rPr>
            <w:spacing w:val="-1"/>
          </w:rPr>
          <w:t> </w:t>
        </w:r>
        <w:r>
          <w:rPr/>
          <w:t>por </w:t>
        </w:r>
        <w:r>
          <w:rPr>
            <w:spacing w:val="-2"/>
          </w:rPr>
          <w:t>tratamiento</w:t>
        </w:r>
        <w:r>
          <w:rPr/>
          <w:tab/>
        </w:r>
        <w:r>
          <w:rPr>
            <w:spacing w:val="-5"/>
          </w:rPr>
          <w:t>49</w:t>
        </w:r>
      </w:hyperlink>
    </w:p>
    <w:p>
      <w:pPr>
        <w:pStyle w:val="BodyText"/>
        <w:tabs>
          <w:tab w:pos="8816" w:val="left" w:leader="dot"/>
        </w:tabs>
        <w:spacing w:before="139"/>
      </w:pPr>
      <w:hyperlink w:history="true" w:anchor="_bookmark64">
        <w:r>
          <w:rPr>
            <w:b/>
          </w:rPr>
          <w:t>Tabla</w:t>
        </w:r>
        <w:r>
          <w:rPr>
            <w:b/>
            <w:spacing w:val="-3"/>
          </w:rPr>
          <w:t> </w:t>
        </w:r>
        <w:r>
          <w:rPr>
            <w:b/>
          </w:rPr>
          <w:t>17</w:t>
        </w:r>
        <w:r>
          <w:rPr>
            <w:b/>
            <w:spacing w:val="59"/>
          </w:rPr>
          <w:t> </w:t>
        </w:r>
        <w:r>
          <w:rPr/>
          <w:t>ANOVA</w:t>
        </w:r>
        <w:r>
          <w:rPr>
            <w:spacing w:val="-1"/>
          </w:rPr>
          <w:t> </w:t>
        </w:r>
        <w:r>
          <w:rPr/>
          <w:t>–</w:t>
        </w:r>
        <w:r>
          <w:rPr>
            <w:spacing w:val="-1"/>
          </w:rPr>
          <w:t> </w:t>
        </w:r>
        <w:r>
          <w:rPr/>
          <w:t>Puntaje</w:t>
        </w:r>
        <w:r>
          <w:rPr>
            <w:spacing w:val="-1"/>
          </w:rPr>
          <w:t> </w:t>
        </w:r>
        <w:r>
          <w:rPr/>
          <w:t>conductual</w:t>
        </w:r>
        <w:r>
          <w:rPr>
            <w:spacing w:val="-1"/>
          </w:rPr>
          <w:t> </w:t>
        </w:r>
        <w:r>
          <w:rPr/>
          <w:t>de</w:t>
        </w:r>
        <w:r>
          <w:rPr>
            <w:spacing w:val="-1"/>
          </w:rPr>
          <w:t> </w:t>
        </w:r>
        <w:r>
          <w:rPr>
            <w:spacing w:val="-2"/>
          </w:rPr>
          <w:t>dolor</w:t>
        </w:r>
        <w:r>
          <w:rPr/>
          <w:tab/>
        </w:r>
        <w:r>
          <w:rPr>
            <w:spacing w:val="-5"/>
          </w:rPr>
          <w:t>51</w:t>
        </w:r>
      </w:hyperlink>
    </w:p>
    <w:p>
      <w:pPr>
        <w:pStyle w:val="BodyText"/>
        <w:tabs>
          <w:tab w:pos="8816" w:val="left" w:leader="dot"/>
        </w:tabs>
        <w:spacing w:before="137"/>
      </w:pPr>
      <w:hyperlink w:history="true" w:anchor="_bookmark65">
        <w:r>
          <w:rPr>
            <w:b/>
          </w:rPr>
          <w:t>Tabla</w:t>
        </w:r>
        <w:r>
          <w:rPr>
            <w:b/>
            <w:spacing w:val="-1"/>
          </w:rPr>
          <w:t> </w:t>
        </w:r>
        <w:r>
          <w:rPr>
            <w:b/>
          </w:rPr>
          <w:t>18</w:t>
        </w:r>
        <w:r>
          <w:rPr>
            <w:b/>
            <w:spacing w:val="60"/>
          </w:rPr>
          <w:t> </w:t>
        </w:r>
        <w:r>
          <w:rPr/>
          <w:t>Comparación</w:t>
        </w:r>
        <w:r>
          <w:rPr>
            <w:spacing w:val="-1"/>
          </w:rPr>
          <w:t> </w:t>
        </w:r>
        <w:r>
          <w:rPr/>
          <w:t>de medias Tukey</w:t>
        </w:r>
        <w:r>
          <w:rPr>
            <w:spacing w:val="-5"/>
          </w:rPr>
          <w:t> </w:t>
        </w:r>
        <w:r>
          <w:rPr>
            <w:spacing w:val="-2"/>
          </w:rPr>
          <w:t>(dolor)</w:t>
        </w:r>
        <w:r>
          <w:rPr/>
          <w:tab/>
        </w:r>
        <w:r>
          <w:rPr>
            <w:spacing w:val="-5"/>
          </w:rPr>
          <w:t>52</w:t>
        </w:r>
      </w:hyperlink>
    </w:p>
    <w:p>
      <w:pPr>
        <w:pStyle w:val="BodyText"/>
        <w:spacing w:after="0"/>
        <w:sectPr>
          <w:pgSz w:w="11900" w:h="16860"/>
          <w:pgMar w:header="0" w:footer="1060" w:top="1620" w:bottom="1260" w:left="1133" w:right="850"/>
        </w:sectPr>
      </w:pPr>
    </w:p>
    <w:p>
      <w:pPr>
        <w:spacing w:before="70"/>
        <w:ind w:left="378" w:right="228" w:firstLine="0"/>
        <w:jc w:val="center"/>
        <w:rPr>
          <w:b/>
          <w:sz w:val="24"/>
        </w:rPr>
      </w:pPr>
      <w:r>
        <w:rPr>
          <w:b/>
          <w:sz w:val="24"/>
        </w:rPr>
        <w:t>ÍNDICE</w:t>
      </w:r>
      <w:r>
        <w:rPr>
          <w:b/>
          <w:spacing w:val="-1"/>
          <w:sz w:val="24"/>
        </w:rPr>
        <w:t> </w:t>
      </w:r>
      <w:r>
        <w:rPr>
          <w:b/>
          <w:spacing w:val="-2"/>
          <w:sz w:val="24"/>
        </w:rPr>
        <w:t>FIGURAS</w:t>
      </w:r>
    </w:p>
    <w:p>
      <w:pPr>
        <w:tabs>
          <w:tab w:pos="9056" w:val="right" w:leader="dot"/>
        </w:tabs>
        <w:spacing w:before="377"/>
        <w:ind w:left="1135" w:right="0" w:firstLine="0"/>
        <w:jc w:val="left"/>
        <w:rPr>
          <w:sz w:val="24"/>
        </w:rPr>
      </w:pPr>
      <w:hyperlink w:history="true" w:anchor="_bookmark53">
        <w:r>
          <w:rPr>
            <w:b/>
            <w:sz w:val="24"/>
          </w:rPr>
          <w:t>Figura</w:t>
        </w:r>
        <w:r>
          <w:rPr>
            <w:b/>
            <w:spacing w:val="-2"/>
            <w:sz w:val="24"/>
          </w:rPr>
          <w:t> </w:t>
        </w:r>
        <w:r>
          <w:rPr>
            <w:b/>
            <w:sz w:val="24"/>
          </w:rPr>
          <w:t>1</w:t>
        </w:r>
        <w:r>
          <w:rPr>
            <w:b/>
            <w:spacing w:val="59"/>
            <w:sz w:val="24"/>
          </w:rPr>
          <w:t> </w:t>
        </w:r>
        <w:r>
          <w:rPr>
            <w:sz w:val="24"/>
          </w:rPr>
          <w:t>Frecuencia</w:t>
        </w:r>
        <w:r>
          <w:rPr>
            <w:spacing w:val="-2"/>
            <w:sz w:val="24"/>
          </w:rPr>
          <w:t> Cardiaca</w:t>
        </w:r>
        <w:r>
          <w:rPr>
            <w:sz w:val="24"/>
          </w:rPr>
          <w:tab/>
        </w:r>
        <w:r>
          <w:rPr>
            <w:spacing w:val="-5"/>
            <w:sz w:val="24"/>
          </w:rPr>
          <w:t>38</w:t>
        </w:r>
      </w:hyperlink>
    </w:p>
    <w:p>
      <w:pPr>
        <w:tabs>
          <w:tab w:pos="9056" w:val="right" w:leader="dot"/>
        </w:tabs>
        <w:spacing w:before="139"/>
        <w:ind w:left="1135" w:right="0" w:firstLine="0"/>
        <w:jc w:val="left"/>
        <w:rPr>
          <w:sz w:val="24"/>
        </w:rPr>
      </w:pPr>
      <w:hyperlink w:history="true" w:anchor="_bookmark55">
        <w:r>
          <w:rPr>
            <w:b/>
            <w:sz w:val="24"/>
          </w:rPr>
          <w:t>Figura</w:t>
        </w:r>
        <w:r>
          <w:rPr>
            <w:b/>
            <w:spacing w:val="-2"/>
            <w:sz w:val="24"/>
          </w:rPr>
          <w:t> </w:t>
        </w:r>
        <w:r>
          <w:rPr>
            <w:b/>
            <w:sz w:val="24"/>
          </w:rPr>
          <w:t>2</w:t>
        </w:r>
        <w:r>
          <w:rPr>
            <w:b/>
            <w:spacing w:val="59"/>
            <w:sz w:val="24"/>
          </w:rPr>
          <w:t> </w:t>
        </w:r>
        <w:r>
          <w:rPr>
            <w:sz w:val="24"/>
          </w:rPr>
          <w:t>Frecuencia</w:t>
        </w:r>
        <w:r>
          <w:rPr>
            <w:spacing w:val="-2"/>
            <w:sz w:val="24"/>
          </w:rPr>
          <w:t> Respiratoria</w:t>
        </w:r>
        <w:r>
          <w:rPr>
            <w:sz w:val="24"/>
          </w:rPr>
          <w:tab/>
        </w:r>
        <w:r>
          <w:rPr>
            <w:spacing w:val="-5"/>
            <w:sz w:val="24"/>
          </w:rPr>
          <w:t>40</w:t>
        </w:r>
      </w:hyperlink>
    </w:p>
    <w:p>
      <w:pPr>
        <w:spacing w:after="0"/>
        <w:jc w:val="left"/>
        <w:rPr>
          <w:sz w:val="24"/>
        </w:rPr>
        <w:sectPr>
          <w:pgSz w:w="11900" w:h="16860"/>
          <w:pgMar w:header="0" w:footer="1060" w:top="1620" w:bottom="1260" w:left="1133" w:right="850"/>
        </w:sectPr>
      </w:pPr>
    </w:p>
    <w:p>
      <w:pPr>
        <w:pStyle w:val="Heading1"/>
        <w:ind w:left="378" w:right="228"/>
        <w:jc w:val="center"/>
      </w:pPr>
      <w:r>
        <w:rPr/>
        <w:t>ÍNDICE</w:t>
      </w:r>
      <w:r>
        <w:rPr>
          <w:spacing w:val="-1"/>
        </w:rPr>
        <w:t> </w:t>
      </w:r>
      <w:r>
        <w:rPr>
          <w:spacing w:val="-2"/>
        </w:rPr>
        <w:t>ANEXOS</w:t>
      </w:r>
    </w:p>
    <w:p>
      <w:pPr>
        <w:tabs>
          <w:tab w:pos="8816" w:val="left" w:leader="dot"/>
        </w:tabs>
        <w:spacing w:before="377"/>
        <w:ind w:left="1135" w:right="0" w:firstLine="0"/>
        <w:jc w:val="left"/>
        <w:rPr>
          <w:sz w:val="24"/>
        </w:rPr>
      </w:pPr>
      <w:hyperlink w:history="true" w:anchor="_bookmark70">
        <w:r>
          <w:rPr>
            <w:b/>
            <w:sz w:val="24"/>
          </w:rPr>
          <w:t>Anexo</w:t>
        </w:r>
        <w:r>
          <w:rPr>
            <w:b/>
            <w:spacing w:val="-2"/>
            <w:sz w:val="24"/>
          </w:rPr>
          <w:t> </w:t>
        </w:r>
        <w:r>
          <w:rPr>
            <w:b/>
            <w:sz w:val="24"/>
          </w:rPr>
          <w:t>1</w:t>
        </w:r>
        <w:r>
          <w:rPr>
            <w:b/>
            <w:spacing w:val="59"/>
            <w:sz w:val="24"/>
          </w:rPr>
          <w:t> </w:t>
        </w:r>
        <w:r>
          <w:rPr>
            <w:sz w:val="24"/>
          </w:rPr>
          <w:t>Lugar</w:t>
        </w:r>
        <w:r>
          <w:rPr>
            <w:spacing w:val="-1"/>
            <w:sz w:val="24"/>
          </w:rPr>
          <w:t> </w:t>
        </w:r>
        <w:r>
          <w:rPr>
            <w:sz w:val="24"/>
          </w:rPr>
          <w:t>de</w:t>
        </w:r>
        <w:r>
          <w:rPr>
            <w:spacing w:val="-5"/>
            <w:sz w:val="24"/>
          </w:rPr>
          <w:t> </w:t>
        </w:r>
        <w:r>
          <w:rPr>
            <w:spacing w:val="-2"/>
            <w:sz w:val="24"/>
          </w:rPr>
          <w:t>investigación</w:t>
        </w:r>
        <w:r>
          <w:rPr>
            <w:sz w:val="24"/>
          </w:rPr>
          <w:tab/>
        </w:r>
        <w:r>
          <w:rPr>
            <w:spacing w:val="-5"/>
            <w:sz w:val="24"/>
          </w:rPr>
          <w:t>64</w:t>
        </w:r>
      </w:hyperlink>
    </w:p>
    <w:p>
      <w:pPr>
        <w:tabs>
          <w:tab w:pos="8816" w:val="left" w:leader="dot"/>
        </w:tabs>
        <w:spacing w:before="139"/>
        <w:ind w:left="1135" w:right="0" w:firstLine="0"/>
        <w:jc w:val="left"/>
        <w:rPr>
          <w:sz w:val="24"/>
        </w:rPr>
      </w:pPr>
      <w:hyperlink w:history="true" w:anchor="_bookmark71">
        <w:r>
          <w:rPr>
            <w:b/>
            <w:sz w:val="24"/>
          </w:rPr>
          <w:t>Anexo</w:t>
        </w:r>
        <w:r>
          <w:rPr>
            <w:b/>
            <w:spacing w:val="-1"/>
            <w:sz w:val="24"/>
          </w:rPr>
          <w:t> </w:t>
        </w:r>
        <w:r>
          <w:rPr>
            <w:b/>
            <w:sz w:val="24"/>
          </w:rPr>
          <w:t>2</w:t>
        </w:r>
        <w:r>
          <w:rPr>
            <w:b/>
            <w:spacing w:val="-2"/>
            <w:sz w:val="24"/>
          </w:rPr>
          <w:t> </w:t>
        </w:r>
        <w:r>
          <w:rPr>
            <w:sz w:val="24"/>
          </w:rPr>
          <w:t>Evidencia </w:t>
        </w:r>
        <w:r>
          <w:rPr>
            <w:spacing w:val="-2"/>
            <w:sz w:val="24"/>
          </w:rPr>
          <w:t>fotográfica</w:t>
        </w:r>
        <w:r>
          <w:rPr>
            <w:sz w:val="24"/>
          </w:rPr>
          <w:tab/>
        </w:r>
        <w:r>
          <w:rPr>
            <w:spacing w:val="-5"/>
            <w:sz w:val="24"/>
          </w:rPr>
          <w:t>65</w:t>
        </w:r>
      </w:hyperlink>
    </w:p>
    <w:p>
      <w:pPr>
        <w:tabs>
          <w:tab w:pos="8816" w:val="left" w:leader="dot"/>
        </w:tabs>
        <w:spacing w:before="137"/>
        <w:ind w:left="1135" w:right="0" w:firstLine="0"/>
        <w:jc w:val="left"/>
        <w:rPr>
          <w:sz w:val="24"/>
        </w:rPr>
      </w:pPr>
      <w:hyperlink w:history="true" w:anchor="_bookmark72">
        <w:r>
          <w:rPr>
            <w:b/>
            <w:sz w:val="24"/>
          </w:rPr>
          <w:t>Anexo</w:t>
        </w:r>
        <w:r>
          <w:rPr>
            <w:b/>
            <w:spacing w:val="-5"/>
            <w:sz w:val="24"/>
          </w:rPr>
          <w:t> </w:t>
        </w:r>
        <w:r>
          <w:rPr>
            <w:b/>
            <w:sz w:val="24"/>
          </w:rPr>
          <w:t>3</w:t>
        </w:r>
        <w:r>
          <w:rPr>
            <w:b/>
            <w:spacing w:val="-20"/>
            <w:sz w:val="24"/>
          </w:rPr>
          <w:t> </w:t>
        </w:r>
        <w:r>
          <w:rPr>
            <w:sz w:val="24"/>
          </w:rPr>
          <w:t>Base</w:t>
        </w:r>
        <w:r>
          <w:rPr>
            <w:spacing w:val="-8"/>
            <w:sz w:val="24"/>
          </w:rPr>
          <w:t> </w:t>
        </w:r>
        <w:r>
          <w:rPr>
            <w:sz w:val="24"/>
          </w:rPr>
          <w:t>de</w:t>
        </w:r>
        <w:r>
          <w:rPr>
            <w:spacing w:val="-8"/>
            <w:sz w:val="24"/>
          </w:rPr>
          <w:t> </w:t>
        </w:r>
        <w:r>
          <w:rPr>
            <w:spacing w:val="-4"/>
            <w:sz w:val="24"/>
          </w:rPr>
          <w:t>datos</w:t>
        </w:r>
        <w:r>
          <w:rPr>
            <w:sz w:val="24"/>
          </w:rPr>
          <w:tab/>
        </w:r>
        <w:r>
          <w:rPr>
            <w:spacing w:val="-5"/>
            <w:sz w:val="24"/>
          </w:rPr>
          <w:t>67</w:t>
        </w:r>
      </w:hyperlink>
    </w:p>
    <w:p>
      <w:pPr>
        <w:tabs>
          <w:tab w:pos="8816" w:val="left" w:leader="dot"/>
        </w:tabs>
        <w:spacing w:before="140"/>
        <w:ind w:left="1135" w:right="0" w:firstLine="0"/>
        <w:jc w:val="left"/>
        <w:rPr>
          <w:sz w:val="24"/>
        </w:rPr>
      </w:pPr>
      <w:hyperlink w:history="true" w:anchor="_bookmark73">
        <w:r>
          <w:rPr>
            <w:b/>
            <w:sz w:val="24"/>
          </w:rPr>
          <w:t>Anexo</w:t>
        </w:r>
        <w:r>
          <w:rPr>
            <w:b/>
            <w:spacing w:val="-1"/>
            <w:sz w:val="24"/>
          </w:rPr>
          <w:t> </w:t>
        </w:r>
        <w:r>
          <w:rPr>
            <w:b/>
            <w:sz w:val="24"/>
          </w:rPr>
          <w:t>4</w:t>
        </w:r>
        <w:r>
          <w:rPr>
            <w:b/>
            <w:spacing w:val="-1"/>
            <w:sz w:val="24"/>
          </w:rPr>
          <w:t> </w:t>
        </w:r>
        <w:r>
          <w:rPr>
            <w:sz w:val="24"/>
          </w:rPr>
          <w:t>Glosario de</w:t>
        </w:r>
        <w:r>
          <w:rPr>
            <w:spacing w:val="-2"/>
            <w:sz w:val="24"/>
          </w:rPr>
          <w:t> término</w:t>
        </w:r>
        <w:r>
          <w:rPr>
            <w:sz w:val="24"/>
          </w:rPr>
          <w:tab/>
        </w:r>
        <w:r>
          <w:rPr>
            <w:spacing w:val="-5"/>
            <w:sz w:val="24"/>
          </w:rPr>
          <w:t>72</w:t>
        </w:r>
      </w:hyperlink>
    </w:p>
    <w:p>
      <w:pPr>
        <w:spacing w:after="0"/>
        <w:jc w:val="left"/>
        <w:rPr>
          <w:sz w:val="24"/>
        </w:rPr>
        <w:sectPr>
          <w:footerReference w:type="default" r:id="rId11"/>
          <w:pgSz w:w="11900" w:h="16860"/>
          <w:pgMar w:header="0" w:footer="1084" w:top="1620" w:bottom="1280" w:left="1133" w:right="850"/>
        </w:sectPr>
      </w:pPr>
    </w:p>
    <w:p>
      <w:pPr>
        <w:spacing w:before="70"/>
        <w:ind w:left="513" w:right="228" w:firstLine="0"/>
        <w:jc w:val="center"/>
        <w:rPr>
          <w:b/>
          <w:sz w:val="24"/>
        </w:rPr>
      </w:pPr>
      <w:r>
        <w:rPr>
          <w:b/>
          <w:spacing w:val="-2"/>
          <w:sz w:val="24"/>
        </w:rPr>
        <w:t>RESUMEN</w:t>
      </w:r>
    </w:p>
    <w:p>
      <w:pPr>
        <w:pStyle w:val="BodyText"/>
        <w:spacing w:before="101"/>
        <w:ind w:left="0"/>
        <w:rPr>
          <w:b/>
        </w:rPr>
      </w:pPr>
    </w:p>
    <w:p>
      <w:pPr>
        <w:pStyle w:val="BodyText"/>
        <w:spacing w:line="360" w:lineRule="auto"/>
        <w:ind w:right="846"/>
        <w:jc w:val="both"/>
      </w:pPr>
      <w:r>
        <w:rPr/>
        <w:t>El descorne es una práctica que se lleva a cabo en la producción bovina y que se hace para evitar que los animales de la misma especie se lesionen, permitiendo al productor</w:t>
      </w:r>
      <w:r>
        <w:rPr>
          <w:spacing w:val="-3"/>
        </w:rPr>
        <w:t> </w:t>
      </w:r>
      <w:r>
        <w:rPr/>
        <w:t>realizar</w:t>
      </w:r>
      <w:r>
        <w:rPr>
          <w:spacing w:val="-3"/>
        </w:rPr>
        <w:t> </w:t>
      </w:r>
      <w:r>
        <w:rPr/>
        <w:t>el</w:t>
      </w:r>
      <w:r>
        <w:rPr>
          <w:spacing w:val="-3"/>
        </w:rPr>
        <w:t> </w:t>
      </w:r>
      <w:r>
        <w:rPr/>
        <w:t>manejo,</w:t>
      </w:r>
      <w:r>
        <w:rPr>
          <w:spacing w:val="-3"/>
        </w:rPr>
        <w:t> </w:t>
      </w:r>
      <w:r>
        <w:rPr/>
        <w:t>además</w:t>
      </w:r>
      <w:r>
        <w:rPr>
          <w:spacing w:val="-3"/>
        </w:rPr>
        <w:t> </w:t>
      </w:r>
      <w:r>
        <w:rPr/>
        <w:t>de que</w:t>
      </w:r>
      <w:r>
        <w:rPr>
          <w:spacing w:val="-4"/>
        </w:rPr>
        <w:t> </w:t>
      </w:r>
      <w:r>
        <w:rPr/>
        <w:t>no</w:t>
      </w:r>
      <w:r>
        <w:rPr>
          <w:spacing w:val="-3"/>
        </w:rPr>
        <w:t> </w:t>
      </w:r>
      <w:r>
        <w:rPr/>
        <w:t>se</w:t>
      </w:r>
      <w:r>
        <w:rPr>
          <w:spacing w:val="-2"/>
        </w:rPr>
        <w:t> </w:t>
      </w:r>
      <w:r>
        <w:rPr/>
        <w:t>lesione.</w:t>
      </w:r>
      <w:r>
        <w:rPr>
          <w:spacing w:val="40"/>
        </w:rPr>
        <w:t> </w:t>
      </w:r>
      <w:r>
        <w:rPr/>
        <w:t>No</w:t>
      </w:r>
      <w:r>
        <w:rPr>
          <w:spacing w:val="-3"/>
        </w:rPr>
        <w:t> </w:t>
      </w:r>
      <w:r>
        <w:rPr/>
        <w:t>obstante,</w:t>
      </w:r>
      <w:r>
        <w:rPr>
          <w:spacing w:val="-3"/>
        </w:rPr>
        <w:t> </w:t>
      </w:r>
      <w:r>
        <w:rPr/>
        <w:t>en</w:t>
      </w:r>
      <w:r>
        <w:rPr>
          <w:spacing w:val="-1"/>
        </w:rPr>
        <w:t> </w:t>
      </w:r>
      <w:r>
        <w:rPr/>
        <w:t>efecto, esa práctica genera dolor, estrés y respuestas inflamatorias, que perjudican el bienestar animal. El estudio en cuestión tuvo como objetivo el análisis del efecto de</w:t>
      </w:r>
      <w:r>
        <w:rPr>
          <w:spacing w:val="-15"/>
        </w:rPr>
        <w:t> </w:t>
      </w:r>
      <w:r>
        <w:rPr/>
        <w:t>la</w:t>
      </w:r>
      <w:r>
        <w:rPr>
          <w:spacing w:val="-15"/>
        </w:rPr>
        <w:t> </w:t>
      </w:r>
      <w:r>
        <w:rPr/>
        <w:t>analgesia</w:t>
      </w:r>
      <w:r>
        <w:rPr>
          <w:spacing w:val="-15"/>
        </w:rPr>
        <w:t> </w:t>
      </w:r>
      <w:r>
        <w:rPr/>
        <w:t>multimodal</w:t>
      </w:r>
      <w:r>
        <w:rPr>
          <w:spacing w:val="-15"/>
        </w:rPr>
        <w:t> </w:t>
      </w:r>
      <w:r>
        <w:rPr/>
        <w:t>en</w:t>
      </w:r>
      <w:r>
        <w:rPr>
          <w:spacing w:val="-15"/>
        </w:rPr>
        <w:t> </w:t>
      </w:r>
      <w:r>
        <w:rPr/>
        <w:t>la</w:t>
      </w:r>
      <w:r>
        <w:rPr>
          <w:spacing w:val="-15"/>
        </w:rPr>
        <w:t> </w:t>
      </w:r>
      <w:r>
        <w:rPr/>
        <w:t>respuesta</w:t>
      </w:r>
      <w:r>
        <w:rPr>
          <w:spacing w:val="-15"/>
        </w:rPr>
        <w:t> </w:t>
      </w:r>
      <w:r>
        <w:rPr/>
        <w:t>fisiológica</w:t>
      </w:r>
      <w:r>
        <w:rPr>
          <w:spacing w:val="-14"/>
        </w:rPr>
        <w:t> </w:t>
      </w:r>
      <w:r>
        <w:rPr/>
        <w:t>y</w:t>
      </w:r>
      <w:r>
        <w:rPr>
          <w:spacing w:val="-15"/>
        </w:rPr>
        <w:t> </w:t>
      </w:r>
      <w:r>
        <w:rPr/>
        <w:t>comportamiento</w:t>
      </w:r>
      <w:r>
        <w:rPr>
          <w:spacing w:val="-14"/>
        </w:rPr>
        <w:t> </w:t>
      </w:r>
      <w:r>
        <w:rPr/>
        <w:t>de</w:t>
      </w:r>
      <w:r>
        <w:rPr>
          <w:spacing w:val="-14"/>
        </w:rPr>
        <w:t> </w:t>
      </w:r>
      <w:r>
        <w:rPr/>
        <w:t>terneros sometidos. La investigación se realizó en la finca El Consuelo, de la parroquia Regulo</w:t>
      </w:r>
      <w:r>
        <w:rPr>
          <w:spacing w:val="-3"/>
        </w:rPr>
        <w:t> </w:t>
      </w:r>
      <w:r>
        <w:rPr/>
        <w:t>de</w:t>
      </w:r>
      <w:r>
        <w:rPr>
          <w:spacing w:val="-3"/>
        </w:rPr>
        <w:t> </w:t>
      </w:r>
      <w:r>
        <w:rPr/>
        <w:t>Mora,</w:t>
      </w:r>
      <w:r>
        <w:rPr>
          <w:spacing w:val="-3"/>
        </w:rPr>
        <w:t> </w:t>
      </w:r>
      <w:r>
        <w:rPr/>
        <w:t>del</w:t>
      </w:r>
      <w:r>
        <w:rPr>
          <w:spacing w:val="-3"/>
        </w:rPr>
        <w:t> </w:t>
      </w:r>
      <w:r>
        <w:rPr/>
        <w:t>cantón</w:t>
      </w:r>
      <w:r>
        <w:rPr>
          <w:spacing w:val="-3"/>
        </w:rPr>
        <w:t> </w:t>
      </w:r>
      <w:r>
        <w:rPr/>
        <w:t>San</w:t>
      </w:r>
      <w:r>
        <w:rPr>
          <w:spacing w:val="-3"/>
        </w:rPr>
        <w:t> </w:t>
      </w:r>
      <w:r>
        <w:rPr/>
        <w:t>Miguel,</w:t>
      </w:r>
      <w:r>
        <w:rPr>
          <w:spacing w:val="-3"/>
        </w:rPr>
        <w:t> </w:t>
      </w:r>
      <w:r>
        <w:rPr/>
        <w:t>provincia</w:t>
      </w:r>
      <w:r>
        <w:rPr>
          <w:spacing w:val="-3"/>
        </w:rPr>
        <w:t> </w:t>
      </w:r>
      <w:r>
        <w:rPr/>
        <w:t>de</w:t>
      </w:r>
      <w:r>
        <w:rPr>
          <w:spacing w:val="-4"/>
        </w:rPr>
        <w:t> </w:t>
      </w:r>
      <w:r>
        <w:rPr/>
        <w:t>Bolívar.</w:t>
      </w:r>
      <w:r>
        <w:rPr>
          <w:spacing w:val="80"/>
        </w:rPr>
        <w:t> </w:t>
      </w:r>
      <w:r>
        <w:rPr/>
        <w:t>En</w:t>
      </w:r>
      <w:r>
        <w:rPr>
          <w:spacing w:val="-3"/>
        </w:rPr>
        <w:t> </w:t>
      </w:r>
      <w:r>
        <w:rPr/>
        <w:t>la</w:t>
      </w:r>
      <w:r>
        <w:rPr>
          <w:spacing w:val="-4"/>
        </w:rPr>
        <w:t> </w:t>
      </w:r>
      <w:r>
        <w:rPr/>
        <w:t>metodología se utilizaron 16 terneros machos con pesos entre 8 y 35 días los cuales se distribuyeron en un diseño totalmente al azar con cuatro tratamientos y cuatro repeticiones por tratamiento. Los tratamientos que fueron: T0 (testigo), T1 lidocaína</w:t>
      </w:r>
      <w:r>
        <w:rPr>
          <w:spacing w:val="-15"/>
        </w:rPr>
        <w:t> </w:t>
      </w:r>
      <w:r>
        <w:rPr/>
        <w:t>tamponada</w:t>
      </w:r>
      <w:r>
        <w:rPr>
          <w:spacing w:val="-13"/>
        </w:rPr>
        <w:t> </w:t>
      </w:r>
      <w:r>
        <w:rPr/>
        <w:t>+</w:t>
      </w:r>
      <w:r>
        <w:rPr>
          <w:spacing w:val="-13"/>
        </w:rPr>
        <w:t> </w:t>
      </w:r>
      <w:r>
        <w:rPr/>
        <w:t>Flunixin</w:t>
      </w:r>
      <w:r>
        <w:rPr>
          <w:spacing w:val="-14"/>
        </w:rPr>
        <w:t> </w:t>
      </w:r>
      <w:r>
        <w:rPr/>
        <w:t>Meglumina,</w:t>
      </w:r>
      <w:r>
        <w:rPr>
          <w:spacing w:val="-15"/>
        </w:rPr>
        <w:t> </w:t>
      </w:r>
      <w:r>
        <w:rPr/>
        <w:t>T2</w:t>
      </w:r>
      <w:r>
        <w:rPr>
          <w:spacing w:val="-14"/>
        </w:rPr>
        <w:t> </w:t>
      </w:r>
      <w:r>
        <w:rPr/>
        <w:t>bupivacaina</w:t>
      </w:r>
      <w:r>
        <w:rPr>
          <w:spacing w:val="-15"/>
        </w:rPr>
        <w:t> </w:t>
      </w:r>
      <w:r>
        <w:rPr/>
        <w:t>tamponada</w:t>
      </w:r>
      <w:r>
        <w:rPr>
          <w:spacing w:val="-15"/>
        </w:rPr>
        <w:t> </w:t>
      </w:r>
      <w:r>
        <w:rPr/>
        <w:t>+</w:t>
      </w:r>
      <w:r>
        <w:rPr>
          <w:spacing w:val="-13"/>
        </w:rPr>
        <w:t> </w:t>
      </w:r>
      <w:r>
        <w:rPr/>
        <w:t>Flunixin Meglumina y T3 lidocaína tamponada + bupivacaina tamponada + Flunixin Meglumina.</w:t>
      </w:r>
      <w:r>
        <w:rPr>
          <w:spacing w:val="-15"/>
        </w:rPr>
        <w:t> </w:t>
      </w:r>
      <w:r>
        <w:rPr/>
        <w:t>Se</w:t>
      </w:r>
      <w:r>
        <w:rPr>
          <w:spacing w:val="-15"/>
        </w:rPr>
        <w:t> </w:t>
      </w:r>
      <w:r>
        <w:rPr/>
        <w:t>llevaron</w:t>
      </w:r>
      <w:r>
        <w:rPr>
          <w:spacing w:val="-15"/>
        </w:rPr>
        <w:t> </w:t>
      </w:r>
      <w:r>
        <w:rPr/>
        <w:t>a</w:t>
      </w:r>
      <w:r>
        <w:rPr>
          <w:spacing w:val="-15"/>
        </w:rPr>
        <w:t> </w:t>
      </w:r>
      <w:r>
        <w:rPr/>
        <w:t>cabo</w:t>
      </w:r>
      <w:r>
        <w:rPr>
          <w:spacing w:val="-15"/>
        </w:rPr>
        <w:t> </w:t>
      </w:r>
      <w:r>
        <w:rPr/>
        <w:t>análisis</w:t>
      </w:r>
      <w:r>
        <w:rPr>
          <w:spacing w:val="-15"/>
        </w:rPr>
        <w:t> </w:t>
      </w:r>
      <w:r>
        <w:rPr/>
        <w:t>de</w:t>
      </w:r>
      <w:r>
        <w:rPr>
          <w:spacing w:val="-15"/>
        </w:rPr>
        <w:t> </w:t>
      </w:r>
      <w:r>
        <w:rPr/>
        <w:t>tipo</w:t>
      </w:r>
      <w:r>
        <w:rPr>
          <w:spacing w:val="-15"/>
        </w:rPr>
        <w:t> </w:t>
      </w:r>
      <w:r>
        <w:rPr/>
        <w:t>fisiológico,</w:t>
      </w:r>
      <w:r>
        <w:rPr>
          <w:spacing w:val="-15"/>
        </w:rPr>
        <w:t> </w:t>
      </w:r>
      <w:r>
        <w:rPr/>
        <w:t>conductual</w:t>
      </w:r>
      <w:r>
        <w:rPr>
          <w:spacing w:val="-15"/>
        </w:rPr>
        <w:t> </w:t>
      </w:r>
      <w:r>
        <w:rPr/>
        <w:t>y</w:t>
      </w:r>
      <w:r>
        <w:rPr>
          <w:spacing w:val="-15"/>
        </w:rPr>
        <w:t> </w:t>
      </w:r>
      <w:r>
        <w:rPr/>
        <w:t>bioquímico como la frecuencia cardiaca, respiratoria y la escala de dolor. Los resultados mostraron que el protocolo T3 (Lidocaína + Bupivacaína + Flunixin Meglumine) redujo</w:t>
      </w:r>
      <w:r>
        <w:rPr>
          <w:spacing w:val="-8"/>
        </w:rPr>
        <w:t> </w:t>
      </w:r>
      <w:r>
        <w:rPr/>
        <w:t>de</w:t>
      </w:r>
      <w:r>
        <w:rPr>
          <w:spacing w:val="-7"/>
        </w:rPr>
        <w:t> </w:t>
      </w:r>
      <w:r>
        <w:rPr/>
        <w:t>forma</w:t>
      </w:r>
      <w:r>
        <w:rPr>
          <w:spacing w:val="-7"/>
        </w:rPr>
        <w:t> </w:t>
      </w:r>
      <w:r>
        <w:rPr/>
        <w:t>significativa</w:t>
      </w:r>
      <w:r>
        <w:rPr>
          <w:spacing w:val="-9"/>
        </w:rPr>
        <w:t> </w:t>
      </w:r>
      <w:r>
        <w:rPr/>
        <w:t>la</w:t>
      </w:r>
      <w:r>
        <w:rPr>
          <w:spacing w:val="-9"/>
        </w:rPr>
        <w:t> </w:t>
      </w:r>
      <w:r>
        <w:rPr/>
        <w:t>respuesta</w:t>
      </w:r>
      <w:r>
        <w:rPr>
          <w:spacing w:val="-6"/>
        </w:rPr>
        <w:t> </w:t>
      </w:r>
      <w:r>
        <w:rPr/>
        <w:t>autonómica</w:t>
      </w:r>
      <w:r>
        <w:rPr>
          <w:spacing w:val="-10"/>
        </w:rPr>
        <w:t> </w:t>
      </w:r>
      <w:r>
        <w:rPr/>
        <w:t>posquirúrgica</w:t>
      </w:r>
      <w:r>
        <w:rPr>
          <w:spacing w:val="-7"/>
        </w:rPr>
        <w:t> </w:t>
      </w:r>
      <w:r>
        <w:rPr/>
        <w:t>al</w:t>
      </w:r>
      <w:r>
        <w:rPr>
          <w:spacing w:val="-8"/>
        </w:rPr>
        <w:t> </w:t>
      </w:r>
      <w:r>
        <w:rPr/>
        <w:t>disminuir</w:t>
      </w:r>
      <w:r>
        <w:rPr>
          <w:spacing w:val="-9"/>
        </w:rPr>
        <w:t> </w:t>
      </w:r>
      <w:r>
        <w:rPr/>
        <w:t>la frecuencia cardíaca y respiratoria. Asi mismo, logró el menor puntaje de dolor conductual</w:t>
      </w:r>
      <w:r>
        <w:rPr>
          <w:spacing w:val="-2"/>
        </w:rPr>
        <w:t> </w:t>
      </w:r>
      <w:r>
        <w:rPr/>
        <w:t>(leve</w:t>
      </w:r>
      <w:r>
        <w:rPr>
          <w:spacing w:val="-3"/>
        </w:rPr>
        <w:t> </w:t>
      </w:r>
      <w:r>
        <w:rPr/>
        <w:t>a</w:t>
      </w:r>
      <w:r>
        <w:rPr>
          <w:spacing w:val="-3"/>
        </w:rPr>
        <w:t> </w:t>
      </w:r>
      <w:r>
        <w:rPr/>
        <w:t>moderado),</w:t>
      </w:r>
      <w:r>
        <w:rPr>
          <w:spacing w:val="-3"/>
        </w:rPr>
        <w:t> </w:t>
      </w:r>
      <w:r>
        <w:rPr/>
        <w:t>evitando</w:t>
      </w:r>
      <w:r>
        <w:rPr>
          <w:spacing w:val="-2"/>
        </w:rPr>
        <w:t> </w:t>
      </w:r>
      <w:r>
        <w:rPr/>
        <w:t>que</w:t>
      </w:r>
      <w:r>
        <w:rPr>
          <w:spacing w:val="-3"/>
        </w:rPr>
        <w:t> </w:t>
      </w:r>
      <w:r>
        <w:rPr/>
        <w:t>los</w:t>
      </w:r>
      <w:r>
        <w:rPr>
          <w:spacing w:val="-2"/>
        </w:rPr>
        <w:t> </w:t>
      </w:r>
      <w:r>
        <w:rPr/>
        <w:t>animales</w:t>
      </w:r>
      <w:r>
        <w:rPr>
          <w:spacing w:val="-3"/>
        </w:rPr>
        <w:t> </w:t>
      </w:r>
      <w:r>
        <w:rPr/>
        <w:t>alcanzaran</w:t>
      </w:r>
      <w:r>
        <w:rPr>
          <w:spacing w:val="-2"/>
        </w:rPr>
        <w:t> </w:t>
      </w:r>
      <w:r>
        <w:rPr/>
        <w:t>los</w:t>
      </w:r>
      <w:r>
        <w:rPr>
          <w:spacing w:val="-2"/>
        </w:rPr>
        <w:t> </w:t>
      </w:r>
      <w:r>
        <w:rPr/>
        <w:t>niveles</w:t>
      </w:r>
      <w:r>
        <w:rPr>
          <w:spacing w:val="-2"/>
        </w:rPr>
        <w:t> </w:t>
      </w:r>
      <w:r>
        <w:rPr/>
        <w:t>de dolor severo observados en los otros grupos.</w:t>
      </w:r>
    </w:p>
    <w:p>
      <w:pPr>
        <w:pStyle w:val="BodyText"/>
        <w:ind w:left="0"/>
      </w:pPr>
    </w:p>
    <w:p>
      <w:pPr>
        <w:pStyle w:val="BodyText"/>
        <w:ind w:left="0"/>
      </w:pPr>
    </w:p>
    <w:p>
      <w:pPr>
        <w:pStyle w:val="BodyText"/>
        <w:spacing w:before="67"/>
        <w:ind w:left="0"/>
      </w:pPr>
    </w:p>
    <w:p>
      <w:pPr>
        <w:pStyle w:val="BodyText"/>
        <w:spacing w:line="362" w:lineRule="auto"/>
        <w:ind w:right="848"/>
        <w:jc w:val="both"/>
      </w:pPr>
      <w:r>
        <w:rPr>
          <w:b/>
        </w:rPr>
        <w:t>Palabras clave: </w:t>
      </w:r>
      <w:r>
        <w:rPr/>
        <w:t>analgesia multimodal; descorne bovino; bienestar animal; lidocaína tamponada; bupivacaína tamponada; proteína C reactiva.</w:t>
      </w:r>
    </w:p>
    <w:p>
      <w:pPr>
        <w:pStyle w:val="BodyText"/>
        <w:spacing w:after="0" w:line="362" w:lineRule="auto"/>
        <w:jc w:val="both"/>
        <w:sectPr>
          <w:pgSz w:w="11900" w:h="16860"/>
          <w:pgMar w:header="0" w:footer="1084" w:top="1620" w:bottom="1280" w:left="1133" w:right="850"/>
        </w:sectPr>
      </w:pPr>
    </w:p>
    <w:p>
      <w:pPr>
        <w:pStyle w:val="BodyText"/>
        <w:spacing w:before="127"/>
        <w:ind w:left="0"/>
      </w:pPr>
    </w:p>
    <w:p>
      <w:pPr>
        <w:spacing w:before="0"/>
        <w:ind w:left="513" w:right="228" w:firstLine="0"/>
        <w:jc w:val="center"/>
        <w:rPr>
          <w:b/>
          <w:sz w:val="24"/>
        </w:rPr>
      </w:pPr>
      <w:r>
        <w:rPr>
          <w:b/>
          <w:spacing w:val="-2"/>
          <w:sz w:val="24"/>
        </w:rPr>
        <w:t>SUMMARY</w:t>
      </w:r>
    </w:p>
    <w:p>
      <w:pPr>
        <w:pStyle w:val="BodyText"/>
        <w:spacing w:before="103"/>
        <w:ind w:left="0"/>
        <w:rPr>
          <w:b/>
        </w:rPr>
      </w:pPr>
    </w:p>
    <w:p>
      <w:pPr>
        <w:pStyle w:val="BodyText"/>
        <w:spacing w:line="360" w:lineRule="auto" w:before="1"/>
        <w:ind w:right="845"/>
        <w:jc w:val="both"/>
      </w:pPr>
      <w:r>
        <w:rPr/>
        <w:t>Disbudding is a practice carried out in cattle production to prevent animals of the same species from injuring one another and to facilitate handling while protecting the</w:t>
      </w:r>
      <w:r>
        <w:rPr>
          <w:spacing w:val="-13"/>
        </w:rPr>
        <w:t> </w:t>
      </w:r>
      <w:r>
        <w:rPr/>
        <w:t>producer</w:t>
      </w:r>
      <w:r>
        <w:rPr>
          <w:spacing w:val="-10"/>
        </w:rPr>
        <w:t> </w:t>
      </w:r>
      <w:r>
        <w:rPr/>
        <w:t>from</w:t>
      </w:r>
      <w:r>
        <w:rPr>
          <w:spacing w:val="-12"/>
        </w:rPr>
        <w:t> </w:t>
      </w:r>
      <w:r>
        <w:rPr/>
        <w:t>injury.</w:t>
      </w:r>
      <w:r>
        <w:rPr>
          <w:spacing w:val="-10"/>
        </w:rPr>
        <w:t> </w:t>
      </w:r>
      <w:r>
        <w:rPr/>
        <w:t>However,</w:t>
      </w:r>
      <w:r>
        <w:rPr>
          <w:spacing w:val="-13"/>
        </w:rPr>
        <w:t> </w:t>
      </w:r>
      <w:r>
        <w:rPr/>
        <w:t>this</w:t>
      </w:r>
      <w:r>
        <w:rPr>
          <w:spacing w:val="-12"/>
        </w:rPr>
        <w:t> </w:t>
      </w:r>
      <w:r>
        <w:rPr/>
        <w:t>practice</w:t>
      </w:r>
      <w:r>
        <w:rPr>
          <w:spacing w:val="-13"/>
        </w:rPr>
        <w:t> </w:t>
      </w:r>
      <w:r>
        <w:rPr/>
        <w:t>does</w:t>
      </w:r>
      <w:r>
        <w:rPr>
          <w:spacing w:val="-12"/>
        </w:rPr>
        <w:t> </w:t>
      </w:r>
      <w:r>
        <w:rPr/>
        <w:t>indeed</w:t>
      </w:r>
      <w:r>
        <w:rPr>
          <w:spacing w:val="-10"/>
        </w:rPr>
        <w:t> </w:t>
      </w:r>
      <w:r>
        <w:rPr/>
        <w:t>cause</w:t>
      </w:r>
      <w:r>
        <w:rPr>
          <w:spacing w:val="-13"/>
        </w:rPr>
        <w:t> </w:t>
      </w:r>
      <w:r>
        <w:rPr/>
        <w:t>pain,</w:t>
      </w:r>
      <w:r>
        <w:rPr>
          <w:spacing w:val="-12"/>
        </w:rPr>
        <w:t> </w:t>
      </w:r>
      <w:r>
        <w:rPr/>
        <w:t>stress,</w:t>
      </w:r>
      <w:r>
        <w:rPr>
          <w:spacing w:val="-12"/>
        </w:rPr>
        <w:t> </w:t>
      </w:r>
      <w:r>
        <w:rPr/>
        <w:t>and inflammatory responses that compromise animal welfare. The study in question aimed to analyze the effect of multimodal analgesia on the physiological and behavioral responses of calves undergoing the procedure. The research was conducted at the El Consuelo farm in the Regulo de Mora parish, San Miguel canton,</w:t>
      </w:r>
      <w:r>
        <w:rPr>
          <w:spacing w:val="-1"/>
        </w:rPr>
        <w:t> </w:t>
      </w:r>
      <w:r>
        <w:rPr/>
        <w:t>Bolívar</w:t>
      </w:r>
      <w:r>
        <w:rPr>
          <w:spacing w:val="-2"/>
        </w:rPr>
        <w:t> </w:t>
      </w:r>
      <w:r>
        <w:rPr/>
        <w:t>province. The</w:t>
      </w:r>
      <w:r>
        <w:rPr>
          <w:spacing w:val="-3"/>
        </w:rPr>
        <w:t> </w:t>
      </w:r>
      <w:r>
        <w:rPr/>
        <w:t>methodology</w:t>
      </w:r>
      <w:r>
        <w:rPr>
          <w:spacing w:val="-6"/>
        </w:rPr>
        <w:t> </w:t>
      </w:r>
      <w:r>
        <w:rPr/>
        <w:t>involved</w:t>
      </w:r>
      <w:r>
        <w:rPr>
          <w:spacing w:val="-1"/>
        </w:rPr>
        <w:t> </w:t>
      </w:r>
      <w:r>
        <w:rPr/>
        <w:t>16</w:t>
      </w:r>
      <w:r>
        <w:rPr>
          <w:spacing w:val="-1"/>
        </w:rPr>
        <w:t> </w:t>
      </w:r>
      <w:r>
        <w:rPr/>
        <w:t>male</w:t>
      </w:r>
      <w:r>
        <w:rPr>
          <w:spacing w:val="-2"/>
        </w:rPr>
        <w:t> </w:t>
      </w:r>
      <w:r>
        <w:rPr/>
        <w:t>calves (aged 8</w:t>
      </w:r>
      <w:r>
        <w:rPr>
          <w:spacing w:val="-1"/>
        </w:rPr>
        <w:t> </w:t>
      </w:r>
      <w:r>
        <w:rPr/>
        <w:t>to</w:t>
      </w:r>
      <w:r>
        <w:rPr>
          <w:spacing w:val="-1"/>
        </w:rPr>
        <w:t> </w:t>
      </w:r>
      <w:r>
        <w:rPr/>
        <w:t>35 days)</w:t>
      </w:r>
      <w:r>
        <w:rPr>
          <w:spacing w:val="-15"/>
        </w:rPr>
        <w:t> </w:t>
      </w:r>
      <w:r>
        <w:rPr/>
        <w:t>distributed</w:t>
      </w:r>
      <w:r>
        <w:rPr>
          <w:spacing w:val="-15"/>
        </w:rPr>
        <w:t> </w:t>
      </w:r>
      <w:r>
        <w:rPr/>
        <w:t>according</w:t>
      </w:r>
      <w:r>
        <w:rPr>
          <w:spacing w:val="-15"/>
        </w:rPr>
        <w:t> </w:t>
      </w:r>
      <w:r>
        <w:rPr/>
        <w:t>to</w:t>
      </w:r>
      <w:r>
        <w:rPr>
          <w:spacing w:val="-13"/>
        </w:rPr>
        <w:t> </w:t>
      </w:r>
      <w:r>
        <w:rPr/>
        <w:t>a</w:t>
      </w:r>
      <w:r>
        <w:rPr>
          <w:spacing w:val="-14"/>
        </w:rPr>
        <w:t> </w:t>
      </w:r>
      <w:r>
        <w:rPr/>
        <w:t>completely</w:t>
      </w:r>
      <w:r>
        <w:rPr>
          <w:spacing w:val="-15"/>
        </w:rPr>
        <w:t> </w:t>
      </w:r>
      <w:r>
        <w:rPr/>
        <w:t>randomized</w:t>
      </w:r>
      <w:r>
        <w:rPr>
          <w:spacing w:val="-14"/>
        </w:rPr>
        <w:t> </w:t>
      </w:r>
      <w:r>
        <w:rPr/>
        <w:t>design</w:t>
      </w:r>
      <w:r>
        <w:rPr>
          <w:spacing w:val="-14"/>
        </w:rPr>
        <w:t> </w:t>
      </w:r>
      <w:r>
        <w:rPr/>
        <w:t>with</w:t>
      </w:r>
      <w:r>
        <w:rPr>
          <w:spacing w:val="-14"/>
        </w:rPr>
        <w:t> </w:t>
      </w:r>
      <w:r>
        <w:rPr/>
        <w:t>four</w:t>
      </w:r>
      <w:r>
        <w:rPr>
          <w:spacing w:val="-15"/>
        </w:rPr>
        <w:t> </w:t>
      </w:r>
      <w:r>
        <w:rPr/>
        <w:t>treatments and four replicates per treatment. The treatments were: T0 (control), T1 (buffered lidocaine</w:t>
      </w:r>
      <w:r>
        <w:rPr>
          <w:spacing w:val="-9"/>
        </w:rPr>
        <w:t> </w:t>
      </w:r>
      <w:r>
        <w:rPr/>
        <w:t>+</w:t>
      </w:r>
      <w:r>
        <w:rPr>
          <w:spacing w:val="-7"/>
        </w:rPr>
        <w:t> </w:t>
      </w:r>
      <w:r>
        <w:rPr/>
        <w:t>flunixin</w:t>
      </w:r>
      <w:r>
        <w:rPr>
          <w:spacing w:val="-8"/>
        </w:rPr>
        <w:t> </w:t>
      </w:r>
      <w:r>
        <w:rPr/>
        <w:t>meglumine),</w:t>
      </w:r>
      <w:r>
        <w:rPr>
          <w:spacing w:val="-8"/>
        </w:rPr>
        <w:t> </w:t>
      </w:r>
      <w:r>
        <w:rPr/>
        <w:t>T2</w:t>
      </w:r>
      <w:r>
        <w:rPr>
          <w:spacing w:val="-9"/>
        </w:rPr>
        <w:t> </w:t>
      </w:r>
      <w:r>
        <w:rPr/>
        <w:t>(buffered</w:t>
      </w:r>
      <w:r>
        <w:rPr>
          <w:spacing w:val="-8"/>
        </w:rPr>
        <w:t> </w:t>
      </w:r>
      <w:r>
        <w:rPr/>
        <w:t>bupivacaine</w:t>
      </w:r>
      <w:r>
        <w:rPr>
          <w:spacing w:val="-7"/>
        </w:rPr>
        <w:t> </w:t>
      </w:r>
      <w:r>
        <w:rPr/>
        <w:t>+</w:t>
      </w:r>
      <w:r>
        <w:rPr>
          <w:spacing w:val="-9"/>
        </w:rPr>
        <w:t> </w:t>
      </w:r>
      <w:r>
        <w:rPr/>
        <w:t>flunixin</w:t>
      </w:r>
      <w:r>
        <w:rPr>
          <w:spacing w:val="-8"/>
        </w:rPr>
        <w:t> </w:t>
      </w:r>
      <w:r>
        <w:rPr/>
        <w:t>meglumine), and T3 (buffered lidocaine + buffered bupivacaine + flunixin meglumine). Physiological, behavioral, and biochemical analyses were performed, including heart</w:t>
      </w:r>
      <w:r>
        <w:rPr>
          <w:spacing w:val="-3"/>
        </w:rPr>
        <w:t> </w:t>
      </w:r>
      <w:r>
        <w:rPr/>
        <w:t>rate,</w:t>
      </w:r>
      <w:r>
        <w:rPr>
          <w:spacing w:val="-2"/>
        </w:rPr>
        <w:t> </w:t>
      </w:r>
      <w:r>
        <w:rPr/>
        <w:t>respiratory</w:t>
      </w:r>
      <w:r>
        <w:rPr>
          <w:spacing w:val="-6"/>
        </w:rPr>
        <w:t> </w:t>
      </w:r>
      <w:r>
        <w:rPr/>
        <w:t>rate,</w:t>
      </w:r>
      <w:r>
        <w:rPr>
          <w:spacing w:val="-3"/>
        </w:rPr>
        <w:t> </w:t>
      </w:r>
      <w:r>
        <w:rPr/>
        <w:t>and</w:t>
      </w:r>
      <w:r>
        <w:rPr>
          <w:spacing w:val="-3"/>
        </w:rPr>
        <w:t> </w:t>
      </w:r>
      <w:r>
        <w:rPr/>
        <w:t>pain</w:t>
      </w:r>
      <w:r>
        <w:rPr>
          <w:spacing w:val="-3"/>
        </w:rPr>
        <w:t> </w:t>
      </w:r>
      <w:r>
        <w:rPr/>
        <w:t>scale</w:t>
      </w:r>
      <w:r>
        <w:rPr>
          <w:spacing w:val="-4"/>
        </w:rPr>
        <w:t> </w:t>
      </w:r>
      <w:r>
        <w:rPr/>
        <w:t>assessments.</w:t>
      </w:r>
      <w:r>
        <w:rPr>
          <w:spacing w:val="-3"/>
        </w:rPr>
        <w:t> </w:t>
      </w:r>
      <w:r>
        <w:rPr/>
        <w:t>The</w:t>
      </w:r>
      <w:r>
        <w:rPr>
          <w:spacing w:val="-3"/>
        </w:rPr>
        <w:t> </w:t>
      </w:r>
      <w:r>
        <w:rPr/>
        <w:t>results</w:t>
      </w:r>
      <w:r>
        <w:rPr>
          <w:spacing w:val="-3"/>
        </w:rPr>
        <w:t> </w:t>
      </w:r>
      <w:r>
        <w:rPr/>
        <w:t>showed</w:t>
      </w:r>
      <w:r>
        <w:rPr>
          <w:spacing w:val="-1"/>
        </w:rPr>
        <w:t> </w:t>
      </w:r>
      <w:r>
        <w:rPr/>
        <w:t>that</w:t>
      </w:r>
      <w:r>
        <w:rPr>
          <w:spacing w:val="-3"/>
        </w:rPr>
        <w:t> </w:t>
      </w:r>
      <w:r>
        <w:rPr/>
        <w:t>the T3 protocol (lidocaine + bupivacaine + flunixin meglumine) significantly</w:t>
      </w:r>
      <w:r>
        <w:rPr>
          <w:spacing w:val="-2"/>
        </w:rPr>
        <w:t> </w:t>
      </w:r>
      <w:r>
        <w:rPr/>
        <w:t>reduced the post-surgical autonomic response by lowering heart and respiratory rates. Furthermore, it resulted in the lowest behavioral pain score (mild to moderate), preventing the animals from reaching the severe pain levels observed in the other </w:t>
      </w:r>
      <w:r>
        <w:rPr>
          <w:spacing w:val="-2"/>
        </w:rPr>
        <w:t>group</w:t>
      </w:r>
    </w:p>
    <w:p>
      <w:pPr>
        <w:pStyle w:val="BodyText"/>
        <w:spacing w:line="360" w:lineRule="auto" w:before="240"/>
        <w:ind w:right="852"/>
        <w:jc w:val="both"/>
      </w:pPr>
      <w:r>
        <w:rPr>
          <w:b/>
        </w:rPr>
        <w:t>Keywords: </w:t>
      </w:r>
      <w:r>
        <w:rPr/>
        <w:t>multimodal analgesia; bovine dehorning; animal welfare; buffered lidocaine; buffered bupivacaine; C-reactive protein.</w:t>
      </w:r>
    </w:p>
    <w:p>
      <w:pPr>
        <w:pStyle w:val="BodyText"/>
        <w:spacing w:after="0" w:line="360" w:lineRule="auto"/>
        <w:jc w:val="both"/>
        <w:sectPr>
          <w:footerReference w:type="default" r:id="rId12"/>
          <w:pgSz w:w="11900" w:h="16860"/>
          <w:pgMar w:header="0" w:footer="1084" w:top="1940" w:bottom="1280" w:left="1133" w:right="850"/>
        </w:sectPr>
      </w:pPr>
    </w:p>
    <w:p>
      <w:pPr>
        <w:pStyle w:val="Heading1"/>
        <w:jc w:val="both"/>
      </w:pPr>
      <w:bookmarkStart w:name="_bookmark0" w:id="1"/>
      <w:bookmarkEnd w:id="1"/>
      <w:r>
        <w:rPr>
          <w:b w:val="0"/>
        </w:rPr>
      </w:r>
      <w:r>
        <w:rPr/>
        <w:t>CAPÍTULO</w:t>
      </w:r>
      <w:r>
        <w:rPr>
          <w:spacing w:val="-2"/>
        </w:rPr>
        <w:t> </w:t>
      </w:r>
      <w:r>
        <w:rPr>
          <w:spacing w:val="-5"/>
        </w:rPr>
        <w:t>I.</w:t>
      </w:r>
    </w:p>
    <w:p>
      <w:pPr>
        <w:pStyle w:val="BodyText"/>
        <w:spacing w:before="101"/>
        <w:ind w:left="0"/>
        <w:rPr>
          <w:b/>
        </w:rPr>
      </w:pPr>
    </w:p>
    <w:p>
      <w:pPr>
        <w:pStyle w:val="Heading1"/>
        <w:numPr>
          <w:ilvl w:val="1"/>
          <w:numId w:val="7"/>
        </w:numPr>
        <w:tabs>
          <w:tab w:pos="1562" w:val="left" w:leader="none"/>
        </w:tabs>
        <w:spacing w:line="240" w:lineRule="auto" w:before="0" w:after="0"/>
        <w:ind w:left="1562" w:right="0" w:hanging="427"/>
        <w:jc w:val="left"/>
      </w:pPr>
      <w:bookmarkStart w:name="_bookmark1" w:id="2"/>
      <w:bookmarkEnd w:id="2"/>
      <w:r>
        <w:rPr>
          <w:b w:val="0"/>
        </w:rPr>
      </w:r>
      <w:r>
        <w:rPr>
          <w:spacing w:val="-2"/>
        </w:rPr>
        <w:t>INTRODUCCIÓN</w:t>
      </w:r>
    </w:p>
    <w:p>
      <w:pPr>
        <w:pStyle w:val="BodyText"/>
        <w:spacing w:before="103"/>
        <w:ind w:left="0"/>
        <w:rPr>
          <w:b/>
        </w:rPr>
      </w:pPr>
    </w:p>
    <w:p>
      <w:pPr>
        <w:pStyle w:val="BodyText"/>
        <w:spacing w:line="360" w:lineRule="auto" w:before="1"/>
        <w:ind w:right="847"/>
        <w:jc w:val="both"/>
      </w:pPr>
      <w:r>
        <w:rPr/>
        <w:t>En la industria ganadera a nivel mundial, como medida de manejo, en la fase de cría se realiza los procedimientos de topizado con hierro caliente de las yemas cornuales,</w:t>
      </w:r>
      <w:r>
        <w:rPr>
          <w:spacing w:val="-8"/>
        </w:rPr>
        <w:t> </w:t>
      </w:r>
      <w:r>
        <w:rPr/>
        <w:t>las</w:t>
      </w:r>
      <w:r>
        <w:rPr>
          <w:spacing w:val="-6"/>
        </w:rPr>
        <w:t> </w:t>
      </w:r>
      <w:r>
        <w:rPr/>
        <w:t>cuales</w:t>
      </w:r>
      <w:r>
        <w:rPr>
          <w:spacing w:val="-8"/>
        </w:rPr>
        <w:t> </w:t>
      </w:r>
      <w:r>
        <w:rPr/>
        <w:t>se</w:t>
      </w:r>
      <w:r>
        <w:rPr>
          <w:spacing w:val="-9"/>
        </w:rPr>
        <w:t> </w:t>
      </w:r>
      <w:r>
        <w:rPr/>
        <w:t>definen</w:t>
      </w:r>
      <w:r>
        <w:rPr>
          <w:spacing w:val="-8"/>
        </w:rPr>
        <w:t> </w:t>
      </w:r>
      <w:r>
        <w:rPr/>
        <w:t>como</w:t>
      </w:r>
      <w:r>
        <w:rPr>
          <w:spacing w:val="-8"/>
        </w:rPr>
        <w:t> </w:t>
      </w:r>
      <w:r>
        <w:rPr/>
        <w:t>tejido</w:t>
      </w:r>
      <w:r>
        <w:rPr>
          <w:spacing w:val="-8"/>
        </w:rPr>
        <w:t> </w:t>
      </w:r>
      <w:r>
        <w:rPr/>
        <w:t>primordial</w:t>
      </w:r>
      <w:r>
        <w:rPr>
          <w:spacing w:val="-8"/>
        </w:rPr>
        <w:t> </w:t>
      </w:r>
      <w:r>
        <w:rPr/>
        <w:t>de</w:t>
      </w:r>
      <w:r>
        <w:rPr>
          <w:spacing w:val="-12"/>
        </w:rPr>
        <w:t> </w:t>
      </w:r>
      <w:r>
        <w:rPr/>
        <w:t>tipo</w:t>
      </w:r>
      <w:r>
        <w:rPr>
          <w:spacing w:val="-6"/>
        </w:rPr>
        <w:t> </w:t>
      </w:r>
      <w:r>
        <w:rPr/>
        <w:t>corneo</w:t>
      </w:r>
      <w:r>
        <w:rPr>
          <w:spacing w:val="-8"/>
        </w:rPr>
        <w:t> </w:t>
      </w:r>
      <w:r>
        <w:rPr/>
        <w:t>inmaduro</w:t>
      </w:r>
      <w:r>
        <w:rPr>
          <w:spacing w:val="-11"/>
        </w:rPr>
        <w:t> </w:t>
      </w:r>
      <w:r>
        <w:rPr/>
        <w:t>no adherido al cráneo de los animales jóvenes (Choiswohl </w:t>
      </w:r>
      <w:r>
        <w:rPr>
          <w:i/>
        </w:rPr>
        <w:t>et al., </w:t>
      </w:r>
      <w:r>
        <w:rPr/>
        <w:t>2022)</w:t>
      </w:r>
    </w:p>
    <w:p>
      <w:pPr>
        <w:pStyle w:val="BodyText"/>
        <w:spacing w:line="360" w:lineRule="auto" w:before="240"/>
        <w:ind w:right="847"/>
        <w:jc w:val="both"/>
      </w:pPr>
      <w:r>
        <w:rPr/>
        <w:t>Para prevenir el crecimiento posterior de los cuernos, es necesario destruir o eliminar</w:t>
      </w:r>
      <w:r>
        <w:rPr>
          <w:spacing w:val="-8"/>
        </w:rPr>
        <w:t> </w:t>
      </w:r>
      <w:r>
        <w:rPr/>
        <w:t>las</w:t>
      </w:r>
      <w:r>
        <w:rPr>
          <w:spacing w:val="-7"/>
        </w:rPr>
        <w:t> </w:t>
      </w:r>
      <w:r>
        <w:rPr/>
        <w:t>células</w:t>
      </w:r>
      <w:r>
        <w:rPr>
          <w:spacing w:val="-7"/>
        </w:rPr>
        <w:t> </w:t>
      </w:r>
      <w:r>
        <w:rPr/>
        <w:t>productoras</w:t>
      </w:r>
      <w:r>
        <w:rPr>
          <w:spacing w:val="-7"/>
        </w:rPr>
        <w:t> </w:t>
      </w:r>
      <w:r>
        <w:rPr/>
        <w:t>de</w:t>
      </w:r>
      <w:r>
        <w:rPr>
          <w:spacing w:val="-2"/>
        </w:rPr>
        <w:t> </w:t>
      </w:r>
      <w:r>
        <w:rPr/>
        <w:t>yemas</w:t>
      </w:r>
      <w:r>
        <w:rPr>
          <w:spacing w:val="-7"/>
        </w:rPr>
        <w:t> </w:t>
      </w:r>
      <w:r>
        <w:rPr/>
        <w:t>córneas</w:t>
      </w:r>
      <w:r>
        <w:rPr>
          <w:spacing w:val="-3"/>
        </w:rPr>
        <w:t> </w:t>
      </w:r>
      <w:r>
        <w:rPr/>
        <w:t>(corium)</w:t>
      </w:r>
      <w:r>
        <w:rPr>
          <w:spacing w:val="-1"/>
        </w:rPr>
        <w:t> </w:t>
      </w:r>
      <w:r>
        <w:rPr/>
        <w:t>y</w:t>
      </w:r>
      <w:r>
        <w:rPr>
          <w:spacing w:val="-15"/>
        </w:rPr>
        <w:t> </w:t>
      </w:r>
      <w:r>
        <w:rPr/>
        <w:t>el</w:t>
      </w:r>
      <w:r>
        <w:rPr>
          <w:spacing w:val="-5"/>
        </w:rPr>
        <w:t> </w:t>
      </w:r>
      <w:r>
        <w:rPr/>
        <w:t>tejido</w:t>
      </w:r>
      <w:r>
        <w:rPr>
          <w:spacing w:val="-7"/>
        </w:rPr>
        <w:t> </w:t>
      </w:r>
      <w:r>
        <w:rPr/>
        <w:t>circundante. Este procedimiento se recomienda especialmente antes de los 2 meses de edad, ya que las yemas córneas no están firmemente adheridas al cráneo hasta después de este periodo, permitiendo su extracción sin abrir el seno frontal. En consecuencia, se prefiere el descornado (Adcock &amp; Tucker, 2022)</w:t>
      </w:r>
    </w:p>
    <w:p>
      <w:pPr>
        <w:pStyle w:val="BodyText"/>
        <w:spacing w:line="360" w:lineRule="auto" w:before="240"/>
        <w:ind w:right="847"/>
        <w:jc w:val="both"/>
      </w:pPr>
      <w:r>
        <w:rPr/>
        <w:t>En el contexto latinoamericano, donde la ganadería constituye un eje socioeconómico central, la aplicación de procedimientos de descorne es también una práctica ampliamente difundida. No obstante, estudios regionales indican que el uso de analgesia perioperatoria aún es limitado, lo que refleja brechas en la adopción de protocolos de bienestar respecto a las </w:t>
      </w:r>
      <w:r>
        <w:rPr/>
        <w:t>recomendaciones internacionales.</w:t>
      </w:r>
      <w:r>
        <w:rPr>
          <w:spacing w:val="-15"/>
        </w:rPr>
        <w:t> </w:t>
      </w:r>
      <w:r>
        <w:rPr/>
        <w:t>En</w:t>
      </w:r>
      <w:r>
        <w:rPr>
          <w:spacing w:val="-15"/>
        </w:rPr>
        <w:t> </w:t>
      </w:r>
      <w:r>
        <w:rPr/>
        <w:t>países</w:t>
      </w:r>
      <w:r>
        <w:rPr>
          <w:spacing w:val="-15"/>
        </w:rPr>
        <w:t> </w:t>
      </w:r>
      <w:r>
        <w:rPr/>
        <w:t>como</w:t>
      </w:r>
      <w:r>
        <w:rPr>
          <w:spacing w:val="-15"/>
        </w:rPr>
        <w:t> </w:t>
      </w:r>
      <w:r>
        <w:rPr/>
        <w:t>Brasil,</w:t>
      </w:r>
      <w:r>
        <w:rPr>
          <w:spacing w:val="-15"/>
        </w:rPr>
        <w:t> </w:t>
      </w:r>
      <w:r>
        <w:rPr/>
        <w:t>Argentina</w:t>
      </w:r>
      <w:r>
        <w:rPr>
          <w:spacing w:val="-15"/>
        </w:rPr>
        <w:t> </w:t>
      </w:r>
      <w:r>
        <w:rPr/>
        <w:t>y</w:t>
      </w:r>
      <w:r>
        <w:rPr>
          <w:spacing w:val="-15"/>
        </w:rPr>
        <w:t> </w:t>
      </w:r>
      <w:r>
        <w:rPr/>
        <w:t>Chile,</w:t>
      </w:r>
      <w:r>
        <w:rPr>
          <w:spacing w:val="-15"/>
        </w:rPr>
        <w:t> </w:t>
      </w:r>
      <w:r>
        <w:rPr/>
        <w:t>investigaciones</w:t>
      </w:r>
      <w:r>
        <w:rPr>
          <w:spacing w:val="-15"/>
        </w:rPr>
        <w:t> </w:t>
      </w:r>
      <w:r>
        <w:rPr/>
        <w:t>destacan que la incorporación de lidocaína, Flunixin Meglumine, solos o en combinación, reduce</w:t>
      </w:r>
      <w:r>
        <w:rPr>
          <w:spacing w:val="-6"/>
        </w:rPr>
        <w:t> </w:t>
      </w:r>
      <w:r>
        <w:rPr/>
        <w:t>de</w:t>
      </w:r>
      <w:r>
        <w:rPr>
          <w:spacing w:val="-8"/>
        </w:rPr>
        <w:t> </w:t>
      </w:r>
      <w:r>
        <w:rPr/>
        <w:t>manera</w:t>
      </w:r>
      <w:r>
        <w:rPr>
          <w:spacing w:val="-8"/>
        </w:rPr>
        <w:t> </w:t>
      </w:r>
      <w:r>
        <w:rPr/>
        <w:t>significativa</w:t>
      </w:r>
      <w:r>
        <w:rPr>
          <w:spacing w:val="-7"/>
        </w:rPr>
        <w:t> </w:t>
      </w:r>
      <w:r>
        <w:rPr/>
        <w:t>las</w:t>
      </w:r>
      <w:r>
        <w:rPr>
          <w:spacing w:val="-7"/>
        </w:rPr>
        <w:t> </w:t>
      </w:r>
      <w:r>
        <w:rPr/>
        <w:t>respuestas</w:t>
      </w:r>
      <w:r>
        <w:rPr>
          <w:spacing w:val="-7"/>
        </w:rPr>
        <w:t> </w:t>
      </w:r>
      <w:r>
        <w:rPr/>
        <w:t>fisiológicas y</w:t>
      </w:r>
      <w:r>
        <w:rPr>
          <w:spacing w:val="-14"/>
        </w:rPr>
        <w:t> </w:t>
      </w:r>
      <w:r>
        <w:rPr/>
        <w:t>conductuales</w:t>
      </w:r>
      <w:r>
        <w:rPr>
          <w:spacing w:val="-7"/>
        </w:rPr>
        <w:t> </w:t>
      </w:r>
      <w:r>
        <w:rPr/>
        <w:t>asociadas al dolor postoperatorio (Martínez &amp; Suarez, 2024).</w:t>
      </w:r>
    </w:p>
    <w:p>
      <w:pPr>
        <w:pStyle w:val="BodyText"/>
        <w:spacing w:line="360" w:lineRule="auto" w:before="240"/>
        <w:ind w:right="845"/>
        <w:jc w:val="both"/>
      </w:pPr>
      <w:r>
        <w:rPr/>
        <w:t>Los métodos más comunes para este proceso incluyen los procedimeintos de cauterización, ya sea de forma térmica o químico, y el método físico mediante la amputación. La cauterización térmica, que implica el uso de hierro caliente, o la cauterización química, mediante la aplicación de pasta cáustica, destruyen las células productoras de cuerno. Por otro lado, el método físico se centra en la eliminación de estas células. La elección del método a emplear depende de los protocolos de manejo establecidos en la unidad ganadera, así como de la experiencia</w:t>
      </w:r>
      <w:r>
        <w:rPr>
          <w:spacing w:val="48"/>
        </w:rPr>
        <w:t> </w:t>
      </w:r>
      <w:r>
        <w:rPr/>
        <w:t>y</w:t>
      </w:r>
      <w:r>
        <w:rPr>
          <w:spacing w:val="39"/>
        </w:rPr>
        <w:t> </w:t>
      </w:r>
      <w:r>
        <w:rPr/>
        <w:t>preferencia</w:t>
      </w:r>
      <w:r>
        <w:rPr>
          <w:spacing w:val="45"/>
        </w:rPr>
        <w:t> </w:t>
      </w:r>
      <w:r>
        <w:rPr/>
        <w:t>de</w:t>
      </w:r>
      <w:r>
        <w:rPr>
          <w:spacing w:val="45"/>
        </w:rPr>
        <w:t> </w:t>
      </w:r>
      <w:r>
        <w:rPr/>
        <w:t>los</w:t>
      </w:r>
      <w:r>
        <w:rPr>
          <w:spacing w:val="47"/>
        </w:rPr>
        <w:t> </w:t>
      </w:r>
      <w:r>
        <w:rPr/>
        <w:t>ganaderos,</w:t>
      </w:r>
      <w:r>
        <w:rPr>
          <w:spacing w:val="46"/>
        </w:rPr>
        <w:t> </w:t>
      </w:r>
      <w:r>
        <w:rPr/>
        <w:t>siendo</w:t>
      </w:r>
      <w:r>
        <w:rPr>
          <w:spacing w:val="46"/>
        </w:rPr>
        <w:t> </w:t>
      </w:r>
      <w:r>
        <w:rPr/>
        <w:t>esenciales</w:t>
      </w:r>
      <w:r>
        <w:rPr>
          <w:spacing w:val="47"/>
        </w:rPr>
        <w:t> </w:t>
      </w:r>
      <w:r>
        <w:rPr/>
        <w:t>estos</w:t>
      </w:r>
      <w:r>
        <w:rPr>
          <w:spacing w:val="47"/>
        </w:rPr>
        <w:t> </w:t>
      </w:r>
      <w:r>
        <w:rPr/>
        <w:t>factores</w:t>
      </w:r>
      <w:r>
        <w:rPr>
          <w:spacing w:val="47"/>
        </w:rPr>
        <w:t> </w:t>
      </w:r>
      <w:r>
        <w:rPr>
          <w:spacing w:val="-5"/>
        </w:rPr>
        <w:t>al</w:t>
      </w:r>
    </w:p>
    <w:p>
      <w:pPr>
        <w:pStyle w:val="BodyText"/>
        <w:spacing w:after="0" w:line="360" w:lineRule="auto"/>
        <w:jc w:val="both"/>
        <w:sectPr>
          <w:footerReference w:type="default" r:id="rId13"/>
          <w:pgSz w:w="11900" w:h="16860"/>
          <w:pgMar w:header="0" w:footer="1084" w:top="1620" w:bottom="1280" w:left="1133" w:right="850"/>
          <w:pgNumType w:start="1"/>
        </w:sectPr>
      </w:pPr>
    </w:p>
    <w:p>
      <w:pPr>
        <w:pStyle w:val="BodyText"/>
        <w:spacing w:before="70"/>
        <w:jc w:val="both"/>
      </w:pPr>
      <w:r>
        <w:rPr/>
        <w:t>determinar</w:t>
      </w:r>
      <w:r>
        <w:rPr>
          <w:spacing w:val="-1"/>
        </w:rPr>
        <w:t> </w:t>
      </w:r>
      <w:r>
        <w:rPr/>
        <w:t>la</w:t>
      </w:r>
      <w:r>
        <w:rPr>
          <w:spacing w:val="-1"/>
        </w:rPr>
        <w:t> </w:t>
      </w:r>
      <w:r>
        <w:rPr/>
        <w:t>estrategia</w:t>
      </w:r>
      <w:r>
        <w:rPr>
          <w:spacing w:val="-1"/>
        </w:rPr>
        <w:t> </w:t>
      </w:r>
      <w:r>
        <w:rPr/>
        <w:t>de</w:t>
      </w:r>
      <w:r>
        <w:rPr>
          <w:spacing w:val="-2"/>
        </w:rPr>
        <w:t> </w:t>
      </w:r>
      <w:r>
        <w:rPr/>
        <w:t>descornado</w:t>
      </w:r>
      <w:r>
        <w:rPr>
          <w:spacing w:val="-1"/>
        </w:rPr>
        <w:t> </w:t>
      </w:r>
      <w:r>
        <w:rPr/>
        <w:t>a</w:t>
      </w:r>
      <w:r>
        <w:rPr>
          <w:spacing w:val="-2"/>
        </w:rPr>
        <w:t> </w:t>
      </w:r>
      <w:r>
        <w:rPr/>
        <w:t>seguir</w:t>
      </w:r>
      <w:r>
        <w:rPr>
          <w:spacing w:val="-1"/>
        </w:rPr>
        <w:t> </w:t>
      </w:r>
      <w:r>
        <w:rPr/>
        <w:t>(Algra</w:t>
      </w:r>
      <w:r>
        <w:rPr>
          <w:spacing w:val="1"/>
        </w:rPr>
        <w:t> </w:t>
      </w:r>
      <w:r>
        <w:rPr>
          <w:i/>
        </w:rPr>
        <w:t>et</w:t>
      </w:r>
      <w:r>
        <w:rPr>
          <w:i/>
          <w:spacing w:val="-1"/>
        </w:rPr>
        <w:t> </w:t>
      </w:r>
      <w:r>
        <w:rPr>
          <w:i/>
        </w:rPr>
        <w:t>al</w:t>
      </w:r>
      <w:r>
        <w:rPr/>
        <w:t>., </w:t>
      </w:r>
      <w:r>
        <w:rPr>
          <w:spacing w:val="-2"/>
        </w:rPr>
        <w:t>2023).</w:t>
      </w:r>
    </w:p>
    <w:p>
      <w:pPr>
        <w:pStyle w:val="BodyText"/>
        <w:spacing w:before="101"/>
        <w:ind w:left="0"/>
      </w:pPr>
    </w:p>
    <w:p>
      <w:pPr>
        <w:pStyle w:val="BodyText"/>
        <w:spacing w:line="360" w:lineRule="auto"/>
        <w:ind w:right="844"/>
        <w:jc w:val="both"/>
      </w:pPr>
      <w:r>
        <w:rPr/>
        <w:t>La</w:t>
      </w:r>
      <w:r>
        <w:rPr>
          <w:spacing w:val="-15"/>
        </w:rPr>
        <w:t> </w:t>
      </w:r>
      <w:r>
        <w:rPr/>
        <w:t>principal</w:t>
      </w:r>
      <w:r>
        <w:rPr>
          <w:spacing w:val="-15"/>
        </w:rPr>
        <w:t> </w:t>
      </w:r>
      <w:r>
        <w:rPr/>
        <w:t>razón</w:t>
      </w:r>
      <w:r>
        <w:rPr>
          <w:spacing w:val="-15"/>
        </w:rPr>
        <w:t> </w:t>
      </w:r>
      <w:r>
        <w:rPr/>
        <w:t>de</w:t>
      </w:r>
      <w:r>
        <w:rPr>
          <w:spacing w:val="-15"/>
        </w:rPr>
        <w:t> </w:t>
      </w:r>
      <w:r>
        <w:rPr/>
        <w:t>la</w:t>
      </w:r>
      <w:r>
        <w:rPr>
          <w:spacing w:val="-15"/>
        </w:rPr>
        <w:t> </w:t>
      </w:r>
      <w:r>
        <w:rPr/>
        <w:t>utilidad</w:t>
      </w:r>
      <w:r>
        <w:rPr>
          <w:spacing w:val="-11"/>
        </w:rPr>
        <w:t> </w:t>
      </w:r>
      <w:r>
        <w:rPr/>
        <w:t>y</w:t>
      </w:r>
      <w:r>
        <w:rPr>
          <w:spacing w:val="-15"/>
        </w:rPr>
        <w:t> </w:t>
      </w:r>
      <w:r>
        <w:rPr/>
        <w:t>aplicación</w:t>
      </w:r>
      <w:r>
        <w:rPr>
          <w:spacing w:val="-11"/>
        </w:rPr>
        <w:t> </w:t>
      </w:r>
      <w:r>
        <w:rPr/>
        <w:t>de</w:t>
      </w:r>
      <w:r>
        <w:rPr>
          <w:spacing w:val="-14"/>
        </w:rPr>
        <w:t> </w:t>
      </w:r>
      <w:r>
        <w:rPr/>
        <w:t>este</w:t>
      </w:r>
      <w:r>
        <w:rPr>
          <w:spacing w:val="-15"/>
        </w:rPr>
        <w:t> </w:t>
      </w:r>
      <w:r>
        <w:rPr/>
        <w:t>procedimiento</w:t>
      </w:r>
      <w:r>
        <w:rPr>
          <w:spacing w:val="-14"/>
        </w:rPr>
        <w:t> </w:t>
      </w:r>
      <w:r>
        <w:rPr/>
        <w:t>es</w:t>
      </w:r>
      <w:r>
        <w:rPr>
          <w:spacing w:val="-13"/>
        </w:rPr>
        <w:t> </w:t>
      </w:r>
      <w:r>
        <w:rPr/>
        <w:t>estrictamente como medida preventiva ya que la eliminación de los cuernos en el ganado disminuye el riesgo de lesiones tanto a los humanos como a otros animales del rebaño. Además, contribuye a reducir la incidencia de desperdicio de canales debido a contusiones y golpes. En sistemas confinados, los animales sin cuernos también requieren menos espacio en el comedero. Paralelamente, el manejo de ganado con cuernos puede resultar más complicado en corrales y mangas, ya que se</w:t>
      </w:r>
      <w:r>
        <w:rPr>
          <w:spacing w:val="-4"/>
        </w:rPr>
        <w:t> </w:t>
      </w:r>
      <w:r>
        <w:rPr/>
        <w:t>estima</w:t>
      </w:r>
      <w:r>
        <w:rPr>
          <w:spacing w:val="-4"/>
        </w:rPr>
        <w:t> </w:t>
      </w:r>
      <w:r>
        <w:rPr/>
        <w:t>que</w:t>
      </w:r>
      <w:r>
        <w:rPr>
          <w:spacing w:val="-4"/>
        </w:rPr>
        <w:t> </w:t>
      </w:r>
      <w:r>
        <w:rPr/>
        <w:t>necesitan tres</w:t>
      </w:r>
      <w:r>
        <w:rPr>
          <w:spacing w:val="-1"/>
        </w:rPr>
        <w:t> </w:t>
      </w:r>
      <w:r>
        <w:rPr/>
        <w:t>veces</w:t>
      </w:r>
      <w:r>
        <w:rPr>
          <w:spacing w:val="-1"/>
        </w:rPr>
        <w:t> </w:t>
      </w:r>
      <w:r>
        <w:rPr/>
        <w:t>más</w:t>
      </w:r>
      <w:r>
        <w:rPr>
          <w:spacing w:val="-3"/>
        </w:rPr>
        <w:t> </w:t>
      </w:r>
      <w:r>
        <w:rPr/>
        <w:t>espacio tanto en</w:t>
      </w:r>
      <w:r>
        <w:rPr>
          <w:spacing w:val="-1"/>
        </w:rPr>
        <w:t> </w:t>
      </w:r>
      <w:r>
        <w:rPr/>
        <w:t>el</w:t>
      </w:r>
      <w:r>
        <w:rPr>
          <w:spacing w:val="-1"/>
        </w:rPr>
        <w:t> </w:t>
      </w:r>
      <w:r>
        <w:rPr/>
        <w:t>comedero</w:t>
      </w:r>
      <w:r>
        <w:rPr>
          <w:spacing w:val="-1"/>
        </w:rPr>
        <w:t> </w:t>
      </w:r>
      <w:r>
        <w:rPr/>
        <w:t>como durante el</w:t>
      </w:r>
      <w:r>
        <w:rPr>
          <w:spacing w:val="-4"/>
        </w:rPr>
        <w:t> </w:t>
      </w:r>
      <w:r>
        <w:rPr/>
        <w:t>transporte.</w:t>
      </w:r>
      <w:r>
        <w:rPr>
          <w:spacing w:val="-4"/>
        </w:rPr>
        <w:t> </w:t>
      </w:r>
      <w:r>
        <w:rPr/>
        <w:t>Ciertos</w:t>
      </w:r>
      <w:r>
        <w:rPr>
          <w:spacing w:val="-3"/>
        </w:rPr>
        <w:t> </w:t>
      </w:r>
      <w:r>
        <w:rPr/>
        <w:t>estudios</w:t>
      </w:r>
      <w:r>
        <w:rPr>
          <w:spacing w:val="-3"/>
        </w:rPr>
        <w:t> </w:t>
      </w:r>
      <w:r>
        <w:rPr/>
        <w:t>indican</w:t>
      </w:r>
      <w:r>
        <w:rPr>
          <w:spacing w:val="-4"/>
        </w:rPr>
        <w:t> </w:t>
      </w:r>
      <w:r>
        <w:rPr/>
        <w:t>que</w:t>
      </w:r>
      <w:r>
        <w:rPr>
          <w:spacing w:val="-5"/>
        </w:rPr>
        <w:t> </w:t>
      </w:r>
      <w:r>
        <w:rPr/>
        <w:t>los</w:t>
      </w:r>
      <w:r>
        <w:rPr>
          <w:spacing w:val="-4"/>
        </w:rPr>
        <w:t> </w:t>
      </w:r>
      <w:r>
        <w:rPr/>
        <w:t>animales</w:t>
      </w:r>
      <w:r>
        <w:rPr>
          <w:spacing w:val="-4"/>
        </w:rPr>
        <w:t> </w:t>
      </w:r>
      <w:r>
        <w:rPr/>
        <w:t>sin</w:t>
      </w:r>
      <w:r>
        <w:rPr>
          <w:spacing w:val="-4"/>
        </w:rPr>
        <w:t> </w:t>
      </w:r>
      <w:r>
        <w:rPr/>
        <w:t>cuernos</w:t>
      </w:r>
      <w:r>
        <w:rPr>
          <w:spacing w:val="-2"/>
        </w:rPr>
        <w:t> </w:t>
      </w:r>
      <w:r>
        <w:rPr/>
        <w:t>exhiben</w:t>
      </w:r>
      <w:r>
        <w:rPr>
          <w:spacing w:val="-5"/>
        </w:rPr>
        <w:t> </w:t>
      </w:r>
      <w:r>
        <w:rPr/>
        <w:t>menos comportamientos agresivos asociados con el dominio (Johnstone </w:t>
      </w:r>
      <w:r>
        <w:rPr>
          <w:i/>
        </w:rPr>
        <w:t>et al</w:t>
      </w:r>
      <w:r>
        <w:rPr/>
        <w:t>., 2021).</w:t>
      </w:r>
    </w:p>
    <w:p>
      <w:pPr>
        <w:pStyle w:val="BodyText"/>
        <w:spacing w:line="360" w:lineRule="auto" w:before="241"/>
        <w:ind w:right="845"/>
        <w:jc w:val="both"/>
      </w:pPr>
      <w:r>
        <w:rPr/>
        <w:t>Para prevenir el crecimiento posterior de los cuernos, es necesario destruir o eliminar</w:t>
      </w:r>
      <w:r>
        <w:rPr>
          <w:spacing w:val="-9"/>
        </w:rPr>
        <w:t> </w:t>
      </w:r>
      <w:r>
        <w:rPr/>
        <w:t>las</w:t>
      </w:r>
      <w:r>
        <w:rPr>
          <w:spacing w:val="-6"/>
        </w:rPr>
        <w:t> </w:t>
      </w:r>
      <w:r>
        <w:rPr/>
        <w:t>células</w:t>
      </w:r>
      <w:r>
        <w:rPr>
          <w:spacing w:val="-6"/>
        </w:rPr>
        <w:t> </w:t>
      </w:r>
      <w:r>
        <w:rPr/>
        <w:t>productoras</w:t>
      </w:r>
      <w:r>
        <w:rPr>
          <w:spacing w:val="-7"/>
        </w:rPr>
        <w:t> </w:t>
      </w:r>
      <w:r>
        <w:rPr/>
        <w:t>de</w:t>
      </w:r>
      <w:r>
        <w:rPr>
          <w:spacing w:val="-2"/>
        </w:rPr>
        <w:t> </w:t>
      </w:r>
      <w:r>
        <w:rPr/>
        <w:t>yemas</w:t>
      </w:r>
      <w:r>
        <w:rPr>
          <w:spacing w:val="-6"/>
        </w:rPr>
        <w:t> </w:t>
      </w:r>
      <w:r>
        <w:rPr/>
        <w:t>córneas</w:t>
      </w:r>
      <w:r>
        <w:rPr>
          <w:spacing w:val="-3"/>
        </w:rPr>
        <w:t> </w:t>
      </w:r>
      <w:r>
        <w:rPr/>
        <w:t>(corium) y</w:t>
      </w:r>
      <w:r>
        <w:rPr>
          <w:spacing w:val="-15"/>
        </w:rPr>
        <w:t> </w:t>
      </w:r>
      <w:r>
        <w:rPr/>
        <w:t>el</w:t>
      </w:r>
      <w:r>
        <w:rPr>
          <w:spacing w:val="-6"/>
        </w:rPr>
        <w:t> </w:t>
      </w:r>
      <w:r>
        <w:rPr/>
        <w:t>tejido</w:t>
      </w:r>
      <w:r>
        <w:rPr>
          <w:spacing w:val="-6"/>
        </w:rPr>
        <w:t> </w:t>
      </w:r>
      <w:r>
        <w:rPr/>
        <w:t>circundante. Este procedimiento se recomienda especialmente antes de los 2 meses de edad, ya que las yemas córneas no están firmemente adheridas al cráneo hasta después de este periodo, permitiendo su extracción sin abrir el seno frontal. En consecuencia, se prefiere el descornado en comparación con animales (Stock </w:t>
      </w:r>
      <w:r>
        <w:rPr>
          <w:i/>
        </w:rPr>
        <w:t>et al., </w:t>
      </w:r>
      <w:r>
        <w:rPr/>
        <w:t>2021).</w:t>
      </w:r>
    </w:p>
    <w:p>
      <w:pPr>
        <w:pStyle w:val="BodyText"/>
        <w:spacing w:line="360" w:lineRule="auto" w:before="241"/>
        <w:ind w:right="845"/>
        <w:jc w:val="both"/>
      </w:pPr>
      <w:r>
        <w:rPr/>
        <w:t>La</w:t>
      </w:r>
      <w:r>
        <w:rPr>
          <w:spacing w:val="-3"/>
        </w:rPr>
        <w:t> </w:t>
      </w:r>
      <w:r>
        <w:rPr/>
        <w:t>evidencia</w:t>
      </w:r>
      <w:r>
        <w:rPr>
          <w:spacing w:val="-2"/>
        </w:rPr>
        <w:t> </w:t>
      </w:r>
      <w:r>
        <w:rPr/>
        <w:t>científica</w:t>
      </w:r>
      <w:r>
        <w:rPr>
          <w:spacing w:val="-3"/>
        </w:rPr>
        <w:t> </w:t>
      </w:r>
      <w:r>
        <w:rPr/>
        <w:t>ha</w:t>
      </w:r>
      <w:r>
        <w:rPr>
          <w:spacing w:val="-3"/>
        </w:rPr>
        <w:t> </w:t>
      </w:r>
      <w:r>
        <w:rPr/>
        <w:t>demostrado</w:t>
      </w:r>
      <w:r>
        <w:rPr>
          <w:spacing w:val="-1"/>
        </w:rPr>
        <w:t> </w:t>
      </w:r>
      <w:r>
        <w:rPr/>
        <w:t>de</w:t>
      </w:r>
      <w:r>
        <w:rPr>
          <w:spacing w:val="-3"/>
        </w:rPr>
        <w:t> </w:t>
      </w:r>
      <w:r>
        <w:rPr/>
        <w:t>manera</w:t>
      </w:r>
      <w:r>
        <w:rPr>
          <w:spacing w:val="-1"/>
        </w:rPr>
        <w:t> </w:t>
      </w:r>
      <w:r>
        <w:rPr/>
        <w:t>consistente</w:t>
      </w:r>
      <w:r>
        <w:rPr>
          <w:spacing w:val="-2"/>
        </w:rPr>
        <w:t> </w:t>
      </w:r>
      <w:r>
        <w:rPr/>
        <w:t>que</w:t>
      </w:r>
      <w:r>
        <w:rPr>
          <w:spacing w:val="-3"/>
        </w:rPr>
        <w:t> </w:t>
      </w:r>
      <w:r>
        <w:rPr/>
        <w:t>el</w:t>
      </w:r>
      <w:r>
        <w:rPr>
          <w:spacing w:val="-2"/>
        </w:rPr>
        <w:t> </w:t>
      </w:r>
      <w:r>
        <w:rPr/>
        <w:t>procedimiento de descornado es doloroso y tiene un impacto negativo en el bienestar animal. De hecho, estudios han revelado que la combinación de anestesia local y fármacos antiinflamatorios no esteroides (AINE) puede significativamente reducir los resultados relacionados con el dolor (Robles </w:t>
      </w:r>
      <w:r>
        <w:rPr>
          <w:i/>
        </w:rPr>
        <w:t>et al</w:t>
      </w:r>
      <w:r>
        <w:rPr/>
        <w:t>., 2021).</w:t>
      </w:r>
    </w:p>
    <w:p>
      <w:pPr>
        <w:pStyle w:val="BodyText"/>
        <w:spacing w:line="360" w:lineRule="auto" w:before="239"/>
        <w:ind w:right="848"/>
        <w:jc w:val="both"/>
      </w:pPr>
      <w:r>
        <w:rPr/>
        <w:t>En el caso del Ecuador, la producción bovina representa una de las principales actividades pecuarias, tanto en sistemas de leche de altura como en sistemas de carne en regiones tropicales. Aunque la evidencia científica sobre el uso de analgesia multimodal en procedimientos de descorne en el país es aún limitada (Marca &amp; Alvino, 2024). Los principales enfoques se relacionan con el control efectivo del dolor por su influencia positiva en los comportamientos autogratificantes, tales como los comportamientos de alimentación y descanso, en los animales después de, descorne (Martin </w:t>
      </w:r>
      <w:r>
        <w:rPr>
          <w:i/>
        </w:rPr>
        <w:t>et al</w:t>
      </w:r>
      <w:r>
        <w:rPr/>
        <w:t>., 2022).</w:t>
      </w:r>
    </w:p>
    <w:p>
      <w:pPr>
        <w:pStyle w:val="BodyText"/>
        <w:spacing w:after="0" w:line="360" w:lineRule="auto"/>
        <w:jc w:val="both"/>
        <w:sectPr>
          <w:pgSz w:w="11900" w:h="16860"/>
          <w:pgMar w:header="0" w:footer="1084" w:top="1620" w:bottom="1280" w:left="1133" w:right="850"/>
        </w:sectPr>
      </w:pPr>
    </w:p>
    <w:p>
      <w:pPr>
        <w:pStyle w:val="Heading1"/>
        <w:numPr>
          <w:ilvl w:val="1"/>
          <w:numId w:val="7"/>
        </w:numPr>
        <w:tabs>
          <w:tab w:pos="1562" w:val="left" w:leader="none"/>
        </w:tabs>
        <w:spacing w:line="240" w:lineRule="auto" w:before="70" w:after="0"/>
        <w:ind w:left="1562" w:right="0" w:hanging="427"/>
        <w:jc w:val="left"/>
      </w:pPr>
      <w:bookmarkStart w:name="_bookmark2" w:id="3"/>
      <w:bookmarkEnd w:id="3"/>
      <w:r>
        <w:rPr>
          <w:b w:val="0"/>
        </w:rPr>
      </w:r>
      <w:r>
        <w:rPr>
          <w:spacing w:val="-2"/>
        </w:rPr>
        <w:t>PROBLEMA</w:t>
      </w:r>
    </w:p>
    <w:p>
      <w:pPr>
        <w:pStyle w:val="BodyText"/>
        <w:spacing w:before="101"/>
        <w:ind w:left="0"/>
        <w:rPr>
          <w:b/>
        </w:rPr>
      </w:pPr>
    </w:p>
    <w:p>
      <w:pPr>
        <w:pStyle w:val="BodyText"/>
        <w:spacing w:line="360" w:lineRule="auto"/>
        <w:ind w:right="842"/>
        <w:jc w:val="both"/>
      </w:pPr>
      <w:r>
        <w:rPr/>
        <w:t>El descorne según Pacheco (2021) desencadena una respuesta inflamatoria aguda caracterizada por la liberación de prostaglandinas, histamina, bradiquinina y citocinas</w:t>
      </w:r>
      <w:r>
        <w:rPr>
          <w:spacing w:val="-4"/>
        </w:rPr>
        <w:t> </w:t>
      </w:r>
      <w:r>
        <w:rPr/>
        <w:t>proinflamatorias (IL-1β, TNF-α, IL-6), que sensibilizan los nociceptores periféricos y generan un estado de hiperalgesia. La activación sostenida del eje hipotálamo-hipófisis-adrenal incrementa la secreción de cortisol, lo que no solo refleja estrés, sino que también puede inducir inmunosupresión y aumentar la susceptibilidad a infecciones. En el dolor post-descorne disminuye el consumo voluntario de alimento y agua, compromete la tasa de crecimiento en las semanas posteriores</w:t>
      </w:r>
      <w:r>
        <w:rPr>
          <w:spacing w:val="-7"/>
        </w:rPr>
        <w:t> </w:t>
      </w:r>
      <w:r>
        <w:rPr/>
        <w:t>y,</w:t>
      </w:r>
      <w:r>
        <w:rPr>
          <w:spacing w:val="-8"/>
        </w:rPr>
        <w:t> </w:t>
      </w:r>
      <w:r>
        <w:rPr/>
        <w:t>en</w:t>
      </w:r>
      <w:r>
        <w:rPr>
          <w:spacing w:val="-12"/>
        </w:rPr>
        <w:t> </w:t>
      </w:r>
      <w:r>
        <w:rPr/>
        <w:t>algunos</w:t>
      </w:r>
      <w:r>
        <w:rPr>
          <w:spacing w:val="-9"/>
        </w:rPr>
        <w:t> </w:t>
      </w:r>
      <w:r>
        <w:rPr/>
        <w:t>casos,</w:t>
      </w:r>
      <w:r>
        <w:rPr>
          <w:spacing w:val="-9"/>
        </w:rPr>
        <w:t> </w:t>
      </w:r>
      <w:r>
        <w:rPr/>
        <w:t>retrasa</w:t>
      </w:r>
      <w:r>
        <w:rPr>
          <w:spacing w:val="-10"/>
        </w:rPr>
        <w:t> </w:t>
      </w:r>
      <w:r>
        <w:rPr/>
        <w:t>el</w:t>
      </w:r>
      <w:r>
        <w:rPr>
          <w:spacing w:val="-9"/>
        </w:rPr>
        <w:t> </w:t>
      </w:r>
      <w:r>
        <w:rPr/>
        <w:t>inicio</w:t>
      </w:r>
      <w:r>
        <w:rPr>
          <w:spacing w:val="-9"/>
        </w:rPr>
        <w:t> </w:t>
      </w:r>
      <w:r>
        <w:rPr/>
        <w:t>de</w:t>
      </w:r>
      <w:r>
        <w:rPr>
          <w:spacing w:val="-10"/>
        </w:rPr>
        <w:t> </w:t>
      </w:r>
      <w:r>
        <w:rPr/>
        <w:t>la</w:t>
      </w:r>
      <w:r>
        <w:rPr>
          <w:spacing w:val="-10"/>
        </w:rPr>
        <w:t> </w:t>
      </w:r>
      <w:r>
        <w:rPr/>
        <w:t>actividad</w:t>
      </w:r>
      <w:r>
        <w:rPr>
          <w:spacing w:val="-10"/>
        </w:rPr>
        <w:t> </w:t>
      </w:r>
      <w:r>
        <w:rPr/>
        <w:t>ruminal</w:t>
      </w:r>
      <w:r>
        <w:rPr>
          <w:spacing w:val="-9"/>
        </w:rPr>
        <w:t> </w:t>
      </w:r>
      <w:r>
        <w:rPr/>
        <w:t>eficiente,</w:t>
      </w:r>
      <w:r>
        <w:rPr>
          <w:spacing w:val="-9"/>
        </w:rPr>
        <w:t> </w:t>
      </w:r>
      <w:r>
        <w:rPr/>
        <w:t>A largo plazo, estas alteraciones pueden repercutir en el potencial productivo futuro de los animales, tanto en ganaderías de carne como en sistemas lecheros.</w:t>
      </w:r>
    </w:p>
    <w:p>
      <w:pPr>
        <w:pStyle w:val="BodyText"/>
        <w:spacing w:line="360" w:lineRule="auto" w:before="242"/>
        <w:ind w:right="844"/>
        <w:jc w:val="both"/>
      </w:pPr>
      <w:r>
        <w:rPr/>
        <w:t>Desde</w:t>
      </w:r>
      <w:r>
        <w:rPr>
          <w:spacing w:val="-2"/>
        </w:rPr>
        <w:t> </w:t>
      </w:r>
      <w:r>
        <w:rPr/>
        <w:t>el</w:t>
      </w:r>
      <w:r>
        <w:rPr>
          <w:spacing w:val="-3"/>
        </w:rPr>
        <w:t> </w:t>
      </w:r>
      <w:r>
        <w:rPr/>
        <w:t>punto</w:t>
      </w:r>
      <w:r>
        <w:rPr>
          <w:spacing w:val="-3"/>
        </w:rPr>
        <w:t> </w:t>
      </w:r>
      <w:r>
        <w:rPr/>
        <w:t>de</w:t>
      </w:r>
      <w:r>
        <w:rPr>
          <w:spacing w:val="-4"/>
        </w:rPr>
        <w:t> </w:t>
      </w:r>
      <w:r>
        <w:rPr/>
        <w:t>vista para</w:t>
      </w:r>
      <w:r>
        <w:rPr>
          <w:spacing w:val="-3"/>
        </w:rPr>
        <w:t> </w:t>
      </w:r>
      <w:r>
        <w:rPr/>
        <w:t>Farinango</w:t>
      </w:r>
      <w:r>
        <w:rPr>
          <w:spacing w:val="-1"/>
        </w:rPr>
        <w:t> </w:t>
      </w:r>
      <w:r>
        <w:rPr/>
        <w:t>(2023) comercial</w:t>
      </w:r>
      <w:r>
        <w:rPr>
          <w:spacing w:val="-1"/>
        </w:rPr>
        <w:t> </w:t>
      </w:r>
      <w:r>
        <w:rPr/>
        <w:t>existe</w:t>
      </w:r>
      <w:r>
        <w:rPr>
          <w:spacing w:val="-4"/>
        </w:rPr>
        <w:t> </w:t>
      </w:r>
      <w:r>
        <w:rPr/>
        <w:t>diversos</w:t>
      </w:r>
      <w:r>
        <w:rPr>
          <w:spacing w:val="-1"/>
        </w:rPr>
        <w:t> </w:t>
      </w:r>
      <w:r>
        <w:rPr/>
        <w:t>grados</w:t>
      </w:r>
      <w:r>
        <w:rPr>
          <w:spacing w:val="-3"/>
        </w:rPr>
        <w:t> </w:t>
      </w:r>
      <w:r>
        <w:rPr/>
        <w:t>de limitación en la comercialización de animales que presente cuernos prominentes, tanto</w:t>
      </w:r>
      <w:r>
        <w:rPr>
          <w:spacing w:val="-1"/>
        </w:rPr>
        <w:t> </w:t>
      </w:r>
      <w:r>
        <w:rPr/>
        <w:t>al</w:t>
      </w:r>
      <w:r>
        <w:rPr>
          <w:spacing w:val="-2"/>
        </w:rPr>
        <w:t> </w:t>
      </w:r>
      <w:r>
        <w:rPr/>
        <w:t>comerciar animales de abasto como para pie de cría, su principal relación tiene</w:t>
      </w:r>
      <w:r>
        <w:rPr>
          <w:spacing w:val="-6"/>
        </w:rPr>
        <w:t> </w:t>
      </w:r>
      <w:r>
        <w:rPr/>
        <w:t>influencia</w:t>
      </w:r>
      <w:r>
        <w:rPr>
          <w:spacing w:val="-3"/>
        </w:rPr>
        <w:t> </w:t>
      </w:r>
      <w:r>
        <w:rPr/>
        <w:t>con las</w:t>
      </w:r>
      <w:r>
        <w:rPr>
          <w:spacing w:val="-3"/>
        </w:rPr>
        <w:t> </w:t>
      </w:r>
      <w:r>
        <w:rPr/>
        <w:t>complicaciones</w:t>
      </w:r>
      <w:r>
        <w:rPr>
          <w:spacing w:val="-1"/>
        </w:rPr>
        <w:t> </w:t>
      </w:r>
      <w:r>
        <w:rPr/>
        <w:t>en</w:t>
      </w:r>
      <w:r>
        <w:rPr>
          <w:spacing w:val="-1"/>
        </w:rPr>
        <w:t> </w:t>
      </w:r>
      <w:r>
        <w:rPr/>
        <w:t>el manejo</w:t>
      </w:r>
      <w:r>
        <w:rPr>
          <w:spacing w:val="-2"/>
        </w:rPr>
        <w:t> </w:t>
      </w:r>
      <w:r>
        <w:rPr/>
        <w:t>de</w:t>
      </w:r>
      <w:r>
        <w:rPr>
          <w:spacing w:val="-4"/>
        </w:rPr>
        <w:t> </w:t>
      </w:r>
      <w:r>
        <w:rPr/>
        <w:t>los</w:t>
      </w:r>
      <w:r>
        <w:rPr>
          <w:spacing w:val="-1"/>
        </w:rPr>
        <w:t> </w:t>
      </w:r>
      <w:r>
        <w:rPr/>
        <w:t>animales ya</w:t>
      </w:r>
      <w:r>
        <w:rPr>
          <w:spacing w:val="-4"/>
        </w:rPr>
        <w:t> </w:t>
      </w:r>
      <w:r>
        <w:rPr/>
        <w:t>que existe mayor</w:t>
      </w:r>
      <w:r>
        <w:rPr>
          <w:spacing w:val="-4"/>
        </w:rPr>
        <w:t> </w:t>
      </w:r>
      <w:r>
        <w:rPr/>
        <w:t>propensión</w:t>
      </w:r>
      <w:r>
        <w:rPr>
          <w:spacing w:val="-2"/>
        </w:rPr>
        <w:t> </w:t>
      </w:r>
      <w:r>
        <w:rPr/>
        <w:t>a</w:t>
      </w:r>
      <w:r>
        <w:rPr>
          <w:spacing w:val="-2"/>
        </w:rPr>
        <w:t> </w:t>
      </w:r>
      <w:r>
        <w:rPr/>
        <w:t>lesiones</w:t>
      </w:r>
      <w:r>
        <w:rPr>
          <w:spacing w:val="-1"/>
        </w:rPr>
        <w:t> </w:t>
      </w:r>
      <w:r>
        <w:rPr/>
        <w:t>en</w:t>
      </w:r>
      <w:r>
        <w:rPr>
          <w:spacing w:val="-1"/>
        </w:rPr>
        <w:t> </w:t>
      </w:r>
      <w:r>
        <w:rPr/>
        <w:t>las</w:t>
      </w:r>
      <w:r>
        <w:rPr>
          <w:spacing w:val="-2"/>
        </w:rPr>
        <w:t> </w:t>
      </w:r>
      <w:r>
        <w:rPr/>
        <w:t>personas</w:t>
      </w:r>
      <w:r>
        <w:rPr>
          <w:spacing w:val="-1"/>
        </w:rPr>
        <w:t> </w:t>
      </w:r>
      <w:r>
        <w:rPr/>
        <w:t>que manejan</w:t>
      </w:r>
      <w:r>
        <w:rPr>
          <w:spacing w:val="-2"/>
        </w:rPr>
        <w:t> </w:t>
      </w:r>
      <w:r>
        <w:rPr/>
        <w:t>estos</w:t>
      </w:r>
      <w:r>
        <w:rPr>
          <w:spacing w:val="-1"/>
        </w:rPr>
        <w:t> </w:t>
      </w:r>
      <w:r>
        <w:rPr/>
        <w:t>animales, este</w:t>
      </w:r>
      <w:r>
        <w:rPr>
          <w:spacing w:val="-2"/>
        </w:rPr>
        <w:t> </w:t>
      </w:r>
      <w:r>
        <w:rPr/>
        <w:t>tipo de animales generalmente suelen comprometer la calidad de la canal y cortes cárnicos en otro animales, además, suelen requerir más espacio físico en las instalaciones como comederos, camas, mangas de manejo y</w:t>
      </w:r>
      <w:r>
        <w:rPr>
          <w:spacing w:val="-1"/>
        </w:rPr>
        <w:t> </w:t>
      </w:r>
      <w:r>
        <w:rPr/>
        <w:t>medios de transporte. Negativamente en animales jóvenes el principal impacto es a nivel del bienestar animal, generalmente por mala práctica en los métodos, además de la poca conciencia en el manejo del dolor y las alteraciones somáticas, fisiológicas y conductuales que ocurren tras su desarrollo, comprometiendo el consumo alimenticio, la tasa de crecimiento y el desempeño productivo futuro.</w:t>
      </w:r>
    </w:p>
    <w:p>
      <w:pPr>
        <w:pStyle w:val="BodyText"/>
        <w:spacing w:line="360" w:lineRule="auto" w:before="241"/>
        <w:ind w:right="847"/>
        <w:jc w:val="both"/>
      </w:pPr>
      <w:r>
        <w:rPr/>
        <w:t>La limitada</w:t>
      </w:r>
      <w:r>
        <w:rPr>
          <w:spacing w:val="-1"/>
        </w:rPr>
        <w:t> </w:t>
      </w:r>
      <w:r>
        <w:rPr/>
        <w:t>referencia bibliográfica</w:t>
      </w:r>
      <w:r>
        <w:rPr>
          <w:spacing w:val="-1"/>
        </w:rPr>
        <w:t> </w:t>
      </w:r>
      <w:r>
        <w:rPr/>
        <w:t>del manejo adecuado de</w:t>
      </w:r>
      <w:r>
        <w:rPr>
          <w:spacing w:val="-1"/>
        </w:rPr>
        <w:t> </w:t>
      </w:r>
      <w:r>
        <w:rPr/>
        <w:t>fármacos analgésicos de forma multimodal y la influencia de otros aspectos como la raza, la edad y la disposición de tejido cornual es otro aspecto contraproducente en la búsqueda de información relevante que permita considerar una potencial aplicabilidad y replicabilidad</w:t>
      </w:r>
      <w:r>
        <w:rPr>
          <w:spacing w:val="-15"/>
        </w:rPr>
        <w:t> </w:t>
      </w:r>
      <w:r>
        <w:rPr/>
        <w:t>de</w:t>
      </w:r>
      <w:r>
        <w:rPr>
          <w:spacing w:val="-15"/>
        </w:rPr>
        <w:t> </w:t>
      </w:r>
      <w:r>
        <w:rPr/>
        <w:t>los</w:t>
      </w:r>
      <w:r>
        <w:rPr>
          <w:spacing w:val="-15"/>
        </w:rPr>
        <w:t> </w:t>
      </w:r>
      <w:r>
        <w:rPr/>
        <w:t>diversos</w:t>
      </w:r>
      <w:r>
        <w:rPr>
          <w:spacing w:val="-15"/>
        </w:rPr>
        <w:t> </w:t>
      </w:r>
      <w:r>
        <w:rPr/>
        <w:t>métodos</w:t>
      </w:r>
      <w:r>
        <w:rPr>
          <w:spacing w:val="-15"/>
        </w:rPr>
        <w:t> </w:t>
      </w:r>
      <w:r>
        <w:rPr/>
        <w:t>de</w:t>
      </w:r>
      <w:r>
        <w:rPr>
          <w:spacing w:val="-15"/>
        </w:rPr>
        <w:t> </w:t>
      </w:r>
      <w:r>
        <w:rPr/>
        <w:t>descorne</w:t>
      </w:r>
      <w:r>
        <w:rPr>
          <w:spacing w:val="-15"/>
        </w:rPr>
        <w:t> </w:t>
      </w:r>
      <w:r>
        <w:rPr/>
        <w:t>y</w:t>
      </w:r>
      <w:r>
        <w:rPr>
          <w:spacing w:val="-15"/>
        </w:rPr>
        <w:t> </w:t>
      </w:r>
      <w:r>
        <w:rPr/>
        <w:t>el</w:t>
      </w:r>
      <w:r>
        <w:rPr>
          <w:spacing w:val="-15"/>
        </w:rPr>
        <w:t> </w:t>
      </w:r>
      <w:r>
        <w:rPr/>
        <w:t>impacto</w:t>
      </w:r>
      <w:r>
        <w:rPr>
          <w:spacing w:val="-15"/>
        </w:rPr>
        <w:t> </w:t>
      </w:r>
      <w:r>
        <w:rPr/>
        <w:t>del</w:t>
      </w:r>
      <w:r>
        <w:rPr>
          <w:spacing w:val="-15"/>
        </w:rPr>
        <w:t> </w:t>
      </w:r>
      <w:r>
        <w:rPr/>
        <w:t>dolor</w:t>
      </w:r>
      <w:r>
        <w:rPr>
          <w:spacing w:val="-15"/>
        </w:rPr>
        <w:t> </w:t>
      </w:r>
      <w:r>
        <w:rPr/>
        <w:t>producido en animales jóvenes.</w:t>
      </w:r>
    </w:p>
    <w:p>
      <w:pPr>
        <w:pStyle w:val="BodyText"/>
        <w:spacing w:after="0" w:line="360" w:lineRule="auto"/>
        <w:jc w:val="both"/>
        <w:sectPr>
          <w:pgSz w:w="11900" w:h="16860"/>
          <w:pgMar w:header="0" w:footer="1084" w:top="1620" w:bottom="1280" w:left="1133" w:right="850"/>
        </w:sectPr>
      </w:pPr>
    </w:p>
    <w:p>
      <w:pPr>
        <w:pStyle w:val="Heading1"/>
        <w:numPr>
          <w:ilvl w:val="0"/>
          <w:numId w:val="8"/>
        </w:numPr>
        <w:tabs>
          <w:tab w:pos="1418" w:val="left" w:leader="none"/>
        </w:tabs>
        <w:spacing w:line="240" w:lineRule="auto" w:before="70" w:after="0"/>
        <w:ind w:left="1418" w:right="0" w:hanging="283"/>
        <w:jc w:val="left"/>
      </w:pPr>
      <w:bookmarkStart w:name="_bookmark3" w:id="4"/>
      <w:bookmarkEnd w:id="4"/>
      <w:r>
        <w:rPr>
          <w:b w:val="0"/>
        </w:rPr>
      </w:r>
      <w:r>
        <w:rPr>
          <w:spacing w:val="-2"/>
        </w:rPr>
        <w:t>OBJETIVOS</w:t>
      </w:r>
    </w:p>
    <w:p>
      <w:pPr>
        <w:pStyle w:val="BodyText"/>
        <w:spacing w:before="101"/>
        <w:ind w:left="0"/>
        <w:rPr>
          <w:b/>
        </w:rPr>
      </w:pPr>
    </w:p>
    <w:p>
      <w:pPr>
        <w:pStyle w:val="Heading2"/>
        <w:numPr>
          <w:ilvl w:val="1"/>
          <w:numId w:val="8"/>
        </w:numPr>
        <w:tabs>
          <w:tab w:pos="1701" w:val="left" w:leader="none"/>
        </w:tabs>
        <w:spacing w:line="240" w:lineRule="auto" w:before="0" w:after="0"/>
        <w:ind w:left="1701" w:right="0" w:hanging="566"/>
        <w:jc w:val="left"/>
      </w:pPr>
      <w:bookmarkStart w:name="_bookmark4" w:id="5"/>
      <w:bookmarkEnd w:id="5"/>
      <w:r>
        <w:rPr>
          <w:b w:val="0"/>
        </w:rPr>
      </w:r>
      <w:r>
        <w:rPr/>
        <w:t>Objetivo</w:t>
      </w:r>
      <w:r>
        <w:rPr>
          <w:spacing w:val="-1"/>
        </w:rPr>
        <w:t> </w:t>
      </w:r>
      <w:r>
        <w:rPr>
          <w:spacing w:val="-2"/>
        </w:rPr>
        <w:t>general</w:t>
      </w:r>
    </w:p>
    <w:p>
      <w:pPr>
        <w:pStyle w:val="BodyText"/>
        <w:spacing w:before="103"/>
        <w:ind w:left="0"/>
        <w:rPr>
          <w:b/>
        </w:rPr>
      </w:pPr>
    </w:p>
    <w:p>
      <w:pPr>
        <w:pStyle w:val="BodyText"/>
        <w:spacing w:line="360" w:lineRule="auto" w:before="1"/>
      </w:pPr>
      <w:r>
        <w:rPr/>
        <w:t>Estudiar el efecto de la analgesia multimodal sobre las respuestas fisiológicas y</w:t>
      </w:r>
      <w:r>
        <w:rPr>
          <w:spacing w:val="80"/>
          <w:w w:val="150"/>
        </w:rPr>
        <w:t> </w:t>
      </w:r>
      <w:r>
        <w:rPr/>
        <w:t>conductuales en terneros sometidos a procedimientos de descorne</w:t>
      </w:r>
    </w:p>
    <w:p>
      <w:pPr>
        <w:pStyle w:val="Heading2"/>
        <w:numPr>
          <w:ilvl w:val="1"/>
          <w:numId w:val="8"/>
        </w:numPr>
        <w:tabs>
          <w:tab w:pos="1701" w:val="left" w:leader="none"/>
        </w:tabs>
        <w:spacing w:line="240" w:lineRule="auto" w:before="240" w:after="0"/>
        <w:ind w:left="1701" w:right="0" w:hanging="566"/>
        <w:jc w:val="left"/>
      </w:pPr>
      <w:bookmarkStart w:name="_bookmark5" w:id="6"/>
      <w:bookmarkEnd w:id="6"/>
      <w:r>
        <w:rPr>
          <w:b w:val="0"/>
        </w:rPr>
      </w:r>
      <w:r>
        <w:rPr/>
        <w:t>Objetivos</w:t>
      </w:r>
      <w:r>
        <w:rPr>
          <w:spacing w:val="-1"/>
        </w:rPr>
        <w:t> </w:t>
      </w:r>
      <w:r>
        <w:rPr>
          <w:spacing w:val="-2"/>
        </w:rPr>
        <w:t>específicos</w:t>
      </w:r>
    </w:p>
    <w:p>
      <w:pPr>
        <w:pStyle w:val="BodyText"/>
        <w:spacing w:before="100"/>
        <w:ind w:left="0"/>
        <w:rPr>
          <w:b/>
        </w:rPr>
      </w:pPr>
    </w:p>
    <w:p>
      <w:pPr>
        <w:pStyle w:val="BodyText"/>
        <w:spacing w:line="362" w:lineRule="auto"/>
        <w:ind w:right="793"/>
      </w:pPr>
      <w:r>
        <w:rPr/>
        <w:t>Comparar tres protocolos de analgesia multimodal a base a Flunixin Meglumine, lidocaína y</w:t>
      </w:r>
      <w:r>
        <w:rPr>
          <w:spacing w:val="-9"/>
        </w:rPr>
        <w:t> </w:t>
      </w:r>
      <w:r>
        <w:rPr/>
        <w:t>bupivacaina</w:t>
      </w:r>
      <w:r>
        <w:rPr>
          <w:spacing w:val="-1"/>
        </w:rPr>
        <w:t> </w:t>
      </w:r>
      <w:r>
        <w:rPr/>
        <w:t>tamponada</w:t>
      </w:r>
      <w:r>
        <w:rPr>
          <w:spacing w:val="-4"/>
        </w:rPr>
        <w:t> </w:t>
      </w:r>
      <w:r>
        <w:rPr/>
        <w:t>en</w:t>
      </w:r>
      <w:r>
        <w:rPr>
          <w:spacing w:val="-1"/>
        </w:rPr>
        <w:t> </w:t>
      </w:r>
      <w:r>
        <w:rPr/>
        <w:t>el</w:t>
      </w:r>
      <w:r>
        <w:rPr>
          <w:spacing w:val="-21"/>
        </w:rPr>
        <w:t> </w:t>
      </w:r>
      <w:r>
        <w:rPr/>
        <w:t>procedimiento</w:t>
      </w:r>
      <w:r>
        <w:rPr>
          <w:spacing w:val="-1"/>
        </w:rPr>
        <w:t> </w:t>
      </w:r>
      <w:r>
        <w:rPr/>
        <w:t>de descorne en terneros.</w:t>
      </w:r>
    </w:p>
    <w:p>
      <w:pPr>
        <w:pStyle w:val="BodyText"/>
        <w:spacing w:line="360" w:lineRule="auto" w:before="236"/>
      </w:pPr>
      <w:r>
        <w:rPr/>
        <w:t>Valorar</w:t>
      </w:r>
      <w:r>
        <w:rPr>
          <w:spacing w:val="78"/>
        </w:rPr>
        <w:t> </w:t>
      </w:r>
      <w:r>
        <w:rPr/>
        <w:t>las</w:t>
      </w:r>
      <w:r>
        <w:rPr>
          <w:spacing w:val="77"/>
        </w:rPr>
        <w:t> </w:t>
      </w:r>
      <w:r>
        <w:rPr/>
        <w:t>alteraciones</w:t>
      </w:r>
      <w:r>
        <w:rPr>
          <w:spacing w:val="79"/>
        </w:rPr>
        <w:t> </w:t>
      </w:r>
      <w:r>
        <w:rPr/>
        <w:t>en</w:t>
      </w:r>
      <w:r>
        <w:rPr>
          <w:spacing w:val="77"/>
        </w:rPr>
        <w:t> </w:t>
      </w:r>
      <w:r>
        <w:rPr/>
        <w:t>las</w:t>
      </w:r>
      <w:r>
        <w:rPr>
          <w:spacing w:val="79"/>
        </w:rPr>
        <w:t> </w:t>
      </w:r>
      <w:r>
        <w:rPr/>
        <w:t>constantes</w:t>
      </w:r>
      <w:r>
        <w:rPr>
          <w:spacing w:val="77"/>
        </w:rPr>
        <w:t> </w:t>
      </w:r>
      <w:r>
        <w:rPr/>
        <w:t>fisiológicas</w:t>
      </w:r>
      <w:r>
        <w:rPr>
          <w:spacing w:val="80"/>
        </w:rPr>
        <w:t> </w:t>
      </w:r>
      <w:r>
        <w:rPr/>
        <w:t>y</w:t>
      </w:r>
      <w:r>
        <w:rPr>
          <w:spacing w:val="72"/>
        </w:rPr>
        <w:t> </w:t>
      </w:r>
      <w:r>
        <w:rPr/>
        <w:t>conductuales</w:t>
      </w:r>
      <w:r>
        <w:rPr>
          <w:spacing w:val="77"/>
        </w:rPr>
        <w:t> </w:t>
      </w:r>
      <w:r>
        <w:rPr/>
        <w:t>como indicativo del dolor después del procedimiento de descorne.</w:t>
      </w:r>
    </w:p>
    <w:p>
      <w:pPr>
        <w:pStyle w:val="BodyText"/>
        <w:spacing w:before="240"/>
      </w:pPr>
      <w:r>
        <w:rPr>
          <w:spacing w:val="-2"/>
        </w:rPr>
        <w:t>Realizar</w:t>
      </w:r>
      <w:r>
        <w:rPr>
          <w:spacing w:val="-15"/>
        </w:rPr>
        <w:t> </w:t>
      </w:r>
      <w:r>
        <w:rPr>
          <w:spacing w:val="-2"/>
        </w:rPr>
        <w:t>mediciones</w:t>
      </w:r>
      <w:r>
        <w:rPr>
          <w:spacing w:val="-5"/>
        </w:rPr>
        <w:t> </w:t>
      </w:r>
      <w:r>
        <w:rPr>
          <w:spacing w:val="-2"/>
        </w:rPr>
        <w:t>de</w:t>
      </w:r>
      <w:r>
        <w:rPr>
          <w:spacing w:val="-9"/>
        </w:rPr>
        <w:t> </w:t>
      </w:r>
      <w:r>
        <w:rPr>
          <w:spacing w:val="-2"/>
        </w:rPr>
        <w:t>la</w:t>
      </w:r>
      <w:r>
        <w:rPr>
          <w:spacing w:val="-6"/>
        </w:rPr>
        <w:t> </w:t>
      </w:r>
      <w:r>
        <w:rPr>
          <w:spacing w:val="-2"/>
        </w:rPr>
        <w:t>proteína</w:t>
      </w:r>
      <w:r>
        <w:rPr>
          <w:spacing w:val="-8"/>
        </w:rPr>
        <w:t> </w:t>
      </w:r>
      <w:r>
        <w:rPr>
          <w:spacing w:val="-2"/>
        </w:rPr>
        <w:t>C</w:t>
      </w:r>
      <w:r>
        <w:rPr>
          <w:spacing w:val="-7"/>
        </w:rPr>
        <w:t> </w:t>
      </w:r>
      <w:r>
        <w:rPr>
          <w:spacing w:val="-2"/>
        </w:rPr>
        <w:t>reactiva</w:t>
      </w:r>
      <w:r>
        <w:rPr>
          <w:spacing w:val="-7"/>
        </w:rPr>
        <w:t> </w:t>
      </w:r>
      <w:r>
        <w:rPr>
          <w:spacing w:val="-2"/>
        </w:rPr>
        <w:t>a</w:t>
      </w:r>
      <w:r>
        <w:rPr>
          <w:spacing w:val="-11"/>
        </w:rPr>
        <w:t> </w:t>
      </w:r>
      <w:r>
        <w:rPr>
          <w:spacing w:val="-2"/>
        </w:rPr>
        <w:t>los</w:t>
      </w:r>
      <w:r>
        <w:rPr>
          <w:spacing w:val="-3"/>
        </w:rPr>
        <w:t> </w:t>
      </w:r>
      <w:r>
        <w:rPr>
          <w:spacing w:val="-2"/>
        </w:rPr>
        <w:t>3</w:t>
      </w:r>
      <w:r>
        <w:rPr>
          <w:spacing w:val="-5"/>
        </w:rPr>
        <w:t> </w:t>
      </w:r>
      <w:r>
        <w:rPr>
          <w:spacing w:val="-2"/>
        </w:rPr>
        <w:t>días</w:t>
      </w:r>
      <w:r>
        <w:rPr>
          <w:spacing w:val="-7"/>
        </w:rPr>
        <w:t> </w:t>
      </w:r>
      <w:r>
        <w:rPr>
          <w:spacing w:val="-2"/>
        </w:rPr>
        <w:t>postoperatorio</w:t>
      </w:r>
      <w:r>
        <w:rPr>
          <w:spacing w:val="-6"/>
        </w:rPr>
        <w:t> </w:t>
      </w:r>
      <w:r>
        <w:rPr>
          <w:spacing w:val="-2"/>
        </w:rPr>
        <w:t>en</w:t>
      </w:r>
      <w:r>
        <w:rPr>
          <w:spacing w:val="-8"/>
        </w:rPr>
        <w:t> </w:t>
      </w:r>
      <w:r>
        <w:rPr>
          <w:spacing w:val="-2"/>
        </w:rPr>
        <w:t>terneros.</w:t>
      </w:r>
    </w:p>
    <w:p>
      <w:pPr>
        <w:pStyle w:val="BodyText"/>
        <w:spacing w:after="0"/>
        <w:sectPr>
          <w:pgSz w:w="11900" w:h="16860"/>
          <w:pgMar w:header="0" w:footer="1084" w:top="1620" w:bottom="1280" w:left="1133" w:right="850"/>
        </w:sectPr>
      </w:pPr>
    </w:p>
    <w:p>
      <w:pPr>
        <w:pStyle w:val="Heading1"/>
        <w:numPr>
          <w:ilvl w:val="1"/>
          <w:numId w:val="8"/>
        </w:numPr>
        <w:tabs>
          <w:tab w:pos="1701" w:val="left" w:leader="none"/>
        </w:tabs>
        <w:spacing w:line="240" w:lineRule="auto" w:before="70" w:after="0"/>
        <w:ind w:left="1701" w:right="0" w:hanging="566"/>
        <w:jc w:val="left"/>
      </w:pPr>
      <w:bookmarkStart w:name="_bookmark6" w:id="7"/>
      <w:bookmarkEnd w:id="7"/>
      <w:r>
        <w:rPr>
          <w:b w:val="0"/>
        </w:rPr>
      </w:r>
      <w:r>
        <w:rPr>
          <w:spacing w:val="-2"/>
        </w:rPr>
        <w:t>HIPÓTESIS</w:t>
      </w:r>
    </w:p>
    <w:p>
      <w:pPr>
        <w:pStyle w:val="BodyText"/>
        <w:spacing w:before="101"/>
        <w:ind w:left="0"/>
        <w:rPr>
          <w:b/>
        </w:rPr>
      </w:pPr>
    </w:p>
    <w:p>
      <w:pPr>
        <w:pStyle w:val="BodyText"/>
        <w:spacing w:line="360" w:lineRule="auto"/>
        <w:ind w:right="793"/>
      </w:pPr>
      <w:r>
        <w:rPr>
          <w:b/>
        </w:rPr>
        <w:t>Ho</w:t>
      </w:r>
      <w:r>
        <w:rPr/>
        <w:t>:</w:t>
      </w:r>
      <w:r>
        <w:rPr>
          <w:spacing w:val="-4"/>
        </w:rPr>
        <w:t> </w:t>
      </w:r>
      <w:r>
        <w:rPr/>
        <w:t>La</w:t>
      </w:r>
      <w:r>
        <w:rPr>
          <w:spacing w:val="-7"/>
        </w:rPr>
        <w:t> </w:t>
      </w:r>
      <w:r>
        <w:rPr/>
        <w:t>analgesia</w:t>
      </w:r>
      <w:r>
        <w:rPr>
          <w:spacing w:val="-5"/>
        </w:rPr>
        <w:t> </w:t>
      </w:r>
      <w:r>
        <w:rPr/>
        <w:t>multimodal</w:t>
      </w:r>
      <w:r>
        <w:rPr>
          <w:spacing w:val="-8"/>
        </w:rPr>
        <w:t> </w:t>
      </w:r>
      <w:r>
        <w:rPr/>
        <w:t>no</w:t>
      </w:r>
      <w:r>
        <w:rPr>
          <w:spacing w:val="-8"/>
        </w:rPr>
        <w:t> </w:t>
      </w:r>
      <w:r>
        <w:rPr/>
        <w:t>influye</w:t>
      </w:r>
      <w:r>
        <w:rPr>
          <w:spacing w:val="-6"/>
        </w:rPr>
        <w:t> </w:t>
      </w:r>
      <w:r>
        <w:rPr/>
        <w:t>en</w:t>
      </w:r>
      <w:r>
        <w:rPr>
          <w:spacing w:val="-6"/>
        </w:rPr>
        <w:t> </w:t>
      </w:r>
      <w:r>
        <w:rPr/>
        <w:t>la</w:t>
      </w:r>
      <w:r>
        <w:rPr>
          <w:spacing w:val="-7"/>
        </w:rPr>
        <w:t> </w:t>
      </w:r>
      <w:r>
        <w:rPr/>
        <w:t>respuesta</w:t>
      </w:r>
      <w:r>
        <w:rPr>
          <w:spacing w:val="-4"/>
        </w:rPr>
        <w:t> </w:t>
      </w:r>
      <w:r>
        <w:rPr/>
        <w:t>fisiológica</w:t>
      </w:r>
      <w:r>
        <w:rPr>
          <w:spacing w:val="-2"/>
        </w:rPr>
        <w:t> </w:t>
      </w:r>
      <w:r>
        <w:rPr/>
        <w:t>y</w:t>
      </w:r>
      <w:r>
        <w:rPr>
          <w:spacing w:val="-15"/>
        </w:rPr>
        <w:t> </w:t>
      </w:r>
      <w:r>
        <w:rPr/>
        <w:t>conductual</w:t>
      </w:r>
      <w:r>
        <w:rPr>
          <w:spacing w:val="-8"/>
        </w:rPr>
        <w:t> </w:t>
      </w:r>
      <w:r>
        <w:rPr/>
        <w:t>en terneros sometidos a descorne</w:t>
      </w:r>
    </w:p>
    <w:p>
      <w:pPr>
        <w:pStyle w:val="BodyText"/>
        <w:spacing w:line="360" w:lineRule="auto" w:before="240"/>
        <w:ind w:right="793"/>
      </w:pPr>
      <w:r>
        <w:rPr>
          <w:b/>
        </w:rPr>
        <w:t>Hi</w:t>
      </w:r>
      <w:r>
        <w:rPr/>
        <w:t>: La analgesia multimodal influye en la respuesta fisiológica y conductual en</w:t>
      </w:r>
      <w:r>
        <w:rPr>
          <w:spacing w:val="80"/>
        </w:rPr>
        <w:t> </w:t>
      </w:r>
      <w:r>
        <w:rPr/>
        <w:t>terneros sometidos a descorne</w:t>
      </w:r>
    </w:p>
    <w:p>
      <w:pPr>
        <w:pStyle w:val="BodyText"/>
        <w:spacing w:after="0" w:line="360" w:lineRule="auto"/>
        <w:sectPr>
          <w:pgSz w:w="11900" w:h="16860"/>
          <w:pgMar w:header="0" w:footer="1084" w:top="1620" w:bottom="1280" w:left="1133" w:right="850"/>
        </w:sectPr>
      </w:pPr>
    </w:p>
    <w:p>
      <w:pPr>
        <w:pStyle w:val="Heading1"/>
        <w:jc w:val="both"/>
      </w:pPr>
      <w:bookmarkStart w:name="_bookmark7" w:id="8"/>
      <w:bookmarkEnd w:id="8"/>
      <w:r>
        <w:rPr>
          <w:b w:val="0"/>
        </w:rPr>
      </w:r>
      <w:r>
        <w:rPr/>
        <w:t>CAPÍTULO</w:t>
      </w:r>
      <w:r>
        <w:rPr>
          <w:spacing w:val="-3"/>
        </w:rPr>
        <w:t> </w:t>
      </w:r>
      <w:r>
        <w:rPr/>
        <w:t>III.</w:t>
      </w:r>
      <w:r>
        <w:rPr>
          <w:spacing w:val="-1"/>
        </w:rPr>
        <w:t> </w:t>
      </w:r>
      <w:r>
        <w:rPr/>
        <w:t>MARCO</w:t>
      </w:r>
      <w:r>
        <w:rPr>
          <w:spacing w:val="-4"/>
        </w:rPr>
        <w:t> </w:t>
      </w:r>
      <w:r>
        <w:rPr>
          <w:spacing w:val="-2"/>
        </w:rPr>
        <w:t>TEÓRICO</w:t>
      </w:r>
    </w:p>
    <w:p>
      <w:pPr>
        <w:pStyle w:val="BodyText"/>
        <w:spacing w:before="101"/>
        <w:ind w:left="0"/>
        <w:rPr>
          <w:b/>
        </w:rPr>
      </w:pPr>
    </w:p>
    <w:p>
      <w:pPr>
        <w:pStyle w:val="Heading2"/>
        <w:numPr>
          <w:ilvl w:val="1"/>
          <w:numId w:val="9"/>
        </w:numPr>
        <w:tabs>
          <w:tab w:pos="1701" w:val="left" w:leader="none"/>
        </w:tabs>
        <w:spacing w:line="240" w:lineRule="auto" w:before="0" w:after="0"/>
        <w:ind w:left="1701" w:right="0" w:hanging="566"/>
        <w:jc w:val="both"/>
      </w:pPr>
      <w:bookmarkStart w:name="_bookmark8" w:id="9"/>
      <w:bookmarkEnd w:id="9"/>
      <w:r>
        <w:rPr/>
        <w:t>Anato</w:t>
      </w:r>
      <w:r>
        <w:rPr/>
        <w:t>mía</w:t>
      </w:r>
      <w:r>
        <w:rPr>
          <w:spacing w:val="-5"/>
        </w:rPr>
        <w:t> </w:t>
      </w:r>
      <w:r>
        <w:rPr/>
        <w:t>del</w:t>
      </w:r>
      <w:r>
        <w:rPr>
          <w:spacing w:val="-4"/>
        </w:rPr>
        <w:t> </w:t>
      </w:r>
      <w:r>
        <w:rPr>
          <w:spacing w:val="-2"/>
        </w:rPr>
        <w:t>cuerno</w:t>
      </w:r>
    </w:p>
    <w:p>
      <w:pPr>
        <w:pStyle w:val="BodyText"/>
        <w:spacing w:before="103"/>
        <w:ind w:left="0"/>
        <w:rPr>
          <w:b/>
        </w:rPr>
      </w:pPr>
    </w:p>
    <w:p>
      <w:pPr>
        <w:pStyle w:val="BodyText"/>
        <w:spacing w:line="360" w:lineRule="auto" w:before="1"/>
        <w:ind w:right="843"/>
        <w:jc w:val="both"/>
      </w:pPr>
      <w:r>
        <w:rPr/>
        <w:t>Los cuernos se presentan una sección de forma circular u ovalada, pudiendo tener un eje proyección mayor en posición horizontal o vertical. Están compuestos por tres</w:t>
      </w:r>
      <w:r>
        <w:rPr>
          <w:spacing w:val="-12"/>
        </w:rPr>
        <w:t> </w:t>
      </w:r>
      <w:r>
        <w:rPr/>
        <w:t>elementos:</w:t>
      </w:r>
      <w:r>
        <w:rPr>
          <w:spacing w:val="-4"/>
        </w:rPr>
        <w:t> </w:t>
      </w:r>
      <w:r>
        <w:rPr/>
        <w:t>el</w:t>
      </w:r>
      <w:r>
        <w:rPr>
          <w:spacing w:val="-8"/>
        </w:rPr>
        <w:t> </w:t>
      </w:r>
      <w:r>
        <w:rPr/>
        <w:t>pasador</w:t>
      </w:r>
      <w:r>
        <w:rPr>
          <w:spacing w:val="-11"/>
        </w:rPr>
        <w:t> </w:t>
      </w:r>
      <w:r>
        <w:rPr/>
        <w:t>óseo,</w:t>
      </w:r>
      <w:r>
        <w:rPr>
          <w:spacing w:val="-8"/>
        </w:rPr>
        <w:t> </w:t>
      </w:r>
      <w:r>
        <w:rPr/>
        <w:t>la</w:t>
      </w:r>
      <w:r>
        <w:rPr>
          <w:spacing w:val="-9"/>
        </w:rPr>
        <w:t> </w:t>
      </w:r>
      <w:r>
        <w:rPr/>
        <w:t>membrana</w:t>
      </w:r>
      <w:r>
        <w:rPr>
          <w:spacing w:val="-8"/>
        </w:rPr>
        <w:t> </w:t>
      </w:r>
      <w:r>
        <w:rPr/>
        <w:t>queratógena</w:t>
      </w:r>
      <w:r>
        <w:rPr>
          <w:spacing w:val="-2"/>
        </w:rPr>
        <w:t> </w:t>
      </w:r>
      <w:r>
        <w:rPr/>
        <w:t>y</w:t>
      </w:r>
      <w:r>
        <w:rPr>
          <w:spacing w:val="-15"/>
        </w:rPr>
        <w:t> </w:t>
      </w:r>
      <w:r>
        <w:rPr/>
        <w:t>la</w:t>
      </w:r>
      <w:r>
        <w:rPr>
          <w:spacing w:val="-9"/>
        </w:rPr>
        <w:t> </w:t>
      </w:r>
      <w:r>
        <w:rPr/>
        <w:t>envoltura</w:t>
      </w:r>
      <w:r>
        <w:rPr>
          <w:spacing w:val="-11"/>
        </w:rPr>
        <w:t> </w:t>
      </w:r>
      <w:r>
        <w:rPr/>
        <w:t>córnea.</w:t>
      </w:r>
      <w:r>
        <w:rPr>
          <w:spacing w:val="-8"/>
        </w:rPr>
        <w:t> </w:t>
      </w:r>
      <w:r>
        <w:rPr/>
        <w:t>El pasador óseo, que es una extensión del hueso frontal, contiene vasos sanguíneos y nervios en su interior. La membrana queratógena, ubicada entre el pasador óseo y la cápsula corneal, tiene una consistencia gelatinosa y cumple una función amortiguadora (Lomillo &amp; Alonso, 2020).</w:t>
      </w:r>
    </w:p>
    <w:p>
      <w:pPr>
        <w:pStyle w:val="BodyText"/>
        <w:spacing w:line="360" w:lineRule="auto" w:before="239"/>
        <w:ind w:right="843"/>
        <w:jc w:val="both"/>
      </w:pPr>
      <w:r>
        <w:rPr/>
        <w:t>La envoltura</w:t>
      </w:r>
      <w:r>
        <w:rPr>
          <w:spacing w:val="-3"/>
        </w:rPr>
        <w:t> </w:t>
      </w:r>
      <w:r>
        <w:rPr/>
        <w:t>corneal, en su</w:t>
      </w:r>
      <w:r>
        <w:rPr>
          <w:spacing w:val="-1"/>
        </w:rPr>
        <w:t> </w:t>
      </w:r>
      <w:r>
        <w:rPr/>
        <w:t>mayoría,</w:t>
      </w:r>
      <w:r>
        <w:rPr>
          <w:spacing w:val="-1"/>
        </w:rPr>
        <w:t> </w:t>
      </w:r>
      <w:r>
        <w:rPr/>
        <w:t>es hueca,</w:t>
      </w:r>
      <w:r>
        <w:rPr>
          <w:spacing w:val="-1"/>
        </w:rPr>
        <w:t> </w:t>
      </w:r>
      <w:r>
        <w:rPr/>
        <w:t>especialmente</w:t>
      </w:r>
      <w:r>
        <w:rPr>
          <w:spacing w:val="-1"/>
        </w:rPr>
        <w:t> </w:t>
      </w:r>
      <w:r>
        <w:rPr/>
        <w:t>en</w:t>
      </w:r>
      <w:r>
        <w:rPr>
          <w:spacing w:val="-1"/>
        </w:rPr>
        <w:t> </w:t>
      </w:r>
      <w:r>
        <w:rPr/>
        <w:t>la</w:t>
      </w:r>
      <w:r>
        <w:rPr>
          <w:spacing w:val="-2"/>
        </w:rPr>
        <w:t> </w:t>
      </w:r>
      <w:r>
        <w:rPr/>
        <w:t>zona</w:t>
      </w:r>
      <w:r>
        <w:rPr>
          <w:spacing w:val="-4"/>
        </w:rPr>
        <w:t> </w:t>
      </w:r>
      <w:r>
        <w:rPr/>
        <w:t>que</w:t>
      </w:r>
      <w:r>
        <w:rPr>
          <w:spacing w:val="-4"/>
        </w:rPr>
        <w:t> </w:t>
      </w:r>
      <w:r>
        <w:rPr/>
        <w:t>cubre el pasador óseo. Sus paredes, inicialmente delgadas, se van engrosando </w:t>
      </w:r>
      <w:r>
        <w:rPr>
          <w:spacing w:val="-2"/>
        </w:rPr>
        <w:t>gradualmente</w:t>
      </w:r>
      <w:r>
        <w:rPr>
          <w:spacing w:val="-6"/>
        </w:rPr>
        <w:t> </w:t>
      </w:r>
      <w:r>
        <w:rPr>
          <w:spacing w:val="-2"/>
        </w:rPr>
        <w:t>hasta</w:t>
      </w:r>
      <w:r>
        <w:rPr>
          <w:spacing w:val="-4"/>
        </w:rPr>
        <w:t> </w:t>
      </w:r>
      <w:r>
        <w:rPr>
          <w:spacing w:val="-2"/>
        </w:rPr>
        <w:t>formar</w:t>
      </w:r>
      <w:r>
        <w:rPr>
          <w:spacing w:val="-10"/>
        </w:rPr>
        <w:t> </w:t>
      </w:r>
      <w:r>
        <w:rPr>
          <w:spacing w:val="-2"/>
        </w:rPr>
        <w:t>un</w:t>
      </w:r>
      <w:r>
        <w:rPr>
          <w:spacing w:val="-6"/>
        </w:rPr>
        <w:t> </w:t>
      </w:r>
      <w:r>
        <w:rPr>
          <w:spacing w:val="-2"/>
        </w:rPr>
        <w:t>cono</w:t>
      </w:r>
      <w:r>
        <w:rPr>
          <w:spacing w:val="-6"/>
        </w:rPr>
        <w:t> </w:t>
      </w:r>
      <w:r>
        <w:rPr>
          <w:spacing w:val="-2"/>
        </w:rPr>
        <w:t>macizo</w:t>
      </w:r>
      <w:r>
        <w:rPr>
          <w:spacing w:val="-8"/>
        </w:rPr>
        <w:t> </w:t>
      </w:r>
      <w:r>
        <w:rPr>
          <w:spacing w:val="-2"/>
        </w:rPr>
        <w:t>que</w:t>
      </w:r>
      <w:r>
        <w:rPr>
          <w:spacing w:val="-10"/>
        </w:rPr>
        <w:t> </w:t>
      </w:r>
      <w:r>
        <w:rPr>
          <w:spacing w:val="-2"/>
        </w:rPr>
        <w:t>termina</w:t>
      </w:r>
      <w:r>
        <w:rPr>
          <w:spacing w:val="-9"/>
        </w:rPr>
        <w:t> </w:t>
      </w:r>
      <w:r>
        <w:rPr>
          <w:spacing w:val="-2"/>
        </w:rPr>
        <w:t>en</w:t>
      </w:r>
      <w:r>
        <w:rPr>
          <w:spacing w:val="-6"/>
        </w:rPr>
        <w:t> </w:t>
      </w:r>
      <w:r>
        <w:rPr>
          <w:spacing w:val="-2"/>
        </w:rPr>
        <w:t>punta.</w:t>
      </w:r>
      <w:r>
        <w:rPr>
          <w:spacing w:val="-6"/>
        </w:rPr>
        <w:t> </w:t>
      </w:r>
      <w:r>
        <w:rPr>
          <w:spacing w:val="-2"/>
        </w:rPr>
        <w:t>Aunque</w:t>
      </w:r>
      <w:r>
        <w:rPr>
          <w:spacing w:val="-7"/>
        </w:rPr>
        <w:t> </w:t>
      </w:r>
      <w:r>
        <w:rPr>
          <w:spacing w:val="-2"/>
        </w:rPr>
        <w:t>a</w:t>
      </w:r>
      <w:r>
        <w:rPr>
          <w:spacing w:val="-7"/>
        </w:rPr>
        <w:t> </w:t>
      </w:r>
      <w:r>
        <w:rPr>
          <w:spacing w:val="-2"/>
        </w:rPr>
        <w:t>menudo </w:t>
      </w:r>
      <w:r>
        <w:rPr/>
        <w:t>se</w:t>
      </w:r>
      <w:r>
        <w:rPr>
          <w:spacing w:val="-15"/>
        </w:rPr>
        <w:t> </w:t>
      </w:r>
      <w:r>
        <w:rPr/>
        <w:t>les</w:t>
      </w:r>
      <w:r>
        <w:rPr>
          <w:spacing w:val="-15"/>
        </w:rPr>
        <w:t> </w:t>
      </w:r>
      <w:r>
        <w:rPr/>
        <w:t>llama</w:t>
      </w:r>
      <w:r>
        <w:rPr>
          <w:spacing w:val="-15"/>
        </w:rPr>
        <w:t> </w:t>
      </w:r>
      <w:r>
        <w:rPr/>
        <w:t>erróneamente</w:t>
      </w:r>
      <w:r>
        <w:rPr>
          <w:spacing w:val="-15"/>
        </w:rPr>
        <w:t> </w:t>
      </w:r>
      <w:r>
        <w:rPr/>
        <w:t>"astas",</w:t>
      </w:r>
      <w:r>
        <w:rPr>
          <w:spacing w:val="-15"/>
        </w:rPr>
        <w:t> </w:t>
      </w:r>
      <w:r>
        <w:rPr/>
        <w:t>este</w:t>
      </w:r>
      <w:r>
        <w:rPr>
          <w:spacing w:val="-15"/>
        </w:rPr>
        <w:t> </w:t>
      </w:r>
      <w:r>
        <w:rPr/>
        <w:t>término</w:t>
      </w:r>
      <w:r>
        <w:rPr>
          <w:spacing w:val="-15"/>
        </w:rPr>
        <w:t> </w:t>
      </w:r>
      <w:r>
        <w:rPr/>
        <w:t>es</w:t>
      </w:r>
      <w:r>
        <w:rPr>
          <w:spacing w:val="-15"/>
        </w:rPr>
        <w:t> </w:t>
      </w:r>
      <w:r>
        <w:rPr/>
        <w:t>más</w:t>
      </w:r>
      <w:r>
        <w:rPr>
          <w:spacing w:val="-15"/>
        </w:rPr>
        <w:t> </w:t>
      </w:r>
      <w:r>
        <w:rPr/>
        <w:t>apropiado</w:t>
      </w:r>
      <w:r>
        <w:rPr>
          <w:spacing w:val="-15"/>
        </w:rPr>
        <w:t> </w:t>
      </w:r>
      <w:r>
        <w:rPr/>
        <w:t>para</w:t>
      </w:r>
      <w:r>
        <w:rPr>
          <w:spacing w:val="-15"/>
        </w:rPr>
        <w:t> </w:t>
      </w:r>
      <w:r>
        <w:rPr/>
        <w:t>los</w:t>
      </w:r>
      <w:r>
        <w:rPr>
          <w:spacing w:val="-15"/>
        </w:rPr>
        <w:t> </w:t>
      </w:r>
      <w:r>
        <w:rPr/>
        <w:t>ungulados de la familia Cervidae, cuyos cuernos crecen y se desprenden anualmente en relación con el ciclo reproductivo de cada especie, los cuernos no se desprenden y continúan creciendo a lo largo de toda la vida (Kretschmann </w:t>
      </w:r>
      <w:r>
        <w:rPr>
          <w:i/>
        </w:rPr>
        <w:t>et al</w:t>
      </w:r>
      <w:r>
        <w:rPr/>
        <w:t>., 2021).</w:t>
      </w:r>
    </w:p>
    <w:p>
      <w:pPr>
        <w:pStyle w:val="BodyText"/>
        <w:spacing w:line="360" w:lineRule="auto" w:before="242"/>
        <w:ind w:right="854"/>
        <w:jc w:val="both"/>
      </w:pPr>
      <w:r>
        <w:rPr/>
        <w:t>Una vez que los cuernos han alcanzado su pleno desarrollo, se pueden distinguir externamente tres zonas claramente diferenciadas:</w:t>
      </w:r>
    </w:p>
    <w:p>
      <w:pPr>
        <w:pStyle w:val="BodyText"/>
        <w:spacing w:line="360" w:lineRule="auto" w:before="238"/>
        <w:ind w:right="847"/>
        <w:jc w:val="both"/>
      </w:pPr>
      <w:r>
        <w:rPr/>
        <w:t>El</w:t>
      </w:r>
      <w:r>
        <w:rPr>
          <w:spacing w:val="-7"/>
        </w:rPr>
        <w:t> </w:t>
      </w:r>
      <w:r>
        <w:rPr/>
        <w:t>muñón,</w:t>
      </w:r>
      <w:r>
        <w:rPr>
          <w:spacing w:val="-7"/>
        </w:rPr>
        <w:t> </w:t>
      </w:r>
      <w:r>
        <w:rPr/>
        <w:t>que</w:t>
      </w:r>
      <w:r>
        <w:rPr>
          <w:spacing w:val="-8"/>
        </w:rPr>
        <w:t> </w:t>
      </w:r>
      <w:r>
        <w:rPr/>
        <w:t>es</w:t>
      </w:r>
      <w:r>
        <w:rPr>
          <w:spacing w:val="-5"/>
        </w:rPr>
        <w:t> </w:t>
      </w:r>
      <w:r>
        <w:rPr/>
        <w:t>el</w:t>
      </w:r>
      <w:r>
        <w:rPr>
          <w:spacing w:val="-7"/>
        </w:rPr>
        <w:t> </w:t>
      </w:r>
      <w:r>
        <w:rPr/>
        <w:t>punto</w:t>
      </w:r>
      <w:r>
        <w:rPr>
          <w:spacing w:val="-7"/>
        </w:rPr>
        <w:t> </w:t>
      </w:r>
      <w:r>
        <w:rPr/>
        <w:t>de</w:t>
      </w:r>
      <w:r>
        <w:rPr>
          <w:spacing w:val="-8"/>
        </w:rPr>
        <w:t> </w:t>
      </w:r>
      <w:r>
        <w:rPr/>
        <w:t>unión</w:t>
      </w:r>
      <w:r>
        <w:rPr>
          <w:spacing w:val="-7"/>
        </w:rPr>
        <w:t> </w:t>
      </w:r>
      <w:r>
        <w:rPr/>
        <w:t>con</w:t>
      </w:r>
      <w:r>
        <w:rPr>
          <w:spacing w:val="-7"/>
        </w:rPr>
        <w:t> </w:t>
      </w:r>
      <w:r>
        <w:rPr/>
        <w:t>la</w:t>
      </w:r>
      <w:r>
        <w:rPr>
          <w:spacing w:val="-8"/>
        </w:rPr>
        <w:t> </w:t>
      </w:r>
      <w:r>
        <w:rPr/>
        <w:t>piel,</w:t>
      </w:r>
      <w:r>
        <w:rPr>
          <w:spacing w:val="-5"/>
        </w:rPr>
        <w:t> </w:t>
      </w:r>
      <w:r>
        <w:rPr/>
        <w:t>la</w:t>
      </w:r>
      <w:r>
        <w:rPr>
          <w:spacing w:val="-3"/>
        </w:rPr>
        <w:t> </w:t>
      </w:r>
      <w:r>
        <w:rPr/>
        <w:t>misma</w:t>
      </w:r>
      <w:r>
        <w:rPr>
          <w:spacing w:val="-7"/>
        </w:rPr>
        <w:t> </w:t>
      </w:r>
      <w:r>
        <w:rPr/>
        <w:t>se</w:t>
      </w:r>
      <w:r>
        <w:rPr>
          <w:spacing w:val="-8"/>
        </w:rPr>
        <w:t> </w:t>
      </w:r>
      <w:r>
        <w:rPr/>
        <w:t>encutra</w:t>
      </w:r>
      <w:r>
        <w:rPr>
          <w:spacing w:val="-5"/>
        </w:rPr>
        <w:t> </w:t>
      </w:r>
      <w:r>
        <w:rPr/>
        <w:t>en</w:t>
      </w:r>
      <w:r>
        <w:rPr>
          <w:spacing w:val="-7"/>
        </w:rPr>
        <w:t> </w:t>
      </w:r>
      <w:r>
        <w:rPr/>
        <w:t>la</w:t>
      </w:r>
      <w:r>
        <w:rPr>
          <w:spacing w:val="-6"/>
        </w:rPr>
        <w:t> </w:t>
      </w:r>
      <w:r>
        <w:rPr/>
        <w:t>base</w:t>
      </w:r>
      <w:r>
        <w:rPr>
          <w:spacing w:val="-8"/>
        </w:rPr>
        <w:t> </w:t>
      </w:r>
      <w:r>
        <w:rPr/>
        <w:t>de</w:t>
      </w:r>
      <w:r>
        <w:rPr>
          <w:spacing w:val="-6"/>
        </w:rPr>
        <w:t> </w:t>
      </w:r>
      <w:r>
        <w:rPr/>
        <w:t>la proyección</w:t>
      </w:r>
      <w:r>
        <w:rPr>
          <w:spacing w:val="-6"/>
        </w:rPr>
        <w:t> </w:t>
      </w:r>
      <w:r>
        <w:rPr/>
        <w:t>cornual.</w:t>
      </w:r>
      <w:r>
        <w:rPr>
          <w:spacing w:val="-8"/>
        </w:rPr>
        <w:t> </w:t>
      </w:r>
      <w:r>
        <w:rPr/>
        <w:t>En</w:t>
      </w:r>
      <w:r>
        <w:rPr>
          <w:spacing w:val="-6"/>
        </w:rPr>
        <w:t> </w:t>
      </w:r>
      <w:r>
        <w:rPr/>
        <w:t>esta</w:t>
      </w:r>
      <w:r>
        <w:rPr>
          <w:spacing w:val="-9"/>
        </w:rPr>
        <w:t> </w:t>
      </w:r>
      <w:r>
        <w:rPr/>
        <w:t>área,</w:t>
      </w:r>
      <w:r>
        <w:rPr>
          <w:spacing w:val="-8"/>
        </w:rPr>
        <w:t> </w:t>
      </w:r>
      <w:r>
        <w:rPr/>
        <w:t>se</w:t>
      </w:r>
      <w:r>
        <w:rPr>
          <w:spacing w:val="-9"/>
        </w:rPr>
        <w:t> </w:t>
      </w:r>
      <w:r>
        <w:rPr/>
        <w:t>forman</w:t>
      </w:r>
      <w:r>
        <w:rPr>
          <w:spacing w:val="-6"/>
        </w:rPr>
        <w:t> </w:t>
      </w:r>
      <w:r>
        <w:rPr/>
        <w:t>anualmente</w:t>
      </w:r>
      <w:r>
        <w:rPr>
          <w:spacing w:val="-9"/>
        </w:rPr>
        <w:t> </w:t>
      </w:r>
      <w:r>
        <w:rPr/>
        <w:t>surcos</w:t>
      </w:r>
      <w:r>
        <w:rPr>
          <w:spacing w:val="-6"/>
        </w:rPr>
        <w:t> </w:t>
      </w:r>
      <w:r>
        <w:rPr/>
        <w:t>o</w:t>
      </w:r>
      <w:r>
        <w:rPr>
          <w:spacing w:val="-8"/>
        </w:rPr>
        <w:t> </w:t>
      </w:r>
      <w:r>
        <w:rPr/>
        <w:t>anillos,</w:t>
      </w:r>
      <w:r>
        <w:rPr>
          <w:spacing w:val="-8"/>
        </w:rPr>
        <w:t> </w:t>
      </w:r>
      <w:r>
        <w:rPr/>
        <w:t>los</w:t>
      </w:r>
      <w:r>
        <w:rPr>
          <w:spacing w:val="-8"/>
        </w:rPr>
        <w:t> </w:t>
      </w:r>
      <w:r>
        <w:rPr/>
        <w:t>cuales ha sido considerados como un elemento de estimación que permiten reconocer de forma subjetiva la edad del animal (Zoltick </w:t>
      </w:r>
      <w:r>
        <w:rPr>
          <w:i/>
        </w:rPr>
        <w:t>et al</w:t>
      </w:r>
      <w:r>
        <w:rPr/>
        <w:t>., 2024).</w:t>
      </w:r>
    </w:p>
    <w:p>
      <w:pPr>
        <w:pStyle w:val="ListParagraph"/>
        <w:numPr>
          <w:ilvl w:val="0"/>
          <w:numId w:val="10"/>
        </w:numPr>
        <w:tabs>
          <w:tab w:pos="1854" w:val="left" w:leader="none"/>
        </w:tabs>
        <w:spacing w:line="357" w:lineRule="auto" w:before="242" w:after="0"/>
        <w:ind w:left="1135" w:right="849" w:firstLine="0"/>
        <w:jc w:val="both"/>
        <w:rPr>
          <w:sz w:val="24"/>
        </w:rPr>
      </w:pPr>
      <w:r>
        <w:rPr>
          <w:sz w:val="24"/>
        </w:rPr>
        <w:t>El centro o pala, es la porción que abarca la región intermedia y econsiderada la más extensa de los cuernos. Generalmente tiene una forma curva, y</w:t>
      </w:r>
      <w:r>
        <w:rPr>
          <w:spacing w:val="-3"/>
          <w:sz w:val="24"/>
        </w:rPr>
        <w:t> </w:t>
      </w:r>
      <w:r>
        <w:rPr>
          <w:sz w:val="24"/>
        </w:rPr>
        <w:t>su dirección ayuda a caracterizar el tipo de cornamenta de cada animal (Lomillo &amp; Alonso, 2020).</w:t>
      </w:r>
    </w:p>
    <w:p>
      <w:pPr>
        <w:pStyle w:val="BodyText"/>
        <w:spacing w:line="360" w:lineRule="auto" w:before="242"/>
        <w:ind w:right="852"/>
        <w:jc w:val="both"/>
      </w:pPr>
      <w:r>
        <w:rPr/>
        <w:t>La</w:t>
      </w:r>
      <w:r>
        <w:rPr>
          <w:spacing w:val="-11"/>
        </w:rPr>
        <w:t> </w:t>
      </w:r>
      <w:r>
        <w:rPr/>
        <w:t>punta</w:t>
      </w:r>
      <w:r>
        <w:rPr>
          <w:spacing w:val="-10"/>
        </w:rPr>
        <w:t> </w:t>
      </w:r>
      <w:r>
        <w:rPr/>
        <w:t>o</w:t>
      </w:r>
      <w:r>
        <w:rPr>
          <w:spacing w:val="-12"/>
        </w:rPr>
        <w:t> </w:t>
      </w:r>
      <w:r>
        <w:rPr/>
        <w:t>pitón,</w:t>
      </w:r>
      <w:r>
        <w:rPr>
          <w:spacing w:val="-12"/>
        </w:rPr>
        <w:t> </w:t>
      </w:r>
      <w:r>
        <w:rPr/>
        <w:t>ubicada</w:t>
      </w:r>
      <w:r>
        <w:rPr>
          <w:spacing w:val="-11"/>
        </w:rPr>
        <w:t> </w:t>
      </w:r>
      <w:r>
        <w:rPr/>
        <w:t>en</w:t>
      </w:r>
      <w:r>
        <w:rPr>
          <w:spacing w:val="-10"/>
        </w:rPr>
        <w:t> </w:t>
      </w:r>
      <w:r>
        <w:rPr/>
        <w:t>el</w:t>
      </w:r>
      <w:r>
        <w:rPr>
          <w:spacing w:val="-12"/>
        </w:rPr>
        <w:t> </w:t>
      </w:r>
      <w:r>
        <w:rPr/>
        <w:t>extremo</w:t>
      </w:r>
      <w:r>
        <w:rPr>
          <w:spacing w:val="-12"/>
        </w:rPr>
        <w:t> </w:t>
      </w:r>
      <w:r>
        <w:rPr/>
        <w:t>distal</w:t>
      </w:r>
      <w:r>
        <w:rPr>
          <w:spacing w:val="-12"/>
        </w:rPr>
        <w:t> </w:t>
      </w:r>
      <w:r>
        <w:rPr/>
        <w:t>de</w:t>
      </w:r>
      <w:r>
        <w:rPr>
          <w:spacing w:val="-13"/>
        </w:rPr>
        <w:t> </w:t>
      </w:r>
      <w:r>
        <w:rPr/>
        <w:t>los</w:t>
      </w:r>
      <w:r>
        <w:rPr>
          <w:spacing w:val="-12"/>
        </w:rPr>
        <w:t> </w:t>
      </w:r>
      <w:r>
        <w:rPr/>
        <w:t>cuernos,</w:t>
      </w:r>
      <w:r>
        <w:rPr>
          <w:spacing w:val="-13"/>
        </w:rPr>
        <w:t> </w:t>
      </w:r>
      <w:r>
        <w:rPr/>
        <w:t>corresponde</w:t>
      </w:r>
      <w:r>
        <w:rPr>
          <w:spacing w:val="-11"/>
        </w:rPr>
        <w:t> </w:t>
      </w:r>
      <w:r>
        <w:rPr/>
        <w:t>a</w:t>
      </w:r>
      <w:r>
        <w:rPr>
          <w:spacing w:val="-13"/>
        </w:rPr>
        <w:t> </w:t>
      </w:r>
      <w:r>
        <w:rPr/>
        <w:t>la</w:t>
      </w:r>
      <w:r>
        <w:rPr>
          <w:spacing w:val="-13"/>
        </w:rPr>
        <w:t> </w:t>
      </w:r>
      <w:r>
        <w:rPr/>
        <w:t>parte sólida</w:t>
      </w:r>
      <w:r>
        <w:rPr>
          <w:spacing w:val="-2"/>
        </w:rPr>
        <w:t> </w:t>
      </w:r>
      <w:r>
        <w:rPr/>
        <w:t>de</w:t>
      </w:r>
      <w:r>
        <w:rPr>
          <w:spacing w:val="-1"/>
        </w:rPr>
        <w:t> </w:t>
      </w:r>
      <w:r>
        <w:rPr/>
        <w:t>la estructura córnea</w:t>
      </w:r>
      <w:r>
        <w:rPr>
          <w:spacing w:val="4"/>
        </w:rPr>
        <w:t> </w:t>
      </w:r>
      <w:r>
        <w:rPr/>
        <w:t>y</w:t>
      </w:r>
      <w:r>
        <w:rPr>
          <w:spacing w:val="-5"/>
        </w:rPr>
        <w:t> </w:t>
      </w:r>
      <w:r>
        <w:rPr/>
        <w:t>representa</w:t>
      </w:r>
      <w:r>
        <w:rPr>
          <w:spacing w:val="1"/>
        </w:rPr>
        <w:t> </w:t>
      </w:r>
      <w:r>
        <w:rPr/>
        <w:t>aproximadamente el 20% de</w:t>
      </w:r>
      <w:r>
        <w:rPr>
          <w:spacing w:val="1"/>
        </w:rPr>
        <w:t> </w:t>
      </w:r>
      <w:r>
        <w:rPr/>
        <w:t>la</w:t>
      </w:r>
      <w:r>
        <w:rPr>
          <w:spacing w:val="1"/>
        </w:rPr>
        <w:t> </w:t>
      </w:r>
      <w:r>
        <w:rPr>
          <w:spacing w:val="-2"/>
        </w:rPr>
        <w:t>longitud</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45"/>
        <w:jc w:val="both"/>
      </w:pPr>
      <w:r>
        <w:rPr/>
        <w:t>total</w:t>
      </w:r>
      <w:r>
        <w:rPr>
          <w:spacing w:val="-10"/>
        </w:rPr>
        <w:t> </w:t>
      </w:r>
      <w:r>
        <w:rPr/>
        <w:t>de</w:t>
      </w:r>
      <w:r>
        <w:rPr>
          <w:spacing w:val="-12"/>
        </w:rPr>
        <w:t> </w:t>
      </w:r>
      <w:r>
        <w:rPr/>
        <w:t>los</w:t>
      </w:r>
      <w:r>
        <w:rPr>
          <w:spacing w:val="-10"/>
        </w:rPr>
        <w:t> </w:t>
      </w:r>
      <w:r>
        <w:rPr/>
        <w:t>cuernos.</w:t>
      </w:r>
      <w:r>
        <w:rPr>
          <w:spacing w:val="-10"/>
        </w:rPr>
        <w:t> </w:t>
      </w:r>
      <w:r>
        <w:rPr/>
        <w:t>En</w:t>
      </w:r>
      <w:r>
        <w:rPr>
          <w:spacing w:val="-11"/>
        </w:rPr>
        <w:t> </w:t>
      </w:r>
      <w:r>
        <w:rPr/>
        <w:t>los</w:t>
      </w:r>
      <w:r>
        <w:rPr>
          <w:spacing w:val="-10"/>
        </w:rPr>
        <w:t> </w:t>
      </w:r>
      <w:r>
        <w:rPr/>
        <w:t>animales</w:t>
      </w:r>
      <w:r>
        <w:rPr>
          <w:spacing w:val="-10"/>
        </w:rPr>
        <w:t> </w:t>
      </w:r>
      <w:r>
        <w:rPr/>
        <w:t>jóvenes,</w:t>
      </w:r>
      <w:r>
        <w:rPr>
          <w:spacing w:val="-10"/>
        </w:rPr>
        <w:t> </w:t>
      </w:r>
      <w:r>
        <w:rPr/>
        <w:t>esta</w:t>
      </w:r>
      <w:r>
        <w:rPr>
          <w:spacing w:val="-6"/>
        </w:rPr>
        <w:t> </w:t>
      </w:r>
      <w:r>
        <w:rPr/>
        <w:t>área</w:t>
      </w:r>
      <w:r>
        <w:rPr>
          <w:spacing w:val="-7"/>
        </w:rPr>
        <w:t> </w:t>
      </w:r>
      <w:r>
        <w:rPr/>
        <w:t>está</w:t>
      </w:r>
      <w:r>
        <w:rPr>
          <w:spacing w:val="-11"/>
        </w:rPr>
        <w:t> </w:t>
      </w:r>
      <w:r>
        <w:rPr/>
        <w:t>cubierta</w:t>
      </w:r>
      <w:r>
        <w:rPr>
          <w:spacing w:val="-6"/>
        </w:rPr>
        <w:t> </w:t>
      </w:r>
      <w:r>
        <w:rPr/>
        <w:t>por</w:t>
      </w:r>
      <w:r>
        <w:rPr>
          <w:spacing w:val="-7"/>
        </w:rPr>
        <w:t> </w:t>
      </w:r>
      <w:r>
        <w:rPr/>
        <w:t>una</w:t>
      </w:r>
      <w:r>
        <w:rPr>
          <w:spacing w:val="-5"/>
        </w:rPr>
        <w:t> </w:t>
      </w:r>
      <w:r>
        <w:rPr/>
        <w:t>lámina córnea que, con el</w:t>
      </w:r>
      <w:r>
        <w:rPr>
          <w:spacing w:val="-1"/>
        </w:rPr>
        <w:t> </w:t>
      </w:r>
      <w:r>
        <w:rPr/>
        <w:t>tiempo,</w:t>
      </w:r>
      <w:r>
        <w:rPr>
          <w:spacing w:val="-1"/>
        </w:rPr>
        <w:t> </w:t>
      </w:r>
      <w:r>
        <w:rPr/>
        <w:t>se</w:t>
      </w:r>
      <w:r>
        <w:rPr>
          <w:spacing w:val="-2"/>
        </w:rPr>
        <w:t> </w:t>
      </w:r>
      <w:r>
        <w:rPr/>
        <w:t>retrae en</w:t>
      </w:r>
      <w:r>
        <w:rPr>
          <w:spacing w:val="-1"/>
        </w:rPr>
        <w:t> </w:t>
      </w:r>
      <w:r>
        <w:rPr/>
        <w:t>su extremo,</w:t>
      </w:r>
      <w:r>
        <w:rPr>
          <w:spacing w:val="-1"/>
        </w:rPr>
        <w:t> </w:t>
      </w:r>
      <w:r>
        <w:rPr/>
        <w:t>formando</w:t>
      </w:r>
      <w:r>
        <w:rPr>
          <w:spacing w:val="-2"/>
        </w:rPr>
        <w:t> </w:t>
      </w:r>
      <w:r>
        <w:rPr/>
        <w:t>una especie de</w:t>
      </w:r>
      <w:r>
        <w:rPr>
          <w:spacing w:val="-7"/>
        </w:rPr>
        <w:t> </w:t>
      </w:r>
      <w:r>
        <w:rPr/>
        <w:t>dedal conocido como bellota, que generalmente se desprende alrededor de los tres años (Xu </w:t>
      </w:r>
      <w:r>
        <w:rPr>
          <w:i/>
        </w:rPr>
        <w:t>et al., </w:t>
      </w:r>
      <w:r>
        <w:rPr/>
        <w:t>2025).</w:t>
      </w:r>
    </w:p>
    <w:p>
      <w:pPr>
        <w:pStyle w:val="BodyText"/>
        <w:spacing w:line="360" w:lineRule="auto" w:before="241"/>
        <w:ind w:right="848"/>
        <w:jc w:val="both"/>
      </w:pPr>
      <w:r>
        <w:rPr/>
        <w:t>Los cuernos se insertan en el hueso frontal de forma horizontal y lateralmente, es decir, perpendicularmente al eje mayor del animal, siguiendo la línea de prolongación de la frente. Sin embargo, ocasionalmente los cuernos pueden tener una inserción oblicua con respecto a esta línea. En tales casos, los cuernos pueden nacer hacia arriba o hacia abajo, o hacia adelante o hacia atrás con respecto a la mencionada línea de prolongación de la frente. Estos patrones de inserción se denominan como crecimiento "cornialta" hacia arriba, crecimiento "cornibaja" hacia abajo, crecimiento "comidelantera" hacia adelante, o crecimiento "cornitrasera" hacia atrás, respectivamente (Lomillo &amp; Alonso, 2020).</w:t>
      </w:r>
    </w:p>
    <w:p>
      <w:pPr>
        <w:pStyle w:val="Heading2"/>
        <w:numPr>
          <w:ilvl w:val="2"/>
          <w:numId w:val="9"/>
        </w:numPr>
        <w:tabs>
          <w:tab w:pos="1735" w:val="left" w:leader="none"/>
        </w:tabs>
        <w:spacing w:line="240" w:lineRule="auto" w:before="239" w:after="0"/>
        <w:ind w:left="1735" w:right="0" w:hanging="600"/>
        <w:jc w:val="left"/>
      </w:pPr>
      <w:bookmarkStart w:name="_bookmark9" w:id="10"/>
      <w:bookmarkEnd w:id="10"/>
      <w:r>
        <w:rPr>
          <w:b w:val="0"/>
        </w:rPr>
      </w:r>
      <w:r>
        <w:rPr/>
        <w:t>Inervación</w:t>
      </w:r>
      <w:r>
        <w:rPr>
          <w:spacing w:val="-3"/>
        </w:rPr>
        <w:t> </w:t>
      </w:r>
      <w:r>
        <w:rPr/>
        <w:t>del</w:t>
      </w:r>
      <w:r>
        <w:rPr>
          <w:spacing w:val="-2"/>
        </w:rPr>
        <w:t> cuerno</w:t>
      </w:r>
    </w:p>
    <w:p>
      <w:pPr>
        <w:pStyle w:val="BodyText"/>
        <w:spacing w:before="103"/>
        <w:ind w:left="0"/>
        <w:rPr>
          <w:b/>
        </w:rPr>
      </w:pPr>
    </w:p>
    <w:p>
      <w:pPr>
        <w:pStyle w:val="BodyText"/>
        <w:spacing w:line="360" w:lineRule="auto" w:before="1"/>
        <w:ind w:right="845"/>
        <w:jc w:val="both"/>
      </w:pPr>
      <w:r>
        <w:rPr/>
        <w:t>El</w:t>
      </w:r>
      <w:r>
        <w:rPr>
          <w:spacing w:val="-1"/>
        </w:rPr>
        <w:t> </w:t>
      </w:r>
      <w:r>
        <w:rPr/>
        <w:t>principal</w:t>
      </w:r>
      <w:r>
        <w:rPr>
          <w:spacing w:val="-1"/>
        </w:rPr>
        <w:t> </w:t>
      </w:r>
      <w:r>
        <w:rPr/>
        <w:t>nervio</w:t>
      </w:r>
      <w:r>
        <w:rPr>
          <w:spacing w:val="-1"/>
        </w:rPr>
        <w:t> </w:t>
      </w:r>
      <w:r>
        <w:rPr/>
        <w:t>involucrado en</w:t>
      </w:r>
      <w:r>
        <w:rPr>
          <w:spacing w:val="-1"/>
        </w:rPr>
        <w:t> </w:t>
      </w:r>
      <w:r>
        <w:rPr/>
        <w:t>la</w:t>
      </w:r>
      <w:r>
        <w:rPr>
          <w:spacing w:val="-2"/>
        </w:rPr>
        <w:t> </w:t>
      </w:r>
      <w:r>
        <w:rPr/>
        <w:t>sensibilidad del</w:t>
      </w:r>
      <w:r>
        <w:rPr>
          <w:spacing w:val="-1"/>
        </w:rPr>
        <w:t> </w:t>
      </w:r>
      <w:r>
        <w:rPr/>
        <w:t>proceso cornual, es</w:t>
      </w:r>
      <w:r>
        <w:rPr>
          <w:spacing w:val="-1"/>
        </w:rPr>
        <w:t> </w:t>
      </w:r>
      <w:r>
        <w:rPr/>
        <w:t>el nervio cornual, el mismo que es considerado como una extensión ramificada del nervio cigomático-temporal,</w:t>
      </w:r>
      <w:r>
        <w:rPr>
          <w:spacing w:val="-2"/>
        </w:rPr>
        <w:t> </w:t>
      </w:r>
      <w:r>
        <w:rPr/>
        <w:t>el</w:t>
      </w:r>
      <w:r>
        <w:rPr>
          <w:spacing w:val="-5"/>
        </w:rPr>
        <w:t> </w:t>
      </w:r>
      <w:r>
        <w:rPr/>
        <w:t>mismo</w:t>
      </w:r>
      <w:r>
        <w:rPr>
          <w:spacing w:val="-7"/>
        </w:rPr>
        <w:t> </w:t>
      </w:r>
      <w:r>
        <w:rPr/>
        <w:t>que</w:t>
      </w:r>
      <w:r>
        <w:rPr>
          <w:spacing w:val="-12"/>
        </w:rPr>
        <w:t> </w:t>
      </w:r>
      <w:r>
        <w:rPr/>
        <w:t>a</w:t>
      </w:r>
      <w:r>
        <w:rPr>
          <w:spacing w:val="-9"/>
        </w:rPr>
        <w:t> </w:t>
      </w:r>
      <w:r>
        <w:rPr/>
        <w:t>su</w:t>
      </w:r>
      <w:r>
        <w:rPr>
          <w:spacing w:val="-8"/>
        </w:rPr>
        <w:t> </w:t>
      </w:r>
      <w:r>
        <w:rPr/>
        <w:t>vez</w:t>
      </w:r>
      <w:r>
        <w:rPr>
          <w:spacing w:val="-4"/>
        </w:rPr>
        <w:t> </w:t>
      </w:r>
      <w:r>
        <w:rPr/>
        <w:t>es</w:t>
      </w:r>
      <w:r>
        <w:rPr>
          <w:spacing w:val="-8"/>
        </w:rPr>
        <w:t> </w:t>
      </w:r>
      <w:r>
        <w:rPr/>
        <w:t>una</w:t>
      </w:r>
      <w:r>
        <w:rPr>
          <w:spacing w:val="-11"/>
        </w:rPr>
        <w:t> </w:t>
      </w:r>
      <w:r>
        <w:rPr/>
        <w:t>rama</w:t>
      </w:r>
      <w:r>
        <w:rPr>
          <w:spacing w:val="-9"/>
        </w:rPr>
        <w:t> </w:t>
      </w:r>
      <w:r>
        <w:rPr/>
        <w:t>del</w:t>
      </w:r>
      <w:r>
        <w:rPr>
          <w:spacing w:val="-8"/>
        </w:rPr>
        <w:t> </w:t>
      </w:r>
      <w:r>
        <w:rPr/>
        <w:t>nervio</w:t>
      </w:r>
      <w:r>
        <w:rPr>
          <w:spacing w:val="-10"/>
        </w:rPr>
        <w:t> </w:t>
      </w:r>
      <w:r>
        <w:rPr/>
        <w:t>oftálmico.</w:t>
      </w:r>
      <w:r>
        <w:rPr>
          <w:spacing w:val="-10"/>
        </w:rPr>
        <w:t> </w:t>
      </w:r>
      <w:r>
        <w:rPr/>
        <w:t>Este nervio emerge de la porción orbital del ojo, y se direcciona de forma caudal con respecto</w:t>
      </w:r>
      <w:r>
        <w:rPr>
          <w:spacing w:val="-2"/>
        </w:rPr>
        <w:t> </w:t>
      </w:r>
      <w:r>
        <w:rPr/>
        <w:t>al</w:t>
      </w:r>
      <w:r>
        <w:rPr>
          <w:spacing w:val="-4"/>
        </w:rPr>
        <w:t> </w:t>
      </w:r>
      <w:r>
        <w:rPr/>
        <w:t>proceso</w:t>
      </w:r>
      <w:r>
        <w:rPr>
          <w:spacing w:val="-1"/>
        </w:rPr>
        <w:t> </w:t>
      </w:r>
      <w:r>
        <w:rPr/>
        <w:t>cigomático</w:t>
      </w:r>
      <w:r>
        <w:rPr>
          <w:spacing w:val="-4"/>
        </w:rPr>
        <w:t> </w:t>
      </w:r>
      <w:r>
        <w:rPr/>
        <w:t>del</w:t>
      </w:r>
      <w:r>
        <w:rPr>
          <w:spacing w:val="-4"/>
        </w:rPr>
        <w:t> </w:t>
      </w:r>
      <w:r>
        <w:rPr/>
        <w:t>hueso</w:t>
      </w:r>
      <w:r>
        <w:rPr>
          <w:spacing w:val="-4"/>
        </w:rPr>
        <w:t> </w:t>
      </w:r>
      <w:r>
        <w:rPr/>
        <w:t>frontal y</w:t>
      </w:r>
      <w:r>
        <w:rPr>
          <w:spacing w:val="-11"/>
        </w:rPr>
        <w:t> </w:t>
      </w:r>
      <w:r>
        <w:rPr/>
        <w:t>se</w:t>
      </w:r>
      <w:r>
        <w:rPr>
          <w:spacing w:val="-3"/>
        </w:rPr>
        <w:t> </w:t>
      </w:r>
      <w:r>
        <w:rPr/>
        <w:t>redistribuye</w:t>
      </w:r>
      <w:r>
        <w:rPr>
          <w:spacing w:val="-2"/>
        </w:rPr>
        <w:t> </w:t>
      </w:r>
      <w:r>
        <w:rPr/>
        <w:t>en</w:t>
      </w:r>
      <w:r>
        <w:rPr>
          <w:spacing w:val="-2"/>
        </w:rPr>
        <w:t> </w:t>
      </w:r>
      <w:r>
        <w:rPr/>
        <w:t>forma</w:t>
      </w:r>
      <w:r>
        <w:rPr>
          <w:spacing w:val="-5"/>
        </w:rPr>
        <w:t> </w:t>
      </w:r>
      <w:r>
        <w:rPr/>
        <w:t>ventral en relación con la línea temporal, al inicio este pasa por tejido adiposo y luego es cubierto solamente por el musculo frontal (Picado &amp; Rodríguez, 2020).</w:t>
      </w:r>
    </w:p>
    <w:p>
      <w:pPr>
        <w:pStyle w:val="ListParagraph"/>
        <w:numPr>
          <w:ilvl w:val="2"/>
          <w:numId w:val="9"/>
        </w:numPr>
        <w:tabs>
          <w:tab w:pos="1735" w:val="left" w:leader="none"/>
        </w:tabs>
        <w:spacing w:line="240" w:lineRule="auto" w:before="239" w:after="0"/>
        <w:ind w:left="1735" w:right="0" w:hanging="600"/>
        <w:jc w:val="left"/>
        <w:rPr>
          <w:b/>
          <w:sz w:val="24"/>
        </w:rPr>
      </w:pPr>
      <w:r>
        <w:rPr>
          <w:b/>
          <w:sz w:val="24"/>
        </w:rPr>
        <w:t>Irrigación</w:t>
      </w:r>
      <w:r>
        <w:rPr>
          <w:b/>
          <w:spacing w:val="-6"/>
          <w:sz w:val="24"/>
        </w:rPr>
        <w:t> </w:t>
      </w:r>
      <w:r>
        <w:rPr>
          <w:b/>
          <w:sz w:val="24"/>
        </w:rPr>
        <w:t>del</w:t>
      </w:r>
      <w:r>
        <w:rPr>
          <w:b/>
          <w:spacing w:val="-1"/>
          <w:sz w:val="24"/>
        </w:rPr>
        <w:t> </w:t>
      </w:r>
      <w:r>
        <w:rPr>
          <w:b/>
          <w:spacing w:val="-2"/>
          <w:sz w:val="24"/>
        </w:rPr>
        <w:t>cuerno</w:t>
      </w:r>
    </w:p>
    <w:p>
      <w:pPr>
        <w:pStyle w:val="BodyText"/>
        <w:spacing w:before="101"/>
        <w:ind w:left="0"/>
        <w:rPr>
          <w:b/>
        </w:rPr>
      </w:pPr>
    </w:p>
    <w:p>
      <w:pPr>
        <w:pStyle w:val="BodyText"/>
        <w:spacing w:line="360" w:lineRule="auto"/>
        <w:ind w:right="846"/>
        <w:jc w:val="both"/>
      </w:pPr>
      <w:r>
        <w:rPr/>
        <w:t>El principal aporte sanguíneo del cuerno es definido por la arteria cornual, la cual es una rama de la arteria temporal superficial, esta arteria importante para el desarrollo de la apófisis cornual a su vez posee dos ramas:</w:t>
      </w:r>
    </w:p>
    <w:p>
      <w:pPr>
        <w:pStyle w:val="BodyText"/>
        <w:spacing w:line="360" w:lineRule="auto" w:before="242"/>
        <w:ind w:right="846"/>
        <w:jc w:val="both"/>
      </w:pPr>
      <w:r>
        <w:rPr/>
        <w:t>La rama dorsal, la cual asciende a partir de la base de cuerno y es encargada de irrigar el corion y</w:t>
      </w:r>
      <w:r>
        <w:rPr>
          <w:spacing w:val="-3"/>
        </w:rPr>
        <w:t> </w:t>
      </w:r>
      <w:r>
        <w:rPr/>
        <w:t>proceso óseo del cuerno; La rama ventral, la cual se direcciona por debajo del proceso cornual y el corion (Algra </w:t>
      </w:r>
      <w:r>
        <w:rPr>
          <w:i/>
        </w:rPr>
        <w:t>et al., </w:t>
      </w:r>
      <w:r>
        <w:rPr/>
        <w:t>2023).</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54"/>
        <w:jc w:val="both"/>
      </w:pPr>
      <w:r>
        <w:rPr/>
        <w:t>Tomando en cuenta que el desarrollo de los procesos de amputación del cuerno debe realizarse muy cercano al hueso frontal, justo antes de que la arteria entre al cuerno evitando así el riesgo de hemorragias (Picado &amp; Rodríguez, 2020).</w:t>
      </w:r>
    </w:p>
    <w:p>
      <w:pPr>
        <w:pStyle w:val="Heading2"/>
        <w:numPr>
          <w:ilvl w:val="1"/>
          <w:numId w:val="9"/>
        </w:numPr>
        <w:tabs>
          <w:tab w:pos="1855" w:val="left" w:leader="none"/>
        </w:tabs>
        <w:spacing w:line="240" w:lineRule="auto" w:before="239" w:after="0"/>
        <w:ind w:left="1855" w:right="0" w:hanging="720"/>
        <w:jc w:val="left"/>
      </w:pPr>
      <w:bookmarkStart w:name="_bookmark10" w:id="11"/>
      <w:bookmarkEnd w:id="11"/>
      <w:r>
        <w:rPr>
          <w:b w:val="0"/>
        </w:rPr>
      </w:r>
      <w:r>
        <w:rPr/>
        <w:t>El</w:t>
      </w:r>
      <w:r>
        <w:rPr>
          <w:spacing w:val="-4"/>
        </w:rPr>
        <w:t> </w:t>
      </w:r>
      <w:r>
        <w:rPr>
          <w:spacing w:val="-2"/>
        </w:rPr>
        <w:t>descorne</w:t>
      </w:r>
    </w:p>
    <w:p>
      <w:pPr>
        <w:pStyle w:val="BodyText"/>
        <w:spacing w:before="103"/>
        <w:ind w:left="0"/>
        <w:rPr>
          <w:b/>
        </w:rPr>
      </w:pPr>
    </w:p>
    <w:p>
      <w:pPr>
        <w:pStyle w:val="BodyText"/>
        <w:spacing w:line="360" w:lineRule="auto" w:before="1"/>
        <w:ind w:right="851"/>
        <w:jc w:val="both"/>
      </w:pPr>
      <w:r>
        <w:rPr/>
        <w:t>La eliminación de los cuernos en el ganado se realiza con el objetivo de disminuir el riesgo de lesiones tanto a los humanos como a otros animales del rebaño, así como para reducir la incidencia de desperdicio de canales debido a magulladuras. Además, los animales sin cuernos requieren menos espacio en el comedero en sistemas confinados (Saraceni </w:t>
      </w:r>
      <w:r>
        <w:rPr>
          <w:i/>
        </w:rPr>
        <w:t>et al</w:t>
      </w:r>
      <w:r>
        <w:rPr/>
        <w:t>., 2021).</w:t>
      </w:r>
    </w:p>
    <w:p>
      <w:pPr>
        <w:pStyle w:val="BodyText"/>
        <w:spacing w:line="360" w:lineRule="auto" w:before="239"/>
        <w:ind w:right="845"/>
        <w:jc w:val="both"/>
      </w:pPr>
      <w:r>
        <w:rPr/>
        <w:t>Por otro lado, el ganado con cuernos presenta desafíos adicionales en términos de manejo</w:t>
      </w:r>
      <w:r>
        <w:rPr>
          <w:spacing w:val="-12"/>
        </w:rPr>
        <w:t> </w:t>
      </w:r>
      <w:r>
        <w:rPr/>
        <w:t>en</w:t>
      </w:r>
      <w:r>
        <w:rPr>
          <w:spacing w:val="-7"/>
        </w:rPr>
        <w:t> </w:t>
      </w:r>
      <w:r>
        <w:rPr/>
        <w:t>corrales y</w:t>
      </w:r>
      <w:r>
        <w:rPr>
          <w:spacing w:val="-15"/>
        </w:rPr>
        <w:t> </w:t>
      </w:r>
      <w:r>
        <w:rPr/>
        <w:t>toboganes,</w:t>
      </w:r>
      <w:r>
        <w:rPr>
          <w:spacing w:val="-2"/>
        </w:rPr>
        <w:t> </w:t>
      </w:r>
      <w:r>
        <w:rPr/>
        <w:t>ya</w:t>
      </w:r>
      <w:r>
        <w:rPr>
          <w:spacing w:val="-8"/>
        </w:rPr>
        <w:t> </w:t>
      </w:r>
      <w:r>
        <w:rPr/>
        <w:t>que</w:t>
      </w:r>
      <w:r>
        <w:rPr>
          <w:spacing w:val="-7"/>
        </w:rPr>
        <w:t> </w:t>
      </w:r>
      <w:r>
        <w:rPr/>
        <w:t>requieren</w:t>
      </w:r>
      <w:r>
        <w:rPr>
          <w:spacing w:val="-5"/>
        </w:rPr>
        <w:t> </w:t>
      </w:r>
      <w:r>
        <w:rPr/>
        <w:t>aproximadamente</w:t>
      </w:r>
      <w:r>
        <w:rPr>
          <w:spacing w:val="-7"/>
        </w:rPr>
        <w:t> </w:t>
      </w:r>
      <w:r>
        <w:rPr/>
        <w:t>tres</w:t>
      </w:r>
      <w:r>
        <w:rPr>
          <w:spacing w:val="-7"/>
        </w:rPr>
        <w:t> </w:t>
      </w:r>
      <w:r>
        <w:rPr/>
        <w:t>veces</w:t>
      </w:r>
      <w:r>
        <w:rPr>
          <w:spacing w:val="-7"/>
        </w:rPr>
        <w:t> </w:t>
      </w:r>
      <w:r>
        <w:rPr/>
        <w:t>más espacio</w:t>
      </w:r>
      <w:r>
        <w:rPr>
          <w:spacing w:val="-13"/>
        </w:rPr>
        <w:t> </w:t>
      </w:r>
      <w:r>
        <w:rPr/>
        <w:t>en</w:t>
      </w:r>
      <w:r>
        <w:rPr>
          <w:spacing w:val="-11"/>
        </w:rPr>
        <w:t> </w:t>
      </w:r>
      <w:r>
        <w:rPr/>
        <w:t>el</w:t>
      </w:r>
      <w:r>
        <w:rPr>
          <w:spacing w:val="-10"/>
        </w:rPr>
        <w:t> </w:t>
      </w:r>
      <w:r>
        <w:rPr/>
        <w:t>comedero</w:t>
      </w:r>
      <w:r>
        <w:rPr>
          <w:spacing w:val="-5"/>
        </w:rPr>
        <w:t> </w:t>
      </w:r>
      <w:r>
        <w:rPr/>
        <w:t>y</w:t>
      </w:r>
      <w:r>
        <w:rPr>
          <w:spacing w:val="-15"/>
        </w:rPr>
        <w:t> </w:t>
      </w:r>
      <w:r>
        <w:rPr/>
        <w:t>durante</w:t>
      </w:r>
      <w:r>
        <w:rPr>
          <w:spacing w:val="-11"/>
        </w:rPr>
        <w:t> </w:t>
      </w:r>
      <w:r>
        <w:rPr/>
        <w:t>el</w:t>
      </w:r>
      <w:r>
        <w:rPr>
          <w:spacing w:val="-13"/>
        </w:rPr>
        <w:t> </w:t>
      </w:r>
      <w:r>
        <w:rPr/>
        <w:t>transporte</w:t>
      </w:r>
      <w:r>
        <w:rPr>
          <w:spacing w:val="-15"/>
        </w:rPr>
        <w:t> </w:t>
      </w:r>
      <w:r>
        <w:rPr/>
        <w:t>en</w:t>
      </w:r>
      <w:r>
        <w:rPr>
          <w:spacing w:val="-11"/>
        </w:rPr>
        <w:t> </w:t>
      </w:r>
      <w:r>
        <w:rPr/>
        <w:t>comparación</w:t>
      </w:r>
      <w:r>
        <w:rPr>
          <w:spacing w:val="-9"/>
        </w:rPr>
        <w:t> </w:t>
      </w:r>
      <w:r>
        <w:rPr/>
        <w:t>con</w:t>
      </w:r>
      <w:r>
        <w:rPr>
          <w:spacing w:val="-13"/>
        </w:rPr>
        <w:t> </w:t>
      </w:r>
      <w:r>
        <w:rPr/>
        <w:t>los</w:t>
      </w:r>
      <w:r>
        <w:rPr>
          <w:spacing w:val="-10"/>
        </w:rPr>
        <w:t> </w:t>
      </w:r>
      <w:r>
        <w:rPr/>
        <w:t>animales</w:t>
      </w:r>
      <w:r>
        <w:rPr>
          <w:spacing w:val="-13"/>
        </w:rPr>
        <w:t> </w:t>
      </w:r>
      <w:r>
        <w:rPr/>
        <w:t>sin cuernos. Esto resalta la importancia de considerar diversos factores al tomar decisiones sobre la gestión de los cuernos en el ganado (Tschoner, 2021).</w:t>
      </w:r>
    </w:p>
    <w:p>
      <w:pPr>
        <w:pStyle w:val="Heading2"/>
        <w:numPr>
          <w:ilvl w:val="2"/>
          <w:numId w:val="9"/>
        </w:numPr>
        <w:tabs>
          <w:tab w:pos="1855" w:val="left" w:leader="none"/>
        </w:tabs>
        <w:spacing w:line="240" w:lineRule="auto" w:before="242" w:after="0"/>
        <w:ind w:left="1855" w:right="0" w:hanging="720"/>
        <w:jc w:val="left"/>
      </w:pPr>
      <w:bookmarkStart w:name="_bookmark11" w:id="12"/>
      <w:bookmarkEnd w:id="12"/>
      <w:r>
        <w:rPr>
          <w:b w:val="0"/>
        </w:rPr>
      </w:r>
      <w:r>
        <w:rPr/>
        <w:t>Métodos</w:t>
      </w:r>
      <w:r>
        <w:rPr>
          <w:spacing w:val="-1"/>
        </w:rPr>
        <w:t> </w:t>
      </w:r>
      <w:r>
        <w:rPr/>
        <w:t>de</w:t>
      </w:r>
      <w:r>
        <w:rPr>
          <w:spacing w:val="-1"/>
        </w:rPr>
        <w:t> </w:t>
      </w:r>
      <w:r>
        <w:rPr>
          <w:spacing w:val="-2"/>
        </w:rPr>
        <w:t>descorne</w:t>
      </w:r>
    </w:p>
    <w:p>
      <w:pPr>
        <w:pStyle w:val="BodyText"/>
        <w:spacing w:before="101"/>
        <w:ind w:left="0"/>
        <w:rPr>
          <w:b/>
        </w:rPr>
      </w:pPr>
    </w:p>
    <w:p>
      <w:pPr>
        <w:pStyle w:val="BodyText"/>
        <w:spacing w:line="360" w:lineRule="auto"/>
        <w:ind w:right="846"/>
        <w:jc w:val="both"/>
      </w:pPr>
      <w:r>
        <w:rPr/>
        <w:t>Para evitar que los cuernos vuelvan a crecer, es necesario destruir o eliminar las células primordiales de las yemas córneas (corium) y el tejido circundante. Dado que las yemas córneas no están firmemente adheridas al cráneo hasta después de los</w:t>
      </w:r>
      <w:r>
        <w:rPr>
          <w:spacing w:val="-9"/>
        </w:rPr>
        <w:t> </w:t>
      </w:r>
      <w:r>
        <w:rPr/>
        <w:t>2</w:t>
      </w:r>
      <w:r>
        <w:rPr>
          <w:spacing w:val="-12"/>
        </w:rPr>
        <w:t> </w:t>
      </w:r>
      <w:r>
        <w:rPr/>
        <w:t>meses</w:t>
      </w:r>
      <w:r>
        <w:rPr>
          <w:spacing w:val="-9"/>
        </w:rPr>
        <w:t> </w:t>
      </w:r>
      <w:r>
        <w:rPr/>
        <w:t>de</w:t>
      </w:r>
      <w:r>
        <w:rPr>
          <w:spacing w:val="-12"/>
        </w:rPr>
        <w:t> </w:t>
      </w:r>
      <w:r>
        <w:rPr/>
        <w:t>edad,</w:t>
      </w:r>
      <w:r>
        <w:rPr>
          <w:spacing w:val="-9"/>
        </w:rPr>
        <w:t> </w:t>
      </w:r>
      <w:r>
        <w:rPr/>
        <w:t>es</w:t>
      </w:r>
      <w:r>
        <w:rPr>
          <w:spacing w:val="-9"/>
        </w:rPr>
        <w:t> </w:t>
      </w:r>
      <w:r>
        <w:rPr/>
        <w:t>posible</w:t>
      </w:r>
      <w:r>
        <w:rPr>
          <w:spacing w:val="-12"/>
        </w:rPr>
        <w:t> </w:t>
      </w:r>
      <w:r>
        <w:rPr/>
        <w:t>extraerlas</w:t>
      </w:r>
      <w:r>
        <w:rPr>
          <w:spacing w:val="-9"/>
        </w:rPr>
        <w:t> </w:t>
      </w:r>
      <w:r>
        <w:rPr/>
        <w:t>fácilmente</w:t>
      </w:r>
      <w:r>
        <w:rPr>
          <w:spacing w:val="-12"/>
        </w:rPr>
        <w:t> </w:t>
      </w:r>
      <w:r>
        <w:rPr/>
        <w:t>sin</w:t>
      </w:r>
      <w:r>
        <w:rPr>
          <w:spacing w:val="-9"/>
        </w:rPr>
        <w:t> </w:t>
      </w:r>
      <w:r>
        <w:rPr/>
        <w:t>abrir</w:t>
      </w:r>
      <w:r>
        <w:rPr>
          <w:spacing w:val="-12"/>
        </w:rPr>
        <w:t> </w:t>
      </w:r>
      <w:r>
        <w:rPr/>
        <w:t>el</w:t>
      </w:r>
      <w:r>
        <w:rPr>
          <w:spacing w:val="-9"/>
        </w:rPr>
        <w:t> </w:t>
      </w:r>
      <w:r>
        <w:rPr/>
        <w:t>seno</w:t>
      </w:r>
      <w:r>
        <w:rPr>
          <w:spacing w:val="-9"/>
        </w:rPr>
        <w:t> </w:t>
      </w:r>
      <w:r>
        <w:rPr/>
        <w:t>frontal,</w:t>
      </w:r>
      <w:r>
        <w:rPr>
          <w:spacing w:val="-12"/>
        </w:rPr>
        <w:t> </w:t>
      </w:r>
      <w:r>
        <w:rPr/>
        <w:t>lo</w:t>
      </w:r>
      <w:r>
        <w:rPr>
          <w:spacing w:val="-10"/>
        </w:rPr>
        <w:t> </w:t>
      </w:r>
      <w:r>
        <w:rPr/>
        <w:t>que hace</w:t>
      </w:r>
      <w:r>
        <w:rPr>
          <w:spacing w:val="-15"/>
        </w:rPr>
        <w:t> </w:t>
      </w:r>
      <w:r>
        <w:rPr/>
        <w:t>que</w:t>
      </w:r>
      <w:r>
        <w:rPr>
          <w:spacing w:val="-9"/>
        </w:rPr>
        <w:t> </w:t>
      </w:r>
      <w:r>
        <w:rPr/>
        <w:t>el</w:t>
      </w:r>
      <w:r>
        <w:rPr>
          <w:spacing w:val="-8"/>
        </w:rPr>
        <w:t> </w:t>
      </w:r>
      <w:r>
        <w:rPr/>
        <w:t>descornado</w:t>
      </w:r>
      <w:r>
        <w:rPr>
          <w:spacing w:val="-8"/>
        </w:rPr>
        <w:t> </w:t>
      </w:r>
      <w:r>
        <w:rPr/>
        <w:t>sea</w:t>
      </w:r>
      <w:r>
        <w:rPr>
          <w:spacing w:val="-12"/>
        </w:rPr>
        <w:t> </w:t>
      </w:r>
      <w:r>
        <w:rPr/>
        <w:t>preferible y</w:t>
      </w:r>
      <w:r>
        <w:rPr>
          <w:spacing w:val="-15"/>
        </w:rPr>
        <w:t> </w:t>
      </w:r>
      <w:r>
        <w:rPr/>
        <w:t>viable</w:t>
      </w:r>
      <w:r>
        <w:rPr>
          <w:spacing w:val="-11"/>
        </w:rPr>
        <w:t> </w:t>
      </w:r>
      <w:r>
        <w:rPr/>
        <w:t>en</w:t>
      </w:r>
      <w:r>
        <w:rPr>
          <w:spacing w:val="-4"/>
        </w:rPr>
        <w:t> </w:t>
      </w:r>
      <w:r>
        <w:rPr/>
        <w:t>animales</w:t>
      </w:r>
      <w:r>
        <w:rPr>
          <w:spacing w:val="-10"/>
        </w:rPr>
        <w:t> </w:t>
      </w:r>
      <w:r>
        <w:rPr/>
        <w:t>jóvenes</w:t>
      </w:r>
      <w:r>
        <w:rPr>
          <w:spacing w:val="-8"/>
        </w:rPr>
        <w:t> </w:t>
      </w:r>
      <w:r>
        <w:rPr/>
        <w:t>en</w:t>
      </w:r>
      <w:r>
        <w:rPr>
          <w:spacing w:val="-7"/>
        </w:rPr>
        <w:t> </w:t>
      </w:r>
      <w:r>
        <w:rPr/>
        <w:t>comparación con los más viejos (Park </w:t>
      </w:r>
      <w:r>
        <w:rPr>
          <w:i/>
        </w:rPr>
        <w:t>et al</w:t>
      </w:r>
      <w:r>
        <w:rPr/>
        <w:t>., 2020).</w:t>
      </w:r>
    </w:p>
    <w:p>
      <w:pPr>
        <w:pStyle w:val="BodyText"/>
        <w:spacing w:line="360" w:lineRule="auto" w:before="241"/>
        <w:ind w:right="849"/>
        <w:jc w:val="both"/>
      </w:pPr>
      <w:r>
        <w:rPr/>
        <w:t>Los métodos más comunes de descorne incluyen el cauterio ya sea con aplicación térmica o química y el método físico mediante amputación definitiva. La cauterización térmica</w:t>
      </w:r>
      <w:r>
        <w:rPr>
          <w:spacing w:val="-4"/>
        </w:rPr>
        <w:t> </w:t>
      </w:r>
      <w:r>
        <w:rPr/>
        <w:t>(con hierro</w:t>
      </w:r>
      <w:r>
        <w:rPr>
          <w:spacing w:val="-2"/>
        </w:rPr>
        <w:t> </w:t>
      </w:r>
      <w:r>
        <w:rPr/>
        <w:t>caliente)</w:t>
      </w:r>
      <w:r>
        <w:rPr>
          <w:spacing w:val="-2"/>
        </w:rPr>
        <w:t> </w:t>
      </w:r>
      <w:r>
        <w:rPr/>
        <w:t>o química</w:t>
      </w:r>
      <w:r>
        <w:rPr>
          <w:spacing w:val="-4"/>
        </w:rPr>
        <w:t> </w:t>
      </w:r>
      <w:r>
        <w:rPr/>
        <w:t>(con</w:t>
      </w:r>
      <w:r>
        <w:rPr>
          <w:spacing w:val="-1"/>
        </w:rPr>
        <w:t> </w:t>
      </w:r>
      <w:r>
        <w:rPr/>
        <w:t>pasta</w:t>
      </w:r>
      <w:r>
        <w:rPr>
          <w:spacing w:val="-1"/>
        </w:rPr>
        <w:t> </w:t>
      </w:r>
      <w:r>
        <w:rPr/>
        <w:t>cáustica)</w:t>
      </w:r>
      <w:r>
        <w:rPr>
          <w:spacing w:val="-2"/>
        </w:rPr>
        <w:t> </w:t>
      </w:r>
      <w:r>
        <w:rPr/>
        <w:t>destruye las células productoras de cuerno, mientras que el método físico las elimina. La elección del método depende de la legislación vigente, así como de la experiencia y preferencia de los agricultores (Reedman </w:t>
      </w:r>
      <w:r>
        <w:rPr>
          <w:i/>
        </w:rPr>
        <w:t>et al</w:t>
      </w:r>
      <w:r>
        <w:rPr/>
        <w:t>., 2022).</w:t>
      </w:r>
    </w:p>
    <w:p>
      <w:pPr>
        <w:pStyle w:val="BodyText"/>
        <w:spacing w:after="0" w:line="360" w:lineRule="auto"/>
        <w:jc w:val="both"/>
        <w:sectPr>
          <w:pgSz w:w="11900" w:h="16860"/>
          <w:pgMar w:header="0" w:footer="1084" w:top="1620" w:bottom="1280" w:left="1133" w:right="850"/>
        </w:sectPr>
      </w:pPr>
    </w:p>
    <w:p>
      <w:pPr>
        <w:pStyle w:val="Heading2"/>
        <w:numPr>
          <w:ilvl w:val="2"/>
          <w:numId w:val="9"/>
        </w:numPr>
        <w:tabs>
          <w:tab w:pos="1855" w:val="left" w:leader="none"/>
        </w:tabs>
        <w:spacing w:line="240" w:lineRule="auto" w:before="70" w:after="0"/>
        <w:ind w:left="1855" w:right="0" w:hanging="720"/>
        <w:jc w:val="left"/>
      </w:pPr>
      <w:bookmarkStart w:name="_bookmark12" w:id="13"/>
      <w:bookmarkEnd w:id="13"/>
      <w:r>
        <w:rPr>
          <w:b w:val="0"/>
        </w:rPr>
      </w:r>
      <w:r>
        <w:rPr/>
        <w:t>Descorne</w:t>
      </w:r>
      <w:r>
        <w:rPr>
          <w:spacing w:val="-4"/>
        </w:rPr>
        <w:t> </w:t>
      </w:r>
      <w:r>
        <w:rPr/>
        <w:t>con</w:t>
      </w:r>
      <w:r>
        <w:rPr>
          <w:spacing w:val="-4"/>
        </w:rPr>
        <w:t> </w:t>
      </w:r>
      <w:r>
        <w:rPr/>
        <w:t>cauterización </w:t>
      </w:r>
      <w:r>
        <w:rPr>
          <w:spacing w:val="-2"/>
        </w:rPr>
        <w:t>térmica</w:t>
      </w:r>
    </w:p>
    <w:p>
      <w:pPr>
        <w:pStyle w:val="BodyText"/>
        <w:spacing w:before="101"/>
        <w:ind w:left="0"/>
        <w:rPr>
          <w:b/>
        </w:rPr>
      </w:pPr>
    </w:p>
    <w:p>
      <w:pPr>
        <w:pStyle w:val="BodyText"/>
        <w:spacing w:line="360" w:lineRule="auto"/>
        <w:ind w:right="838"/>
        <w:jc w:val="both"/>
      </w:pPr>
      <w:r>
        <w:rPr/>
        <w:t>El</w:t>
      </w:r>
      <w:r>
        <w:rPr>
          <w:spacing w:val="-12"/>
        </w:rPr>
        <w:t> </w:t>
      </w:r>
      <w:r>
        <w:rPr/>
        <w:t>descorne</w:t>
      </w:r>
      <w:r>
        <w:rPr>
          <w:spacing w:val="-12"/>
        </w:rPr>
        <w:t> </w:t>
      </w:r>
      <w:r>
        <w:rPr/>
        <w:t>con</w:t>
      </w:r>
      <w:r>
        <w:rPr>
          <w:spacing w:val="-10"/>
        </w:rPr>
        <w:t> </w:t>
      </w:r>
      <w:r>
        <w:rPr/>
        <w:t>hierro</w:t>
      </w:r>
      <w:r>
        <w:rPr>
          <w:spacing w:val="-7"/>
        </w:rPr>
        <w:t> </w:t>
      </w:r>
      <w:r>
        <w:rPr/>
        <w:t>caliente</w:t>
      </w:r>
      <w:r>
        <w:rPr>
          <w:spacing w:val="-10"/>
        </w:rPr>
        <w:t> </w:t>
      </w:r>
      <w:r>
        <w:rPr/>
        <w:t>es</w:t>
      </w:r>
      <w:r>
        <w:rPr>
          <w:spacing w:val="-8"/>
        </w:rPr>
        <w:t> </w:t>
      </w:r>
      <w:r>
        <w:rPr/>
        <w:t>el</w:t>
      </w:r>
      <w:r>
        <w:rPr>
          <w:spacing w:val="-8"/>
        </w:rPr>
        <w:t> </w:t>
      </w:r>
      <w:r>
        <w:rPr/>
        <w:t>método</w:t>
      </w:r>
      <w:r>
        <w:rPr>
          <w:spacing w:val="-8"/>
        </w:rPr>
        <w:t> </w:t>
      </w:r>
      <w:r>
        <w:rPr/>
        <w:t>más</w:t>
      </w:r>
      <w:r>
        <w:rPr>
          <w:spacing w:val="-11"/>
        </w:rPr>
        <w:t> </w:t>
      </w:r>
      <w:r>
        <w:rPr/>
        <w:t>comúnmente</w:t>
      </w:r>
      <w:r>
        <w:rPr>
          <w:spacing w:val="-10"/>
        </w:rPr>
        <w:t> </w:t>
      </w:r>
      <w:r>
        <w:rPr/>
        <w:t>utilizado</w:t>
      </w:r>
      <w:r>
        <w:rPr>
          <w:spacing w:val="-5"/>
        </w:rPr>
        <w:t> </w:t>
      </w:r>
      <w:r>
        <w:rPr/>
        <w:t>y</w:t>
      </w:r>
      <w:r>
        <w:rPr>
          <w:spacing w:val="-15"/>
        </w:rPr>
        <w:t> </w:t>
      </w:r>
      <w:r>
        <w:rPr/>
        <w:t>se</w:t>
      </w:r>
      <w:r>
        <w:rPr>
          <w:spacing w:val="-7"/>
        </w:rPr>
        <w:t> </w:t>
      </w:r>
      <w:r>
        <w:rPr/>
        <w:t>estima que se emplea en el 71% de las granjas, en este procedimiento, la punta cóncava del</w:t>
      </w:r>
      <w:r>
        <w:rPr>
          <w:spacing w:val="-2"/>
        </w:rPr>
        <w:t> </w:t>
      </w:r>
      <w:r>
        <w:rPr/>
        <w:t>hierro</w:t>
      </w:r>
      <w:r>
        <w:rPr>
          <w:spacing w:val="-1"/>
        </w:rPr>
        <w:t> </w:t>
      </w:r>
      <w:r>
        <w:rPr/>
        <w:t>descornador</w:t>
      </w:r>
      <w:r>
        <w:rPr>
          <w:spacing w:val="-2"/>
        </w:rPr>
        <w:t> </w:t>
      </w:r>
      <w:r>
        <w:rPr/>
        <w:t>se calienta a</w:t>
      </w:r>
      <w:r>
        <w:rPr>
          <w:spacing w:val="-3"/>
        </w:rPr>
        <w:t> </w:t>
      </w:r>
      <w:r>
        <w:rPr/>
        <w:t>más</w:t>
      </w:r>
      <w:r>
        <w:rPr>
          <w:spacing w:val="-2"/>
        </w:rPr>
        <w:t> </w:t>
      </w:r>
      <w:r>
        <w:rPr/>
        <w:t>de</w:t>
      </w:r>
      <w:r>
        <w:rPr>
          <w:spacing w:val="-3"/>
        </w:rPr>
        <w:t> </w:t>
      </w:r>
      <w:r>
        <w:rPr/>
        <w:t>600</w:t>
      </w:r>
      <w:r>
        <w:rPr>
          <w:spacing w:val="-2"/>
        </w:rPr>
        <w:t> </w:t>
      </w:r>
      <w:r>
        <w:rPr/>
        <w:t>°C y</w:t>
      </w:r>
      <w:r>
        <w:rPr>
          <w:spacing w:val="-11"/>
        </w:rPr>
        <w:t> </w:t>
      </w:r>
      <w:r>
        <w:rPr/>
        <w:t>se</w:t>
      </w:r>
      <w:r>
        <w:rPr>
          <w:spacing w:val="-1"/>
        </w:rPr>
        <w:t> </w:t>
      </w:r>
      <w:r>
        <w:rPr/>
        <w:t>aplica a</w:t>
      </w:r>
      <w:r>
        <w:rPr>
          <w:spacing w:val="-3"/>
        </w:rPr>
        <w:t> </w:t>
      </w:r>
      <w:r>
        <w:rPr/>
        <w:t>la</w:t>
      </w:r>
      <w:r>
        <w:rPr>
          <w:spacing w:val="-3"/>
        </w:rPr>
        <w:t> </w:t>
      </w:r>
      <w:r>
        <w:rPr/>
        <w:t>base</w:t>
      </w:r>
      <w:r>
        <w:rPr>
          <w:spacing w:val="-3"/>
        </w:rPr>
        <w:t> </w:t>
      </w:r>
      <w:r>
        <w:rPr/>
        <w:t>de</w:t>
      </w:r>
      <w:r>
        <w:rPr>
          <w:spacing w:val="-3"/>
        </w:rPr>
        <w:t> </w:t>
      </w:r>
      <w:r>
        <w:rPr/>
        <w:t>la yema córnea</w:t>
      </w:r>
      <w:r>
        <w:rPr>
          <w:spacing w:val="-2"/>
        </w:rPr>
        <w:t> </w:t>
      </w:r>
      <w:r>
        <w:rPr/>
        <w:t>durante</w:t>
      </w:r>
      <w:r>
        <w:rPr>
          <w:spacing w:val="-2"/>
        </w:rPr>
        <w:t> </w:t>
      </w:r>
      <w:r>
        <w:rPr/>
        <w:t>aproximadamente</w:t>
      </w:r>
      <w:r>
        <w:rPr>
          <w:spacing w:val="-2"/>
        </w:rPr>
        <w:t> </w:t>
      </w:r>
      <w:r>
        <w:rPr/>
        <w:t>10</w:t>
      </w:r>
      <w:r>
        <w:rPr>
          <w:spacing w:val="-2"/>
        </w:rPr>
        <w:t> </w:t>
      </w:r>
      <w:r>
        <w:rPr/>
        <w:t>segundos,</w:t>
      </w:r>
      <w:r>
        <w:rPr>
          <w:spacing w:val="-2"/>
        </w:rPr>
        <w:t> </w:t>
      </w:r>
      <w:r>
        <w:rPr/>
        <w:t>lo que</w:t>
      </w:r>
      <w:r>
        <w:rPr>
          <w:spacing w:val="-2"/>
        </w:rPr>
        <w:t> </w:t>
      </w:r>
      <w:r>
        <w:rPr/>
        <w:t>provoca</w:t>
      </w:r>
      <w:r>
        <w:rPr>
          <w:spacing w:val="-2"/>
        </w:rPr>
        <w:t> </w:t>
      </w:r>
      <w:r>
        <w:rPr/>
        <w:t>la</w:t>
      </w:r>
      <w:r>
        <w:rPr>
          <w:spacing w:val="-2"/>
        </w:rPr>
        <w:t> </w:t>
      </w:r>
      <w:r>
        <w:rPr/>
        <w:t>destrucción</w:t>
      </w:r>
      <w:r>
        <w:rPr>
          <w:spacing w:val="-2"/>
        </w:rPr>
        <w:t> </w:t>
      </w:r>
      <w:r>
        <w:rPr/>
        <w:t>de</w:t>
      </w:r>
      <w:r>
        <w:rPr>
          <w:spacing w:val="-2"/>
        </w:rPr>
        <w:t> </w:t>
      </w:r>
      <w:r>
        <w:rPr/>
        <w:t>la yema</w:t>
      </w:r>
      <w:r>
        <w:rPr>
          <w:spacing w:val="-7"/>
        </w:rPr>
        <w:t> </w:t>
      </w:r>
      <w:r>
        <w:rPr/>
        <w:t>córnea y</w:t>
      </w:r>
      <w:r>
        <w:rPr>
          <w:spacing w:val="-13"/>
        </w:rPr>
        <w:t> </w:t>
      </w:r>
      <w:r>
        <w:rPr/>
        <w:t>los</w:t>
      </w:r>
      <w:r>
        <w:rPr>
          <w:spacing w:val="-4"/>
        </w:rPr>
        <w:t> </w:t>
      </w:r>
      <w:r>
        <w:rPr/>
        <w:t>tejidos generativos.</w:t>
      </w:r>
      <w:r>
        <w:rPr>
          <w:spacing w:val="-1"/>
        </w:rPr>
        <w:t> </w:t>
      </w:r>
      <w:r>
        <w:rPr/>
        <w:t>El</w:t>
      </w:r>
      <w:r>
        <w:rPr>
          <w:spacing w:val="-4"/>
        </w:rPr>
        <w:t> </w:t>
      </w:r>
      <w:r>
        <w:rPr/>
        <w:t>calor generado</w:t>
      </w:r>
      <w:r>
        <w:rPr>
          <w:spacing w:val="-1"/>
        </w:rPr>
        <w:t> </w:t>
      </w:r>
      <w:r>
        <w:rPr/>
        <w:t>por</w:t>
      </w:r>
      <w:r>
        <w:rPr>
          <w:spacing w:val="-2"/>
        </w:rPr>
        <w:t> </w:t>
      </w:r>
      <w:r>
        <w:rPr/>
        <w:t>el</w:t>
      </w:r>
      <w:r>
        <w:rPr>
          <w:spacing w:val="-2"/>
        </w:rPr>
        <w:t> </w:t>
      </w:r>
      <w:r>
        <w:rPr/>
        <w:t>hierro cauteriza</w:t>
      </w:r>
      <w:r>
        <w:rPr>
          <w:spacing w:val="-4"/>
        </w:rPr>
        <w:t> </w:t>
      </w:r>
      <w:r>
        <w:rPr/>
        <w:t>los vasos sanguíneos alrededor de la herida, evitando el sangrado si el procedimiento se realiza correctamente (Kleinhenz </w:t>
      </w:r>
      <w:r>
        <w:rPr>
          <w:i/>
        </w:rPr>
        <w:t>et al</w:t>
      </w:r>
      <w:r>
        <w:rPr/>
        <w:t>., 2021).</w:t>
      </w:r>
    </w:p>
    <w:p>
      <w:pPr>
        <w:pStyle w:val="BodyText"/>
        <w:spacing w:line="360" w:lineRule="auto" w:before="242"/>
        <w:ind w:right="846"/>
        <w:jc w:val="both"/>
      </w:pPr>
      <w:r>
        <w:rPr/>
        <w:t>El desmoche con hierro caliente puede resultar en quemaduras de tercer grado en el área donde se aplica el hierro caliente y</w:t>
      </w:r>
      <w:r>
        <w:rPr>
          <w:spacing w:val="-3"/>
        </w:rPr>
        <w:t> </w:t>
      </w:r>
      <w:r>
        <w:rPr/>
        <w:t>quemaduras de primer y</w:t>
      </w:r>
      <w:r>
        <w:rPr>
          <w:spacing w:val="-4"/>
        </w:rPr>
        <w:t> </w:t>
      </w:r>
      <w:r>
        <w:rPr/>
        <w:t>segundo grado en los tejidos circundantes. Existe la posibilidad de que el calor excesivo aplicado durante</w:t>
      </w:r>
      <w:r>
        <w:rPr>
          <w:spacing w:val="-9"/>
        </w:rPr>
        <w:t> </w:t>
      </w:r>
      <w:r>
        <w:rPr/>
        <w:t>este</w:t>
      </w:r>
      <w:r>
        <w:rPr>
          <w:spacing w:val="-8"/>
        </w:rPr>
        <w:t> </w:t>
      </w:r>
      <w:r>
        <w:rPr/>
        <w:t>proceso</w:t>
      </w:r>
      <w:r>
        <w:rPr>
          <w:spacing w:val="-5"/>
        </w:rPr>
        <w:t> </w:t>
      </w:r>
      <w:r>
        <w:rPr/>
        <w:t>pueda</w:t>
      </w:r>
      <w:r>
        <w:rPr>
          <w:spacing w:val="-9"/>
        </w:rPr>
        <w:t> </w:t>
      </w:r>
      <w:r>
        <w:rPr/>
        <w:t>dañar</w:t>
      </w:r>
      <w:r>
        <w:rPr>
          <w:spacing w:val="-7"/>
        </w:rPr>
        <w:t> </w:t>
      </w:r>
      <w:r>
        <w:rPr/>
        <w:t>el</w:t>
      </w:r>
      <w:r>
        <w:rPr>
          <w:spacing w:val="-8"/>
        </w:rPr>
        <w:t> </w:t>
      </w:r>
      <w:r>
        <w:rPr/>
        <w:t>hueso</w:t>
      </w:r>
      <w:r>
        <w:rPr>
          <w:spacing w:val="-5"/>
        </w:rPr>
        <w:t> </w:t>
      </w:r>
      <w:r>
        <w:rPr/>
        <w:t>subyacente.</w:t>
      </w:r>
      <w:r>
        <w:rPr>
          <w:spacing w:val="-8"/>
        </w:rPr>
        <w:t> </w:t>
      </w:r>
      <w:r>
        <w:rPr/>
        <w:t>Sin</w:t>
      </w:r>
      <w:r>
        <w:rPr>
          <w:spacing w:val="-8"/>
        </w:rPr>
        <w:t> </w:t>
      </w:r>
      <w:r>
        <w:rPr/>
        <w:t>embargo,</w:t>
      </w:r>
      <w:r>
        <w:rPr>
          <w:spacing w:val="-5"/>
        </w:rPr>
        <w:t> </w:t>
      </w:r>
      <w:r>
        <w:rPr/>
        <w:t>se</w:t>
      </w:r>
      <w:r>
        <w:rPr>
          <w:spacing w:val="-9"/>
        </w:rPr>
        <w:t> </w:t>
      </w:r>
      <w:r>
        <w:rPr/>
        <w:t>sugiere</w:t>
      </w:r>
      <w:r>
        <w:rPr>
          <w:spacing w:val="-9"/>
        </w:rPr>
        <w:t> </w:t>
      </w:r>
      <w:r>
        <w:rPr/>
        <w:t>que este método puede ser menos estresante en comparación con el desmoche con cuchilla, ya que los nociceptores son destruidos por el calor, lo que reduce la percepción del dolor. Actualmente, existen dispositivos desmochadores eléctricos y de butano disponibles (Reedman </w:t>
      </w:r>
      <w:r>
        <w:rPr>
          <w:i/>
        </w:rPr>
        <w:t>et al</w:t>
      </w:r>
      <w:r>
        <w:rPr/>
        <w:t>., 2022).</w:t>
      </w:r>
    </w:p>
    <w:p>
      <w:pPr>
        <w:pStyle w:val="Heading2"/>
        <w:numPr>
          <w:ilvl w:val="2"/>
          <w:numId w:val="9"/>
        </w:numPr>
        <w:tabs>
          <w:tab w:pos="1987" w:val="left" w:leader="none"/>
        </w:tabs>
        <w:spacing w:line="240" w:lineRule="auto" w:before="241" w:after="0"/>
        <w:ind w:left="1987" w:right="0" w:hanging="852"/>
        <w:jc w:val="left"/>
      </w:pPr>
      <w:bookmarkStart w:name="_bookmark13" w:id="14"/>
      <w:bookmarkEnd w:id="14"/>
      <w:r>
        <w:rPr>
          <w:b w:val="0"/>
        </w:rPr>
      </w:r>
      <w:r>
        <w:rPr/>
        <w:t>Descorne</w:t>
      </w:r>
      <w:r>
        <w:rPr>
          <w:spacing w:val="-6"/>
        </w:rPr>
        <w:t> </w:t>
      </w:r>
      <w:r>
        <w:rPr/>
        <w:t>con</w:t>
      </w:r>
      <w:r>
        <w:rPr>
          <w:spacing w:val="-4"/>
        </w:rPr>
        <w:t> </w:t>
      </w:r>
      <w:r>
        <w:rPr/>
        <w:t>cauterización </w:t>
      </w:r>
      <w:r>
        <w:rPr>
          <w:spacing w:val="-2"/>
        </w:rPr>
        <w:t>química</w:t>
      </w:r>
    </w:p>
    <w:p>
      <w:pPr>
        <w:pStyle w:val="BodyText"/>
        <w:spacing w:before="101"/>
        <w:ind w:left="0"/>
        <w:rPr>
          <w:b/>
        </w:rPr>
      </w:pPr>
    </w:p>
    <w:p>
      <w:pPr>
        <w:pStyle w:val="BodyText"/>
        <w:spacing w:line="360" w:lineRule="auto"/>
        <w:ind w:right="845"/>
        <w:jc w:val="both"/>
      </w:pPr>
      <w:r>
        <w:rPr/>
        <w:t>En el método de descornado con pasta cáustica, se aplica una pasta que contiene hidróxido</w:t>
      </w:r>
      <w:r>
        <w:rPr>
          <w:spacing w:val="-9"/>
        </w:rPr>
        <w:t> </w:t>
      </w:r>
      <w:r>
        <w:rPr/>
        <w:t>de</w:t>
      </w:r>
      <w:r>
        <w:rPr>
          <w:spacing w:val="-12"/>
        </w:rPr>
        <w:t> </w:t>
      </w:r>
      <w:r>
        <w:rPr/>
        <w:t>sodio</w:t>
      </w:r>
      <w:r>
        <w:rPr>
          <w:spacing w:val="-12"/>
        </w:rPr>
        <w:t> </w:t>
      </w:r>
      <w:r>
        <w:rPr/>
        <w:t>e</w:t>
      </w:r>
      <w:r>
        <w:rPr>
          <w:spacing w:val="-13"/>
        </w:rPr>
        <w:t> </w:t>
      </w:r>
      <w:r>
        <w:rPr/>
        <w:t>hidróxido</w:t>
      </w:r>
      <w:r>
        <w:rPr>
          <w:spacing w:val="-9"/>
        </w:rPr>
        <w:t> </w:t>
      </w:r>
      <w:r>
        <w:rPr/>
        <w:t>de</w:t>
      </w:r>
      <w:r>
        <w:rPr>
          <w:spacing w:val="-13"/>
        </w:rPr>
        <w:t> </w:t>
      </w:r>
      <w:r>
        <w:rPr/>
        <w:t>calcio</w:t>
      </w:r>
      <w:r>
        <w:rPr>
          <w:spacing w:val="-9"/>
        </w:rPr>
        <w:t> </w:t>
      </w:r>
      <w:r>
        <w:rPr/>
        <w:t>a</w:t>
      </w:r>
      <w:r>
        <w:rPr>
          <w:spacing w:val="-13"/>
        </w:rPr>
        <w:t> </w:t>
      </w:r>
      <w:r>
        <w:rPr/>
        <w:t>la</w:t>
      </w:r>
      <w:r>
        <w:rPr>
          <w:spacing w:val="-4"/>
        </w:rPr>
        <w:t> </w:t>
      </w:r>
      <w:r>
        <w:rPr/>
        <w:t>yema</w:t>
      </w:r>
      <w:r>
        <w:rPr>
          <w:spacing w:val="-8"/>
        </w:rPr>
        <w:t> </w:t>
      </w:r>
      <w:r>
        <w:rPr/>
        <w:t>del</w:t>
      </w:r>
      <w:r>
        <w:rPr>
          <w:spacing w:val="-9"/>
        </w:rPr>
        <w:t> </w:t>
      </w:r>
      <w:r>
        <w:rPr/>
        <w:t>cuerno</w:t>
      </w:r>
      <w:r>
        <w:rPr>
          <w:spacing w:val="-9"/>
        </w:rPr>
        <w:t> </w:t>
      </w:r>
      <w:r>
        <w:rPr/>
        <w:t>para</w:t>
      </w:r>
      <w:r>
        <w:rPr>
          <w:spacing w:val="-13"/>
        </w:rPr>
        <w:t> </w:t>
      </w:r>
      <w:r>
        <w:rPr/>
        <w:t>dañar</w:t>
      </w:r>
      <w:r>
        <w:rPr>
          <w:spacing w:val="-10"/>
        </w:rPr>
        <w:t> </w:t>
      </w:r>
      <w:r>
        <w:rPr/>
        <w:t>las</w:t>
      </w:r>
      <w:r>
        <w:rPr>
          <w:spacing w:val="-7"/>
        </w:rPr>
        <w:t> </w:t>
      </w:r>
      <w:r>
        <w:rPr/>
        <w:t>células productoras de cuerno. El daño continúa mientras los químicos activos están en contacto con el tejido. Aunque este procedimiento induce dolor, se ha observado que</w:t>
      </w:r>
      <w:r>
        <w:rPr>
          <w:spacing w:val="-15"/>
        </w:rPr>
        <w:t> </w:t>
      </w:r>
      <w:r>
        <w:rPr/>
        <w:t>el</w:t>
      </w:r>
      <w:r>
        <w:rPr>
          <w:spacing w:val="-15"/>
        </w:rPr>
        <w:t> </w:t>
      </w:r>
      <w:r>
        <w:rPr/>
        <w:t>dolor</w:t>
      </w:r>
      <w:r>
        <w:rPr>
          <w:spacing w:val="-15"/>
        </w:rPr>
        <w:t> </w:t>
      </w:r>
      <w:r>
        <w:rPr/>
        <w:t>es</w:t>
      </w:r>
      <w:r>
        <w:rPr>
          <w:spacing w:val="-15"/>
        </w:rPr>
        <w:t> </w:t>
      </w:r>
      <w:r>
        <w:rPr/>
        <w:t>menor</w:t>
      </w:r>
      <w:r>
        <w:rPr>
          <w:spacing w:val="-15"/>
        </w:rPr>
        <w:t> </w:t>
      </w:r>
      <w:r>
        <w:rPr/>
        <w:t>en</w:t>
      </w:r>
      <w:r>
        <w:rPr>
          <w:spacing w:val="-15"/>
        </w:rPr>
        <w:t> </w:t>
      </w:r>
      <w:r>
        <w:rPr/>
        <w:t>comparación</w:t>
      </w:r>
      <w:r>
        <w:rPr>
          <w:spacing w:val="-15"/>
        </w:rPr>
        <w:t> </w:t>
      </w:r>
      <w:r>
        <w:rPr/>
        <w:t>con</w:t>
      </w:r>
      <w:r>
        <w:rPr>
          <w:spacing w:val="-15"/>
        </w:rPr>
        <w:t> </w:t>
      </w:r>
      <w:r>
        <w:rPr/>
        <w:t>el</w:t>
      </w:r>
      <w:r>
        <w:rPr>
          <w:spacing w:val="-15"/>
        </w:rPr>
        <w:t> </w:t>
      </w:r>
      <w:r>
        <w:rPr/>
        <w:t>descornado</w:t>
      </w:r>
      <w:r>
        <w:rPr>
          <w:spacing w:val="-15"/>
        </w:rPr>
        <w:t> </w:t>
      </w:r>
      <w:r>
        <w:rPr/>
        <w:t>con</w:t>
      </w:r>
      <w:r>
        <w:rPr>
          <w:spacing w:val="-15"/>
        </w:rPr>
        <w:t> </w:t>
      </w:r>
      <w:r>
        <w:rPr/>
        <w:t>hierro</w:t>
      </w:r>
      <w:r>
        <w:rPr>
          <w:spacing w:val="-15"/>
        </w:rPr>
        <w:t> </w:t>
      </w:r>
      <w:r>
        <w:rPr/>
        <w:t>caliente,</w:t>
      </w:r>
      <w:r>
        <w:rPr>
          <w:spacing w:val="-15"/>
        </w:rPr>
        <w:t> </w:t>
      </w:r>
      <w:r>
        <w:rPr/>
        <w:t>incluso cuando se utiliza lidocaína (Ede </w:t>
      </w:r>
      <w:r>
        <w:rPr>
          <w:i/>
        </w:rPr>
        <w:t>et al</w:t>
      </w:r>
      <w:r>
        <w:rPr/>
        <w:t>., 2020).</w:t>
      </w:r>
    </w:p>
    <w:p>
      <w:pPr>
        <w:pStyle w:val="BodyText"/>
        <w:spacing w:line="360" w:lineRule="auto" w:before="241"/>
        <w:ind w:right="846"/>
        <w:jc w:val="both"/>
      </w:pPr>
      <w:r>
        <w:rPr/>
        <w:t>Aunque</w:t>
      </w:r>
      <w:r>
        <w:rPr>
          <w:spacing w:val="-5"/>
        </w:rPr>
        <w:t> </w:t>
      </w:r>
      <w:r>
        <w:rPr/>
        <w:t>aún falta</w:t>
      </w:r>
      <w:r>
        <w:rPr>
          <w:spacing w:val="-2"/>
        </w:rPr>
        <w:t> </w:t>
      </w:r>
      <w:r>
        <w:rPr/>
        <w:t>evidencia</w:t>
      </w:r>
      <w:r>
        <w:rPr>
          <w:spacing w:val="-1"/>
        </w:rPr>
        <w:t> </w:t>
      </w:r>
      <w:r>
        <w:rPr/>
        <w:t>científica</w:t>
      </w:r>
      <w:r>
        <w:rPr>
          <w:spacing w:val="-1"/>
        </w:rPr>
        <w:t> </w:t>
      </w:r>
      <w:r>
        <w:rPr/>
        <w:t>sólida,</w:t>
      </w:r>
      <w:r>
        <w:rPr>
          <w:spacing w:val="-1"/>
        </w:rPr>
        <w:t> </w:t>
      </w:r>
      <w:r>
        <w:rPr/>
        <w:t>se</w:t>
      </w:r>
      <w:r>
        <w:rPr>
          <w:spacing w:val="-2"/>
        </w:rPr>
        <w:t> </w:t>
      </w:r>
      <w:r>
        <w:rPr/>
        <w:t>ha</w:t>
      </w:r>
      <w:r>
        <w:rPr>
          <w:spacing w:val="-4"/>
        </w:rPr>
        <w:t> </w:t>
      </w:r>
      <w:r>
        <w:rPr/>
        <w:t>sugerido</w:t>
      </w:r>
      <w:r>
        <w:rPr>
          <w:spacing w:val="-3"/>
        </w:rPr>
        <w:t> </w:t>
      </w:r>
      <w:r>
        <w:rPr/>
        <w:t>que</w:t>
      </w:r>
      <w:r>
        <w:rPr>
          <w:spacing w:val="-1"/>
        </w:rPr>
        <w:t> </w:t>
      </w:r>
      <w:r>
        <w:rPr/>
        <w:t>el</w:t>
      </w:r>
      <w:r>
        <w:rPr>
          <w:spacing w:val="-1"/>
        </w:rPr>
        <w:t> </w:t>
      </w:r>
      <w:r>
        <w:rPr/>
        <w:t>descornado</w:t>
      </w:r>
      <w:r>
        <w:rPr>
          <w:spacing w:val="-1"/>
        </w:rPr>
        <w:t> </w:t>
      </w:r>
      <w:r>
        <w:rPr/>
        <w:t>con pasta cáustica es uno de los métodos menos dolorosos para la eliminación de las yemas córneas. Sin embargo, las posibles consecuencias a largo plazo para el bienestar animal, como el dolor inflamatorio, el tiempo de curación, el recrecimiento del tejido córneo y las lesiones por escorrentía química, aún no se conocen completamente.</w:t>
      </w:r>
      <w:r>
        <w:rPr>
          <w:spacing w:val="2"/>
        </w:rPr>
        <w:t> </w:t>
      </w:r>
      <w:r>
        <w:rPr/>
        <w:t>Hasta</w:t>
      </w:r>
      <w:r>
        <w:rPr>
          <w:spacing w:val="1"/>
        </w:rPr>
        <w:t> </w:t>
      </w:r>
      <w:r>
        <w:rPr/>
        <w:t>la fecha,</w:t>
      </w:r>
      <w:r>
        <w:rPr>
          <w:spacing w:val="3"/>
        </w:rPr>
        <w:t> </w:t>
      </w:r>
      <w:r>
        <w:rPr/>
        <w:t>pocos</w:t>
      </w:r>
      <w:r>
        <w:rPr>
          <w:spacing w:val="3"/>
        </w:rPr>
        <w:t> </w:t>
      </w:r>
      <w:r>
        <w:rPr/>
        <w:t>estudios</w:t>
      </w:r>
      <w:r>
        <w:rPr>
          <w:spacing w:val="3"/>
        </w:rPr>
        <w:t> </w:t>
      </w:r>
      <w:r>
        <w:rPr/>
        <w:t>han encontrado</w:t>
      </w:r>
      <w:r>
        <w:rPr>
          <w:spacing w:val="4"/>
        </w:rPr>
        <w:t> </w:t>
      </w:r>
      <w:r>
        <w:rPr/>
        <w:t>una </w:t>
      </w:r>
      <w:r>
        <w:rPr>
          <w:spacing w:val="-2"/>
        </w:rPr>
        <w:t>forma</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47"/>
        <w:jc w:val="both"/>
      </w:pPr>
      <w:r>
        <w:rPr/>
        <w:t>efectiva de</w:t>
      </w:r>
      <w:r>
        <w:rPr>
          <w:spacing w:val="-1"/>
        </w:rPr>
        <w:t> </w:t>
      </w:r>
      <w:r>
        <w:rPr/>
        <w:t>mitigar</w:t>
      </w:r>
      <w:r>
        <w:rPr>
          <w:spacing w:val="-1"/>
        </w:rPr>
        <w:t> </w:t>
      </w:r>
      <w:r>
        <w:rPr/>
        <w:t>la respuesta</w:t>
      </w:r>
      <w:r>
        <w:rPr>
          <w:spacing w:val="-1"/>
        </w:rPr>
        <w:t> </w:t>
      </w:r>
      <w:r>
        <w:rPr/>
        <w:t>de</w:t>
      </w:r>
      <w:r>
        <w:rPr>
          <w:spacing w:val="-2"/>
        </w:rPr>
        <w:t> </w:t>
      </w:r>
      <w:r>
        <w:rPr/>
        <w:t>dolor agudo asociada</w:t>
      </w:r>
      <w:r>
        <w:rPr>
          <w:spacing w:val="-2"/>
        </w:rPr>
        <w:t> </w:t>
      </w:r>
      <w:r>
        <w:rPr/>
        <w:t>con la</w:t>
      </w:r>
      <w:r>
        <w:rPr>
          <w:spacing w:val="-1"/>
        </w:rPr>
        <w:t> </w:t>
      </w:r>
      <w:r>
        <w:rPr/>
        <w:t>aplicación de</w:t>
      </w:r>
      <w:r>
        <w:rPr>
          <w:spacing w:val="-1"/>
        </w:rPr>
        <w:t> </w:t>
      </w:r>
      <w:r>
        <w:rPr/>
        <w:t>pasta cáustica (Pandey </w:t>
      </w:r>
      <w:r>
        <w:rPr>
          <w:i/>
        </w:rPr>
        <w:t>et al</w:t>
      </w:r>
      <w:r>
        <w:rPr/>
        <w:t>., 2023).</w:t>
      </w:r>
    </w:p>
    <w:p>
      <w:pPr>
        <w:pStyle w:val="BodyText"/>
        <w:spacing w:line="360" w:lineRule="auto" w:before="241"/>
        <w:ind w:right="844"/>
        <w:jc w:val="both"/>
      </w:pPr>
      <w:r>
        <w:rPr/>
        <w:t>Investigaciones</w:t>
      </w:r>
      <w:r>
        <w:rPr>
          <w:spacing w:val="-9"/>
        </w:rPr>
        <w:t> </w:t>
      </w:r>
      <w:r>
        <w:rPr/>
        <w:t>recientes</w:t>
      </w:r>
      <w:r>
        <w:rPr>
          <w:spacing w:val="-7"/>
        </w:rPr>
        <w:t> </w:t>
      </w:r>
      <w:r>
        <w:rPr/>
        <w:t>sugieren</w:t>
      </w:r>
      <w:r>
        <w:rPr>
          <w:spacing w:val="-10"/>
        </w:rPr>
        <w:t> </w:t>
      </w:r>
      <w:r>
        <w:rPr/>
        <w:t>que</w:t>
      </w:r>
      <w:r>
        <w:rPr>
          <w:spacing w:val="-11"/>
        </w:rPr>
        <w:t> </w:t>
      </w:r>
      <w:r>
        <w:rPr/>
        <w:t>los</w:t>
      </w:r>
      <w:r>
        <w:rPr>
          <w:spacing w:val="-10"/>
        </w:rPr>
        <w:t> </w:t>
      </w:r>
      <w:r>
        <w:rPr/>
        <w:t>terneros</w:t>
      </w:r>
      <w:r>
        <w:rPr>
          <w:spacing w:val="-8"/>
        </w:rPr>
        <w:t> </w:t>
      </w:r>
      <w:r>
        <w:rPr/>
        <w:t>pueden</w:t>
      </w:r>
      <w:r>
        <w:rPr>
          <w:spacing w:val="-8"/>
        </w:rPr>
        <w:t> </w:t>
      </w:r>
      <w:r>
        <w:rPr/>
        <w:t>percibir</w:t>
      </w:r>
      <w:r>
        <w:rPr>
          <w:spacing w:val="-10"/>
        </w:rPr>
        <w:t> </w:t>
      </w:r>
      <w:r>
        <w:rPr/>
        <w:t>el</w:t>
      </w:r>
      <w:r>
        <w:rPr>
          <w:spacing w:val="-10"/>
        </w:rPr>
        <w:t> </w:t>
      </w:r>
      <w:r>
        <w:rPr/>
        <w:t>descorno</w:t>
      </w:r>
      <w:r>
        <w:rPr>
          <w:spacing w:val="-10"/>
        </w:rPr>
        <w:t> </w:t>
      </w:r>
      <w:r>
        <w:rPr/>
        <w:t>con pasta cáustica como una experiencia más negativa que el descorne con hierro caliente, incluso cuando se utiliza sedación, anestesia local y</w:t>
      </w:r>
      <w:r>
        <w:rPr>
          <w:spacing w:val="-5"/>
        </w:rPr>
        <w:t> </w:t>
      </w:r>
      <w:r>
        <w:rPr/>
        <w:t>analgesia. Aunque la evidencia es limitada, los estudios actuales respaldan el uso de anestesia local combinada</w:t>
      </w:r>
      <w:r>
        <w:rPr>
          <w:spacing w:val="-14"/>
        </w:rPr>
        <w:t> </w:t>
      </w:r>
      <w:r>
        <w:rPr/>
        <w:t>con</w:t>
      </w:r>
      <w:r>
        <w:rPr>
          <w:spacing w:val="-12"/>
        </w:rPr>
        <w:t> </w:t>
      </w:r>
      <w:r>
        <w:rPr/>
        <w:t>analgesia</w:t>
      </w:r>
      <w:r>
        <w:rPr>
          <w:spacing w:val="-11"/>
        </w:rPr>
        <w:t> </w:t>
      </w:r>
      <w:r>
        <w:rPr/>
        <w:t>con</w:t>
      </w:r>
      <w:r>
        <w:rPr>
          <w:spacing w:val="-13"/>
        </w:rPr>
        <w:t> </w:t>
      </w:r>
      <w:r>
        <w:rPr/>
        <w:t>AINE</w:t>
      </w:r>
      <w:r>
        <w:rPr>
          <w:spacing w:val="-14"/>
        </w:rPr>
        <w:t> </w:t>
      </w:r>
      <w:r>
        <w:rPr/>
        <w:t>como</w:t>
      </w:r>
      <w:r>
        <w:rPr>
          <w:spacing w:val="-12"/>
        </w:rPr>
        <w:t> </w:t>
      </w:r>
      <w:r>
        <w:rPr/>
        <w:t>una</w:t>
      </w:r>
      <w:r>
        <w:rPr>
          <w:spacing w:val="-15"/>
        </w:rPr>
        <w:t> </w:t>
      </w:r>
      <w:r>
        <w:rPr/>
        <w:t>medida</w:t>
      </w:r>
      <w:r>
        <w:rPr>
          <w:spacing w:val="-15"/>
        </w:rPr>
        <w:t> </w:t>
      </w:r>
      <w:r>
        <w:rPr/>
        <w:t>efectiva</w:t>
      </w:r>
      <w:r>
        <w:rPr>
          <w:spacing w:val="-15"/>
        </w:rPr>
        <w:t> </w:t>
      </w:r>
      <w:r>
        <w:rPr/>
        <w:t>para</w:t>
      </w:r>
      <w:r>
        <w:rPr>
          <w:spacing w:val="-13"/>
        </w:rPr>
        <w:t> </w:t>
      </w:r>
      <w:r>
        <w:rPr/>
        <w:t>reducir</w:t>
      </w:r>
      <w:r>
        <w:rPr>
          <w:spacing w:val="-11"/>
        </w:rPr>
        <w:t> </w:t>
      </w:r>
      <w:r>
        <w:rPr/>
        <w:t>el</w:t>
      </w:r>
      <w:r>
        <w:rPr>
          <w:spacing w:val="-13"/>
        </w:rPr>
        <w:t> </w:t>
      </w:r>
      <w:r>
        <w:rPr/>
        <w:t>dolor asociado con el descorno mediante pasta cáustica (Juffinger </w:t>
      </w:r>
      <w:r>
        <w:rPr>
          <w:i/>
        </w:rPr>
        <w:t>et al</w:t>
      </w:r>
      <w:r>
        <w:rPr/>
        <w:t>., 2021).</w:t>
      </w:r>
    </w:p>
    <w:p>
      <w:pPr>
        <w:pStyle w:val="Heading2"/>
        <w:numPr>
          <w:ilvl w:val="2"/>
          <w:numId w:val="9"/>
        </w:numPr>
        <w:tabs>
          <w:tab w:pos="1843" w:val="left" w:leader="none"/>
        </w:tabs>
        <w:spacing w:line="240" w:lineRule="auto" w:before="240" w:after="0"/>
        <w:ind w:left="1843" w:right="0" w:hanging="708"/>
        <w:jc w:val="left"/>
      </w:pPr>
      <w:bookmarkStart w:name="_bookmark14" w:id="15"/>
      <w:bookmarkEnd w:id="15"/>
      <w:r>
        <w:rPr>
          <w:b w:val="0"/>
        </w:rPr>
      </w:r>
      <w:r>
        <w:rPr/>
        <w:t>Descorne</w:t>
      </w:r>
      <w:r>
        <w:rPr>
          <w:spacing w:val="-6"/>
        </w:rPr>
        <w:t> </w:t>
      </w:r>
      <w:r>
        <w:rPr/>
        <w:t>con</w:t>
      </w:r>
      <w:r>
        <w:rPr>
          <w:spacing w:val="-4"/>
        </w:rPr>
        <w:t> </w:t>
      </w:r>
      <w:r>
        <w:rPr>
          <w:spacing w:val="-2"/>
        </w:rPr>
        <w:t>isoeugenol</w:t>
      </w:r>
    </w:p>
    <w:p>
      <w:pPr>
        <w:pStyle w:val="BodyText"/>
        <w:spacing w:before="101"/>
        <w:ind w:left="0"/>
        <w:rPr>
          <w:b/>
        </w:rPr>
      </w:pPr>
    </w:p>
    <w:p>
      <w:pPr>
        <w:pStyle w:val="BodyText"/>
        <w:spacing w:line="360" w:lineRule="auto"/>
        <w:ind w:right="846"/>
        <w:jc w:val="both"/>
      </w:pPr>
      <w:r>
        <w:rPr/>
        <w:t>Debido</w:t>
      </w:r>
      <w:r>
        <w:rPr>
          <w:spacing w:val="-3"/>
        </w:rPr>
        <w:t> </w:t>
      </w:r>
      <w:r>
        <w:rPr/>
        <w:t>a</w:t>
      </w:r>
      <w:r>
        <w:rPr>
          <w:spacing w:val="-4"/>
        </w:rPr>
        <w:t> </w:t>
      </w:r>
      <w:r>
        <w:rPr/>
        <w:t>la</w:t>
      </w:r>
      <w:r>
        <w:rPr>
          <w:spacing w:val="-2"/>
        </w:rPr>
        <w:t> </w:t>
      </w:r>
      <w:r>
        <w:rPr/>
        <w:t>combinación de</w:t>
      </w:r>
      <w:r>
        <w:rPr>
          <w:spacing w:val="-4"/>
        </w:rPr>
        <w:t> </w:t>
      </w:r>
      <w:r>
        <w:rPr/>
        <w:t>efectos citotóxicos y</w:t>
      </w:r>
      <w:r>
        <w:rPr>
          <w:spacing w:val="-8"/>
        </w:rPr>
        <w:t> </w:t>
      </w:r>
      <w:r>
        <w:rPr/>
        <w:t>anestésicos</w:t>
      </w:r>
      <w:r>
        <w:rPr>
          <w:spacing w:val="-3"/>
        </w:rPr>
        <w:t> </w:t>
      </w:r>
      <w:r>
        <w:rPr/>
        <w:t>del</w:t>
      </w:r>
      <w:r>
        <w:rPr>
          <w:spacing w:val="-3"/>
        </w:rPr>
        <w:t> </w:t>
      </w:r>
      <w:r>
        <w:rPr/>
        <w:t>isoeugenol,</w:t>
      </w:r>
      <w:r>
        <w:rPr>
          <w:spacing w:val="-2"/>
        </w:rPr>
        <w:t> </w:t>
      </w:r>
      <w:r>
        <w:rPr/>
        <w:t>se</w:t>
      </w:r>
      <w:r>
        <w:rPr>
          <w:spacing w:val="-4"/>
        </w:rPr>
        <w:t> </w:t>
      </w:r>
      <w:r>
        <w:rPr/>
        <w:t>ha investigado</w:t>
      </w:r>
      <w:r>
        <w:rPr>
          <w:spacing w:val="-2"/>
        </w:rPr>
        <w:t> </w:t>
      </w:r>
      <w:r>
        <w:rPr/>
        <w:t>como</w:t>
      </w:r>
      <w:r>
        <w:rPr>
          <w:spacing w:val="-1"/>
        </w:rPr>
        <w:t> </w:t>
      </w:r>
      <w:r>
        <w:rPr/>
        <w:t>una</w:t>
      </w:r>
      <w:r>
        <w:rPr>
          <w:spacing w:val="-5"/>
        </w:rPr>
        <w:t> </w:t>
      </w:r>
      <w:r>
        <w:rPr/>
        <w:t>alternativa</w:t>
      </w:r>
      <w:r>
        <w:rPr>
          <w:spacing w:val="-2"/>
        </w:rPr>
        <w:t> </w:t>
      </w:r>
      <w:r>
        <w:rPr/>
        <w:t>al</w:t>
      </w:r>
      <w:r>
        <w:rPr>
          <w:spacing w:val="-2"/>
        </w:rPr>
        <w:t> </w:t>
      </w:r>
      <w:r>
        <w:rPr/>
        <w:t>desmoche</w:t>
      </w:r>
      <w:r>
        <w:rPr>
          <w:spacing w:val="-5"/>
        </w:rPr>
        <w:t> </w:t>
      </w:r>
      <w:r>
        <w:rPr/>
        <w:t>con hierro</w:t>
      </w:r>
      <w:r>
        <w:rPr>
          <w:spacing w:val="-2"/>
        </w:rPr>
        <w:t> </w:t>
      </w:r>
      <w:r>
        <w:rPr/>
        <w:t>caliente.</w:t>
      </w:r>
      <w:r>
        <w:rPr>
          <w:spacing w:val="-3"/>
        </w:rPr>
        <w:t> </w:t>
      </w:r>
      <w:r>
        <w:rPr/>
        <w:t>Sin</w:t>
      </w:r>
      <w:r>
        <w:rPr>
          <w:spacing w:val="-1"/>
        </w:rPr>
        <w:t> </w:t>
      </w:r>
      <w:r>
        <w:rPr/>
        <w:t>embargo,</w:t>
      </w:r>
      <w:r>
        <w:rPr>
          <w:spacing w:val="-1"/>
        </w:rPr>
        <w:t> </w:t>
      </w:r>
      <w:r>
        <w:rPr/>
        <w:t>la inyección de isoeugenol se ha asociado con varias complicaciones graves e inesperadas, incluida la necrosis tisular no intencionada, la paresia temporal, los defectos del cráneo, la meningitis y la muerte (Schoiswohl </w:t>
      </w:r>
      <w:r>
        <w:rPr>
          <w:i/>
        </w:rPr>
        <w:t>et al</w:t>
      </w:r>
      <w:r>
        <w:rPr/>
        <w:t>., 2020).</w:t>
      </w:r>
    </w:p>
    <w:p>
      <w:pPr>
        <w:pStyle w:val="BodyText"/>
        <w:spacing w:line="360" w:lineRule="auto" w:before="242"/>
        <w:ind w:right="844"/>
        <w:jc w:val="both"/>
      </w:pPr>
      <w:r>
        <w:rPr/>
        <w:t>El consenso general en la literatura es que ni la inyección de aceite de clavo ni el isoeugenol son tan efectivos como el uso de un hierro caliente para prevenir el crecimiento del cuerno, y</w:t>
      </w:r>
      <w:r>
        <w:rPr>
          <w:spacing w:val="-6"/>
        </w:rPr>
        <w:t> </w:t>
      </w:r>
      <w:r>
        <w:rPr/>
        <w:t>no se</w:t>
      </w:r>
      <w:r>
        <w:rPr>
          <w:spacing w:val="-2"/>
        </w:rPr>
        <w:t> </w:t>
      </w:r>
      <w:r>
        <w:rPr/>
        <w:t>recomienda</w:t>
      </w:r>
      <w:r>
        <w:rPr>
          <w:spacing w:val="-1"/>
        </w:rPr>
        <w:t> </w:t>
      </w:r>
      <w:r>
        <w:rPr/>
        <w:t>la</w:t>
      </w:r>
      <w:r>
        <w:rPr>
          <w:spacing w:val="-2"/>
        </w:rPr>
        <w:t> </w:t>
      </w:r>
      <w:r>
        <w:rPr/>
        <w:t>inyección de</w:t>
      </w:r>
      <w:r>
        <w:rPr>
          <w:spacing w:val="-1"/>
        </w:rPr>
        <w:t> </w:t>
      </w:r>
      <w:r>
        <w:rPr/>
        <w:t>aceite</w:t>
      </w:r>
      <w:r>
        <w:rPr>
          <w:spacing w:val="-1"/>
        </w:rPr>
        <w:t> </w:t>
      </w:r>
      <w:r>
        <w:rPr/>
        <w:t>de</w:t>
      </w:r>
      <w:r>
        <w:rPr>
          <w:spacing w:val="-1"/>
        </w:rPr>
        <w:t> </w:t>
      </w:r>
      <w:r>
        <w:rPr/>
        <w:t>clavo. Según un estudio reciente de Schoiswohl </w:t>
      </w:r>
      <w:r>
        <w:rPr>
          <w:i/>
        </w:rPr>
        <w:t>et al</w:t>
      </w:r>
      <w:r>
        <w:rPr/>
        <w:t>, (2022), aunque los tratamientos alternativos, especialmente el isoeugenol, pueden causar un daño tisular menos grave que el desmoche con hierro caliente, los autores recomendaron que se necesitan</w:t>
      </w:r>
      <w:r>
        <w:rPr>
          <w:spacing w:val="-5"/>
        </w:rPr>
        <w:t> </w:t>
      </w:r>
      <w:r>
        <w:rPr/>
        <w:t>más</w:t>
      </w:r>
      <w:r>
        <w:rPr>
          <w:spacing w:val="-3"/>
        </w:rPr>
        <w:t> </w:t>
      </w:r>
      <w:r>
        <w:rPr/>
        <w:t>investigaciones</w:t>
      </w:r>
      <w:r>
        <w:rPr>
          <w:spacing w:val="-5"/>
        </w:rPr>
        <w:t> </w:t>
      </w:r>
      <w:r>
        <w:rPr/>
        <w:t>para</w:t>
      </w:r>
      <w:r>
        <w:rPr>
          <w:spacing w:val="-7"/>
        </w:rPr>
        <w:t> </w:t>
      </w:r>
      <w:r>
        <w:rPr/>
        <w:t>optimizar</w:t>
      </w:r>
      <w:r>
        <w:rPr>
          <w:spacing w:val="-5"/>
        </w:rPr>
        <w:t> </w:t>
      </w:r>
      <w:r>
        <w:rPr/>
        <w:t>el</w:t>
      </w:r>
      <w:r>
        <w:rPr>
          <w:spacing w:val="-3"/>
        </w:rPr>
        <w:t> </w:t>
      </w:r>
      <w:r>
        <w:rPr/>
        <w:t>volumen y</w:t>
      </w:r>
      <w:r>
        <w:rPr>
          <w:spacing w:val="-15"/>
        </w:rPr>
        <w:t> </w:t>
      </w:r>
      <w:r>
        <w:rPr/>
        <w:t>la</w:t>
      </w:r>
      <w:r>
        <w:rPr>
          <w:spacing w:val="-6"/>
        </w:rPr>
        <w:t> </w:t>
      </w:r>
      <w:r>
        <w:rPr/>
        <w:t>técnica</w:t>
      </w:r>
      <w:r>
        <w:rPr>
          <w:spacing w:val="-7"/>
        </w:rPr>
        <w:t> </w:t>
      </w:r>
      <w:r>
        <w:rPr/>
        <w:t>de</w:t>
      </w:r>
      <w:r>
        <w:rPr>
          <w:spacing w:val="-7"/>
        </w:rPr>
        <w:t> </w:t>
      </w:r>
      <w:r>
        <w:rPr/>
        <w:t>inyección. Hasta</w:t>
      </w:r>
      <w:r>
        <w:rPr>
          <w:spacing w:val="-15"/>
        </w:rPr>
        <w:t> </w:t>
      </w:r>
      <w:r>
        <w:rPr/>
        <w:t>el</w:t>
      </w:r>
      <w:r>
        <w:rPr>
          <w:spacing w:val="-15"/>
        </w:rPr>
        <w:t> </w:t>
      </w:r>
      <w:r>
        <w:rPr/>
        <w:t>momento,</w:t>
      </w:r>
      <w:r>
        <w:rPr>
          <w:spacing w:val="-15"/>
        </w:rPr>
        <w:t> </w:t>
      </w:r>
      <w:r>
        <w:rPr/>
        <w:t>ningún</w:t>
      </w:r>
      <w:r>
        <w:rPr>
          <w:spacing w:val="-15"/>
        </w:rPr>
        <w:t> </w:t>
      </w:r>
      <w:r>
        <w:rPr/>
        <w:t>estudio</w:t>
      </w:r>
      <w:r>
        <w:rPr>
          <w:spacing w:val="-15"/>
        </w:rPr>
        <w:t> </w:t>
      </w:r>
      <w:r>
        <w:rPr/>
        <w:t>ha</w:t>
      </w:r>
      <w:r>
        <w:rPr>
          <w:spacing w:val="-15"/>
        </w:rPr>
        <w:t> </w:t>
      </w:r>
      <w:r>
        <w:rPr/>
        <w:t>investigado</w:t>
      </w:r>
      <w:r>
        <w:rPr>
          <w:spacing w:val="-15"/>
        </w:rPr>
        <w:t> </w:t>
      </w:r>
      <w:r>
        <w:rPr/>
        <w:t>las</w:t>
      </w:r>
      <w:r>
        <w:rPr>
          <w:spacing w:val="-15"/>
        </w:rPr>
        <w:t> </w:t>
      </w:r>
      <w:r>
        <w:rPr/>
        <w:t>implicaciones</w:t>
      </w:r>
      <w:r>
        <w:rPr>
          <w:spacing w:val="-15"/>
        </w:rPr>
        <w:t> </w:t>
      </w:r>
      <w:r>
        <w:rPr/>
        <w:t>para</w:t>
      </w:r>
      <w:r>
        <w:rPr>
          <w:spacing w:val="-15"/>
        </w:rPr>
        <w:t> </w:t>
      </w:r>
      <w:r>
        <w:rPr/>
        <w:t>el</w:t>
      </w:r>
      <w:r>
        <w:rPr>
          <w:spacing w:val="-15"/>
        </w:rPr>
        <w:t> </w:t>
      </w:r>
      <w:r>
        <w:rPr/>
        <w:t>bienestar o</w:t>
      </w:r>
      <w:r>
        <w:rPr>
          <w:spacing w:val="-8"/>
        </w:rPr>
        <w:t> </w:t>
      </w:r>
      <w:r>
        <w:rPr/>
        <w:t>las</w:t>
      </w:r>
      <w:r>
        <w:rPr>
          <w:spacing w:val="-6"/>
        </w:rPr>
        <w:t> </w:t>
      </w:r>
      <w:r>
        <w:rPr/>
        <w:t>consecuencias a</w:t>
      </w:r>
      <w:r>
        <w:rPr>
          <w:spacing w:val="-9"/>
        </w:rPr>
        <w:t> </w:t>
      </w:r>
      <w:r>
        <w:rPr/>
        <w:t>largo</w:t>
      </w:r>
      <w:r>
        <w:rPr>
          <w:spacing w:val="-5"/>
        </w:rPr>
        <w:t> </w:t>
      </w:r>
      <w:r>
        <w:rPr/>
        <w:t>plazo</w:t>
      </w:r>
      <w:r>
        <w:rPr>
          <w:spacing w:val="-8"/>
        </w:rPr>
        <w:t> </w:t>
      </w:r>
      <w:r>
        <w:rPr/>
        <w:t>del</w:t>
      </w:r>
      <w:r>
        <w:rPr>
          <w:spacing w:val="-5"/>
        </w:rPr>
        <w:t> </w:t>
      </w:r>
      <w:r>
        <w:rPr/>
        <w:t>isoeugenol</w:t>
      </w:r>
      <w:r>
        <w:rPr>
          <w:spacing w:val="-5"/>
        </w:rPr>
        <w:t> </w:t>
      </w:r>
      <w:r>
        <w:rPr/>
        <w:t>como</w:t>
      </w:r>
      <w:r>
        <w:rPr>
          <w:spacing w:val="-5"/>
        </w:rPr>
        <w:t> </w:t>
      </w:r>
      <w:r>
        <w:rPr/>
        <w:t>alternativa</w:t>
      </w:r>
      <w:r>
        <w:rPr>
          <w:spacing w:val="-5"/>
        </w:rPr>
        <w:t> </w:t>
      </w:r>
      <w:r>
        <w:rPr/>
        <w:t>al</w:t>
      </w:r>
      <w:r>
        <w:rPr>
          <w:spacing w:val="-5"/>
        </w:rPr>
        <w:t> </w:t>
      </w:r>
      <w:r>
        <w:rPr/>
        <w:t>desmoche</w:t>
      </w:r>
      <w:r>
        <w:rPr>
          <w:spacing w:val="-7"/>
        </w:rPr>
        <w:t> </w:t>
      </w:r>
      <w:r>
        <w:rPr/>
        <w:t>con hierro caliente (Adcock &amp; Tucker, 2022).</w:t>
      </w:r>
    </w:p>
    <w:p>
      <w:pPr>
        <w:pStyle w:val="Heading2"/>
        <w:numPr>
          <w:ilvl w:val="1"/>
          <w:numId w:val="9"/>
        </w:numPr>
        <w:tabs>
          <w:tab w:pos="1701" w:val="left" w:leader="none"/>
        </w:tabs>
        <w:spacing w:line="240" w:lineRule="auto" w:before="238" w:after="0"/>
        <w:ind w:left="1701" w:right="0" w:hanging="566"/>
        <w:jc w:val="left"/>
      </w:pPr>
      <w:bookmarkStart w:name="_bookmark15" w:id="16"/>
      <w:bookmarkEnd w:id="16"/>
      <w:r>
        <w:rPr>
          <w:b w:val="0"/>
        </w:rPr>
      </w:r>
      <w:r>
        <w:rPr/>
        <w:t>Indicaciones</w:t>
      </w:r>
      <w:r>
        <w:rPr>
          <w:spacing w:val="-3"/>
        </w:rPr>
        <w:t> </w:t>
      </w:r>
      <w:r>
        <w:rPr/>
        <w:t>para</w:t>
      </w:r>
      <w:r>
        <w:rPr>
          <w:spacing w:val="-1"/>
        </w:rPr>
        <w:t> </w:t>
      </w:r>
      <w:r>
        <w:rPr/>
        <w:t>el</w:t>
      </w:r>
      <w:r>
        <w:rPr>
          <w:spacing w:val="-1"/>
        </w:rPr>
        <w:t> </w:t>
      </w:r>
      <w:r>
        <w:rPr>
          <w:spacing w:val="-2"/>
        </w:rPr>
        <w:t>descorne</w:t>
      </w:r>
    </w:p>
    <w:p>
      <w:pPr>
        <w:pStyle w:val="BodyText"/>
        <w:spacing w:before="104"/>
        <w:ind w:left="0"/>
        <w:rPr>
          <w:b/>
        </w:rPr>
      </w:pPr>
    </w:p>
    <w:p>
      <w:pPr>
        <w:pStyle w:val="BodyText"/>
        <w:spacing w:line="360" w:lineRule="auto"/>
        <w:ind w:right="845"/>
        <w:jc w:val="both"/>
      </w:pPr>
      <w:r>
        <w:rPr/>
        <w:t>Las directrices sobre bienestar animal recomiendan el desmoche de los terneros antes</w:t>
      </w:r>
      <w:r>
        <w:rPr>
          <w:spacing w:val="-5"/>
        </w:rPr>
        <w:t> </w:t>
      </w:r>
      <w:r>
        <w:rPr/>
        <w:t>de</w:t>
      </w:r>
      <w:r>
        <w:rPr>
          <w:spacing w:val="-3"/>
        </w:rPr>
        <w:t> </w:t>
      </w:r>
      <w:r>
        <w:rPr/>
        <w:t>que</w:t>
      </w:r>
      <w:r>
        <w:rPr>
          <w:spacing w:val="-3"/>
        </w:rPr>
        <w:t> </w:t>
      </w:r>
      <w:r>
        <w:rPr/>
        <w:t>cumplan</w:t>
      </w:r>
      <w:r>
        <w:rPr>
          <w:spacing w:val="-4"/>
        </w:rPr>
        <w:t> </w:t>
      </w:r>
      <w:r>
        <w:rPr/>
        <w:t>los 2</w:t>
      </w:r>
      <w:r>
        <w:rPr>
          <w:spacing w:val="-5"/>
        </w:rPr>
        <w:t> </w:t>
      </w:r>
      <w:r>
        <w:rPr/>
        <w:t>meses</w:t>
      </w:r>
      <w:r>
        <w:rPr>
          <w:spacing w:val="-5"/>
        </w:rPr>
        <w:t> </w:t>
      </w:r>
      <w:r>
        <w:rPr/>
        <w:t>de</w:t>
      </w:r>
      <w:r>
        <w:rPr>
          <w:spacing w:val="-5"/>
        </w:rPr>
        <w:t> </w:t>
      </w:r>
      <w:r>
        <w:rPr/>
        <w:t>edad.</w:t>
      </w:r>
      <w:r>
        <w:rPr>
          <w:spacing w:val="-5"/>
        </w:rPr>
        <w:t> </w:t>
      </w:r>
      <w:r>
        <w:rPr/>
        <w:t>Esto</w:t>
      </w:r>
      <w:r>
        <w:rPr>
          <w:spacing w:val="-4"/>
        </w:rPr>
        <w:t> </w:t>
      </w:r>
      <w:r>
        <w:rPr/>
        <w:t>se</w:t>
      </w:r>
      <w:r>
        <w:rPr>
          <w:spacing w:val="-3"/>
        </w:rPr>
        <w:t> </w:t>
      </w:r>
      <w:r>
        <w:rPr/>
        <w:t>debe</w:t>
      </w:r>
      <w:r>
        <w:rPr>
          <w:spacing w:val="-1"/>
        </w:rPr>
        <w:t> </w:t>
      </w:r>
      <w:r>
        <w:rPr/>
        <w:t>a</w:t>
      </w:r>
      <w:r>
        <w:rPr>
          <w:spacing w:val="-8"/>
        </w:rPr>
        <w:t> </w:t>
      </w:r>
      <w:r>
        <w:rPr/>
        <w:t>que,</w:t>
      </w:r>
      <w:r>
        <w:rPr>
          <w:spacing w:val="-4"/>
        </w:rPr>
        <w:t> </w:t>
      </w:r>
      <w:r>
        <w:rPr/>
        <w:t>desde</w:t>
      </w:r>
      <w:r>
        <w:rPr>
          <w:spacing w:val="-6"/>
        </w:rPr>
        <w:t> </w:t>
      </w:r>
      <w:r>
        <w:rPr/>
        <w:t>el</w:t>
      </w:r>
      <w:r>
        <w:rPr>
          <w:spacing w:val="-4"/>
        </w:rPr>
        <w:t> </w:t>
      </w:r>
      <w:r>
        <w:rPr/>
        <w:t>nacimiento hasta los 2 meses de edad, la yema córnea no está firmemente adherida al cráneo, lo</w:t>
      </w:r>
      <w:r>
        <w:rPr>
          <w:spacing w:val="-17"/>
        </w:rPr>
        <w:t> </w:t>
      </w:r>
      <w:r>
        <w:rPr/>
        <w:t>que</w:t>
      </w:r>
      <w:r>
        <w:rPr>
          <w:spacing w:val="-14"/>
        </w:rPr>
        <w:t> </w:t>
      </w:r>
      <w:r>
        <w:rPr/>
        <w:t>facilita</w:t>
      </w:r>
      <w:r>
        <w:rPr>
          <w:spacing w:val="-13"/>
        </w:rPr>
        <w:t> </w:t>
      </w:r>
      <w:r>
        <w:rPr/>
        <w:t>la</w:t>
      </w:r>
      <w:r>
        <w:rPr>
          <w:spacing w:val="-14"/>
        </w:rPr>
        <w:t> </w:t>
      </w:r>
      <w:r>
        <w:rPr/>
        <w:t>extracción</w:t>
      </w:r>
      <w:r>
        <w:rPr>
          <w:spacing w:val="-13"/>
        </w:rPr>
        <w:t> </w:t>
      </w:r>
      <w:r>
        <w:rPr/>
        <w:t>de</w:t>
      </w:r>
      <w:r>
        <w:rPr>
          <w:spacing w:val="-14"/>
        </w:rPr>
        <w:t> </w:t>
      </w:r>
      <w:r>
        <w:rPr/>
        <w:t>la</w:t>
      </w:r>
      <w:r>
        <w:rPr>
          <w:spacing w:val="-12"/>
        </w:rPr>
        <w:t> </w:t>
      </w:r>
      <w:r>
        <w:rPr/>
        <w:t>yema</w:t>
      </w:r>
      <w:r>
        <w:rPr>
          <w:spacing w:val="-14"/>
        </w:rPr>
        <w:t> </w:t>
      </w:r>
      <w:r>
        <w:rPr/>
        <w:t>córnea</w:t>
      </w:r>
      <w:r>
        <w:rPr>
          <w:spacing w:val="-9"/>
        </w:rPr>
        <w:t> </w:t>
      </w:r>
      <w:r>
        <w:rPr/>
        <w:t>y</w:t>
      </w:r>
      <w:r>
        <w:rPr>
          <w:spacing w:val="-17"/>
        </w:rPr>
        <w:t> </w:t>
      </w:r>
      <w:r>
        <w:rPr/>
        <w:t>las</w:t>
      </w:r>
      <w:r>
        <w:rPr>
          <w:spacing w:val="-11"/>
        </w:rPr>
        <w:t> </w:t>
      </w:r>
      <w:r>
        <w:rPr/>
        <w:t>células</w:t>
      </w:r>
      <w:r>
        <w:rPr>
          <w:spacing w:val="-13"/>
        </w:rPr>
        <w:t> </w:t>
      </w:r>
      <w:r>
        <w:rPr/>
        <w:t>adyacentes.</w:t>
      </w:r>
      <w:r>
        <w:rPr>
          <w:spacing w:val="-12"/>
        </w:rPr>
        <w:t> </w:t>
      </w:r>
      <w:r>
        <w:rPr/>
        <w:t>Por</w:t>
      </w:r>
      <w:r>
        <w:rPr>
          <w:spacing w:val="-14"/>
        </w:rPr>
        <w:t> </w:t>
      </w:r>
      <w:r>
        <w:rPr>
          <w:spacing w:val="-2"/>
        </w:rPr>
        <w:t>ejemplo,</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52"/>
        <w:jc w:val="both"/>
      </w:pPr>
      <w:r>
        <w:rPr/>
        <w:t>el Código de Recomendaciones para el Bienestar del Ganado del Reino Unido sugiere que el desmoche se realice antes de que los terneros cumplan 2 meses, idealmente tan pronto como la yema córnea sea visible (Saraceni </w:t>
      </w:r>
      <w:r>
        <w:rPr>
          <w:i/>
        </w:rPr>
        <w:t>et al</w:t>
      </w:r>
      <w:r>
        <w:rPr/>
        <w:t>., 2021).</w:t>
      </w:r>
    </w:p>
    <w:p>
      <w:pPr>
        <w:pStyle w:val="BodyText"/>
        <w:spacing w:line="360" w:lineRule="auto" w:before="239"/>
        <w:ind w:right="843"/>
        <w:jc w:val="both"/>
      </w:pPr>
      <w:r>
        <w:rPr/>
        <w:t>Otras</w:t>
      </w:r>
      <w:r>
        <w:rPr>
          <w:spacing w:val="-7"/>
        </w:rPr>
        <w:t> </w:t>
      </w:r>
      <w:r>
        <w:rPr/>
        <w:t>organizaciones</w:t>
      </w:r>
      <w:r>
        <w:rPr>
          <w:spacing w:val="-6"/>
        </w:rPr>
        <w:t> </w:t>
      </w:r>
      <w:r>
        <w:rPr/>
        <w:t>de</w:t>
      </w:r>
      <w:r>
        <w:rPr>
          <w:spacing w:val="-5"/>
        </w:rPr>
        <w:t> </w:t>
      </w:r>
      <w:r>
        <w:rPr/>
        <w:t>bienestar</w:t>
      </w:r>
      <w:r>
        <w:rPr>
          <w:spacing w:val="-8"/>
        </w:rPr>
        <w:t> </w:t>
      </w:r>
      <w:r>
        <w:rPr/>
        <w:t>animal,</w:t>
      </w:r>
      <w:r>
        <w:rPr>
          <w:spacing w:val="-6"/>
        </w:rPr>
        <w:t> </w:t>
      </w:r>
      <w:r>
        <w:rPr/>
        <w:t>como</w:t>
      </w:r>
      <w:r>
        <w:rPr>
          <w:spacing w:val="-6"/>
        </w:rPr>
        <w:t> </w:t>
      </w:r>
      <w:r>
        <w:rPr/>
        <w:t>las</w:t>
      </w:r>
      <w:r>
        <w:rPr>
          <w:spacing w:val="-7"/>
        </w:rPr>
        <w:t> </w:t>
      </w:r>
      <w:r>
        <w:rPr/>
        <w:t>de</w:t>
      </w:r>
      <w:r>
        <w:rPr>
          <w:spacing w:val="-3"/>
        </w:rPr>
        <w:t> </w:t>
      </w:r>
      <w:r>
        <w:rPr/>
        <w:t>Irlanda</w:t>
      </w:r>
      <w:r>
        <w:rPr>
          <w:spacing w:val="-1"/>
        </w:rPr>
        <w:t> </w:t>
      </w:r>
      <w:r>
        <w:rPr/>
        <w:t>y</w:t>
      </w:r>
      <w:r>
        <w:rPr>
          <w:spacing w:val="-15"/>
        </w:rPr>
        <w:t> </w:t>
      </w:r>
      <w:r>
        <w:rPr/>
        <w:t>Australia,</w:t>
      </w:r>
      <w:r>
        <w:rPr>
          <w:spacing w:val="-4"/>
        </w:rPr>
        <w:t> </w:t>
      </w:r>
      <w:r>
        <w:rPr/>
        <w:t>también recomiendan</w:t>
      </w:r>
      <w:r>
        <w:rPr>
          <w:spacing w:val="-10"/>
        </w:rPr>
        <w:t> </w:t>
      </w:r>
      <w:r>
        <w:rPr/>
        <w:t>desmotar</w:t>
      </w:r>
      <w:r>
        <w:rPr>
          <w:spacing w:val="-11"/>
        </w:rPr>
        <w:t> </w:t>
      </w:r>
      <w:r>
        <w:rPr/>
        <w:t>a</w:t>
      </w:r>
      <w:r>
        <w:rPr>
          <w:spacing w:val="-12"/>
        </w:rPr>
        <w:t> </w:t>
      </w:r>
      <w:r>
        <w:rPr/>
        <w:t>los</w:t>
      </w:r>
      <w:r>
        <w:rPr>
          <w:spacing w:val="-9"/>
        </w:rPr>
        <w:t> </w:t>
      </w:r>
      <w:r>
        <w:rPr/>
        <w:t>terneros</w:t>
      </w:r>
      <w:r>
        <w:rPr>
          <w:spacing w:val="-11"/>
        </w:rPr>
        <w:t> </w:t>
      </w:r>
      <w:r>
        <w:rPr/>
        <w:t>lo</w:t>
      </w:r>
      <w:r>
        <w:rPr>
          <w:spacing w:val="-9"/>
        </w:rPr>
        <w:t> </w:t>
      </w:r>
      <w:r>
        <w:rPr/>
        <w:t>más</w:t>
      </w:r>
      <w:r>
        <w:rPr>
          <w:spacing w:val="-10"/>
        </w:rPr>
        <w:t> </w:t>
      </w:r>
      <w:r>
        <w:rPr/>
        <w:t>jóvenes</w:t>
      </w:r>
      <w:r>
        <w:rPr>
          <w:spacing w:val="-9"/>
        </w:rPr>
        <w:t> </w:t>
      </w:r>
      <w:r>
        <w:rPr/>
        <w:t>posible,</w:t>
      </w:r>
      <w:r>
        <w:rPr>
          <w:spacing w:val="-11"/>
        </w:rPr>
        <w:t> </w:t>
      </w:r>
      <w:r>
        <w:rPr/>
        <w:t>aunque</w:t>
      </w:r>
      <w:r>
        <w:rPr>
          <w:spacing w:val="-13"/>
        </w:rPr>
        <w:t> </w:t>
      </w:r>
      <w:r>
        <w:rPr/>
        <w:t>no</w:t>
      </w:r>
      <w:r>
        <w:rPr>
          <w:spacing w:val="-11"/>
        </w:rPr>
        <w:t> </w:t>
      </w:r>
      <w:r>
        <w:rPr/>
        <w:t>especifican una</w:t>
      </w:r>
      <w:r>
        <w:rPr>
          <w:spacing w:val="-15"/>
        </w:rPr>
        <w:t> </w:t>
      </w:r>
      <w:r>
        <w:rPr/>
        <w:t>edad</w:t>
      </w:r>
      <w:r>
        <w:rPr>
          <w:spacing w:val="-14"/>
        </w:rPr>
        <w:t> </w:t>
      </w:r>
      <w:r>
        <w:rPr/>
        <w:t>óptima.</w:t>
      </w:r>
      <w:r>
        <w:rPr>
          <w:spacing w:val="-15"/>
        </w:rPr>
        <w:t> </w:t>
      </w:r>
      <w:r>
        <w:rPr/>
        <w:t>A</w:t>
      </w:r>
      <w:r>
        <w:rPr>
          <w:spacing w:val="-11"/>
        </w:rPr>
        <w:t> </w:t>
      </w:r>
      <w:r>
        <w:rPr/>
        <w:t>pesar</w:t>
      </w:r>
      <w:r>
        <w:rPr>
          <w:spacing w:val="-9"/>
        </w:rPr>
        <w:t> </w:t>
      </w:r>
      <w:r>
        <w:rPr/>
        <w:t>de</w:t>
      </w:r>
      <w:r>
        <w:rPr>
          <w:spacing w:val="-12"/>
        </w:rPr>
        <w:t> </w:t>
      </w:r>
      <w:r>
        <w:rPr/>
        <w:t>esta</w:t>
      </w:r>
      <w:r>
        <w:rPr>
          <w:spacing w:val="-11"/>
        </w:rPr>
        <w:t> </w:t>
      </w:r>
      <w:r>
        <w:rPr/>
        <w:t>recomendación</w:t>
      </w:r>
      <w:r>
        <w:rPr>
          <w:spacing w:val="-8"/>
        </w:rPr>
        <w:t> </w:t>
      </w:r>
      <w:r>
        <w:rPr/>
        <w:t>general,</w:t>
      </w:r>
      <w:r>
        <w:rPr>
          <w:spacing w:val="-9"/>
        </w:rPr>
        <w:t> </w:t>
      </w:r>
      <w:r>
        <w:rPr/>
        <w:t>no</w:t>
      </w:r>
      <w:r>
        <w:rPr>
          <w:spacing w:val="-11"/>
        </w:rPr>
        <w:t> </w:t>
      </w:r>
      <w:r>
        <w:rPr/>
        <w:t>hay</w:t>
      </w:r>
      <w:r>
        <w:rPr>
          <w:spacing w:val="-15"/>
        </w:rPr>
        <w:t> </w:t>
      </w:r>
      <w:r>
        <w:rPr/>
        <w:t>un</w:t>
      </w:r>
      <w:r>
        <w:rPr>
          <w:spacing w:val="-9"/>
        </w:rPr>
        <w:t> </w:t>
      </w:r>
      <w:r>
        <w:rPr/>
        <w:t>consenso</w:t>
      </w:r>
      <w:r>
        <w:rPr>
          <w:spacing w:val="-10"/>
        </w:rPr>
        <w:t> </w:t>
      </w:r>
      <w:r>
        <w:rPr/>
        <w:t>sobre el momento exacto dentro del período de 2 meses para realizar el desmoche. Además, algunas organizaciones reguladoras permiten procedimientos dolorosos sin el uso de anestesia o analgesia farmacológica en animales menores de cierta edad,</w:t>
      </w:r>
      <w:r>
        <w:rPr>
          <w:spacing w:val="-15"/>
        </w:rPr>
        <w:t> </w:t>
      </w:r>
      <w:r>
        <w:rPr/>
        <w:t>a</w:t>
      </w:r>
      <w:r>
        <w:rPr>
          <w:spacing w:val="-15"/>
        </w:rPr>
        <w:t> </w:t>
      </w:r>
      <w:r>
        <w:rPr/>
        <w:t>pesar</w:t>
      </w:r>
      <w:r>
        <w:rPr>
          <w:spacing w:val="-15"/>
        </w:rPr>
        <w:t> </w:t>
      </w:r>
      <w:r>
        <w:rPr/>
        <w:t>de</w:t>
      </w:r>
      <w:r>
        <w:rPr>
          <w:spacing w:val="-15"/>
        </w:rPr>
        <w:t> </w:t>
      </w:r>
      <w:r>
        <w:rPr/>
        <w:t>que</w:t>
      </w:r>
      <w:r>
        <w:rPr>
          <w:spacing w:val="-15"/>
        </w:rPr>
        <w:t> </w:t>
      </w:r>
      <w:r>
        <w:rPr/>
        <w:t>existe</w:t>
      </w:r>
      <w:r>
        <w:rPr>
          <w:spacing w:val="-15"/>
        </w:rPr>
        <w:t> </w:t>
      </w:r>
      <w:r>
        <w:rPr/>
        <w:t>evidencia</w:t>
      </w:r>
      <w:r>
        <w:rPr>
          <w:spacing w:val="-15"/>
        </w:rPr>
        <w:t> </w:t>
      </w:r>
      <w:r>
        <w:rPr/>
        <w:t>de</w:t>
      </w:r>
      <w:r>
        <w:rPr>
          <w:spacing w:val="-15"/>
        </w:rPr>
        <w:t> </w:t>
      </w:r>
      <w:r>
        <w:rPr/>
        <w:t>que</w:t>
      </w:r>
      <w:r>
        <w:rPr>
          <w:spacing w:val="-15"/>
        </w:rPr>
        <w:t> </w:t>
      </w:r>
      <w:r>
        <w:rPr/>
        <w:t>el</w:t>
      </w:r>
      <w:r>
        <w:rPr>
          <w:spacing w:val="-15"/>
        </w:rPr>
        <w:t> </w:t>
      </w:r>
      <w:r>
        <w:rPr/>
        <w:t>uso</w:t>
      </w:r>
      <w:r>
        <w:rPr>
          <w:spacing w:val="-15"/>
        </w:rPr>
        <w:t> </w:t>
      </w:r>
      <w:r>
        <w:rPr/>
        <w:t>de</w:t>
      </w:r>
      <w:r>
        <w:rPr>
          <w:spacing w:val="-15"/>
        </w:rPr>
        <w:t> </w:t>
      </w:r>
      <w:r>
        <w:rPr/>
        <w:t>analgésicos</w:t>
      </w:r>
      <w:r>
        <w:rPr>
          <w:spacing w:val="-15"/>
        </w:rPr>
        <w:t> </w:t>
      </w:r>
      <w:r>
        <w:rPr/>
        <w:t>es</w:t>
      </w:r>
      <w:r>
        <w:rPr>
          <w:spacing w:val="-15"/>
        </w:rPr>
        <w:t> </w:t>
      </w:r>
      <w:r>
        <w:rPr/>
        <w:t>eficaz</w:t>
      </w:r>
      <w:r>
        <w:rPr>
          <w:spacing w:val="-15"/>
        </w:rPr>
        <w:t> </w:t>
      </w:r>
      <w:r>
        <w:rPr/>
        <w:t>y</w:t>
      </w:r>
      <w:r>
        <w:rPr>
          <w:spacing w:val="-15"/>
        </w:rPr>
        <w:t> </w:t>
      </w:r>
      <w:r>
        <w:rPr/>
        <w:t>debería ser aplicado durante el desmoche de los terneros (Saraceni </w:t>
      </w:r>
      <w:r>
        <w:rPr>
          <w:i/>
        </w:rPr>
        <w:t>et al</w:t>
      </w:r>
      <w:r>
        <w:rPr/>
        <w:t>., 2021).</w:t>
      </w:r>
    </w:p>
    <w:p>
      <w:pPr>
        <w:pStyle w:val="Heading2"/>
        <w:numPr>
          <w:ilvl w:val="1"/>
          <w:numId w:val="9"/>
        </w:numPr>
        <w:tabs>
          <w:tab w:pos="1855" w:val="left" w:leader="none"/>
        </w:tabs>
        <w:spacing w:line="240" w:lineRule="auto" w:before="241" w:after="0"/>
        <w:ind w:left="1855" w:right="0" w:hanging="720"/>
        <w:jc w:val="left"/>
      </w:pPr>
      <w:bookmarkStart w:name="_bookmark16" w:id="17"/>
      <w:bookmarkEnd w:id="17"/>
      <w:r>
        <w:rPr>
          <w:b w:val="0"/>
        </w:rPr>
      </w:r>
      <w:r>
        <w:rPr/>
        <w:t>Impacto</w:t>
      </w:r>
      <w:r>
        <w:rPr>
          <w:spacing w:val="-2"/>
        </w:rPr>
        <w:t> </w:t>
      </w:r>
      <w:r>
        <w:rPr/>
        <w:t>del</w:t>
      </w:r>
      <w:r>
        <w:rPr>
          <w:spacing w:val="-1"/>
        </w:rPr>
        <w:t> </w:t>
      </w:r>
      <w:r>
        <w:rPr/>
        <w:t>descorne</w:t>
      </w:r>
      <w:r>
        <w:rPr>
          <w:spacing w:val="-2"/>
        </w:rPr>
        <w:t> </w:t>
      </w:r>
      <w:r>
        <w:rPr/>
        <w:t>en el</w:t>
      </w:r>
      <w:r>
        <w:rPr>
          <w:spacing w:val="-1"/>
        </w:rPr>
        <w:t> </w:t>
      </w:r>
      <w:r>
        <w:rPr/>
        <w:t>bienestar</w:t>
      </w:r>
      <w:r>
        <w:rPr>
          <w:spacing w:val="-2"/>
        </w:rPr>
        <w:t> </w:t>
      </w:r>
      <w:r>
        <w:rPr/>
        <w:t>de</w:t>
      </w:r>
      <w:r>
        <w:rPr>
          <w:spacing w:val="-5"/>
        </w:rPr>
        <w:t> </w:t>
      </w:r>
      <w:r>
        <w:rPr/>
        <w:t>los</w:t>
      </w:r>
      <w:r>
        <w:rPr>
          <w:spacing w:val="-1"/>
        </w:rPr>
        <w:t> </w:t>
      </w:r>
      <w:r>
        <w:rPr>
          <w:spacing w:val="-2"/>
        </w:rPr>
        <w:t>terneros</w:t>
      </w:r>
    </w:p>
    <w:p>
      <w:pPr>
        <w:pStyle w:val="BodyText"/>
        <w:spacing w:before="103"/>
        <w:ind w:left="0"/>
        <w:rPr>
          <w:b/>
        </w:rPr>
      </w:pPr>
    </w:p>
    <w:p>
      <w:pPr>
        <w:pStyle w:val="BodyText"/>
        <w:spacing w:line="360" w:lineRule="auto"/>
        <w:ind w:right="845"/>
        <w:jc w:val="both"/>
      </w:pPr>
      <w:r>
        <w:rPr/>
        <w:t>El desmoche de los terneros puede desencadenar una serie de respuestas fisiológicas,</w:t>
      </w:r>
      <w:r>
        <w:rPr>
          <w:spacing w:val="-15"/>
        </w:rPr>
        <w:t> </w:t>
      </w:r>
      <w:r>
        <w:rPr/>
        <w:t>neuroendocrinas</w:t>
      </w:r>
      <w:r>
        <w:rPr>
          <w:spacing w:val="-15"/>
        </w:rPr>
        <w:t> </w:t>
      </w:r>
      <w:r>
        <w:rPr/>
        <w:t>y</w:t>
      </w:r>
      <w:r>
        <w:rPr>
          <w:spacing w:val="-15"/>
        </w:rPr>
        <w:t> </w:t>
      </w:r>
      <w:r>
        <w:rPr/>
        <w:t>conductuales</w:t>
      </w:r>
      <w:r>
        <w:rPr>
          <w:spacing w:val="-15"/>
        </w:rPr>
        <w:t> </w:t>
      </w:r>
      <w:r>
        <w:rPr/>
        <w:t>que</w:t>
      </w:r>
      <w:r>
        <w:rPr>
          <w:spacing w:val="-15"/>
        </w:rPr>
        <w:t> </w:t>
      </w:r>
      <w:r>
        <w:rPr/>
        <w:t>indican</w:t>
      </w:r>
      <w:r>
        <w:rPr>
          <w:spacing w:val="-15"/>
        </w:rPr>
        <w:t> </w:t>
      </w:r>
      <w:r>
        <w:rPr/>
        <w:t>dolor</w:t>
      </w:r>
      <w:r>
        <w:rPr>
          <w:spacing w:val="-7"/>
        </w:rPr>
        <w:t> </w:t>
      </w:r>
      <w:r>
        <w:rPr/>
        <w:t>y</w:t>
      </w:r>
      <w:r>
        <w:rPr>
          <w:spacing w:val="-15"/>
        </w:rPr>
        <w:t> </w:t>
      </w:r>
      <w:r>
        <w:rPr/>
        <w:t>angustia.</w:t>
      </w:r>
      <w:r>
        <w:rPr>
          <w:spacing w:val="-10"/>
        </w:rPr>
        <w:t> </w:t>
      </w:r>
      <w:r>
        <w:rPr/>
        <w:t>Después del desmoche, se ha observado un aumento en los niveles de </w:t>
      </w:r>
      <w:r>
        <w:rPr/>
        <w:t>corticosteroides circulantes, como el cortisol, que reflejan cambios en el eje hipotálamo-pituitario-suprarrenal. Estos niveles de cortisol tienden a alcanzar su pico entre 30 y 60 minutos después del procedimiento, y luego regresan a los valores iniciales aproximadamente entre 6 y</w:t>
      </w:r>
      <w:r>
        <w:rPr>
          <w:spacing w:val="-10"/>
        </w:rPr>
        <w:t> </w:t>
      </w:r>
      <w:r>
        <w:rPr/>
        <w:t>8 horas después. Los estudios también han encontrado que el desmoche con hierro caliente o cauterio eléctrico puede aumentar significativamente</w:t>
      </w:r>
      <w:r>
        <w:rPr>
          <w:spacing w:val="-14"/>
        </w:rPr>
        <w:t> </w:t>
      </w:r>
      <w:r>
        <w:rPr/>
        <w:t>las</w:t>
      </w:r>
      <w:r>
        <w:rPr>
          <w:spacing w:val="-15"/>
        </w:rPr>
        <w:t> </w:t>
      </w:r>
      <w:r>
        <w:rPr/>
        <w:t>concentraciones</w:t>
      </w:r>
      <w:r>
        <w:rPr>
          <w:spacing w:val="-14"/>
        </w:rPr>
        <w:t> </w:t>
      </w:r>
      <w:r>
        <w:rPr/>
        <w:t>de</w:t>
      </w:r>
      <w:r>
        <w:rPr>
          <w:spacing w:val="-14"/>
        </w:rPr>
        <w:t> </w:t>
      </w:r>
      <w:r>
        <w:rPr/>
        <w:t>cortisol</w:t>
      </w:r>
      <w:r>
        <w:rPr>
          <w:spacing w:val="-12"/>
        </w:rPr>
        <w:t> </w:t>
      </w:r>
      <w:r>
        <w:rPr/>
        <w:t>en</w:t>
      </w:r>
      <w:r>
        <w:rPr>
          <w:spacing w:val="-15"/>
        </w:rPr>
        <w:t> </w:t>
      </w:r>
      <w:r>
        <w:rPr/>
        <w:t>comparación</w:t>
      </w:r>
      <w:r>
        <w:rPr>
          <w:spacing w:val="-14"/>
        </w:rPr>
        <w:t> </w:t>
      </w:r>
      <w:r>
        <w:rPr/>
        <w:t>con</w:t>
      </w:r>
      <w:r>
        <w:rPr>
          <w:spacing w:val="-15"/>
        </w:rPr>
        <w:t> </w:t>
      </w:r>
      <w:r>
        <w:rPr/>
        <w:t>los</w:t>
      </w:r>
      <w:r>
        <w:rPr>
          <w:spacing w:val="-12"/>
        </w:rPr>
        <w:t> </w:t>
      </w:r>
      <w:r>
        <w:rPr/>
        <w:t>animales que no han sido descornados (Qi </w:t>
      </w:r>
      <w:r>
        <w:rPr>
          <w:i/>
        </w:rPr>
        <w:t>et al</w:t>
      </w:r>
      <w:r>
        <w:rPr/>
        <w:t>., 2023).</w:t>
      </w:r>
    </w:p>
    <w:p>
      <w:pPr>
        <w:pStyle w:val="BodyText"/>
        <w:spacing w:line="360" w:lineRule="auto" w:before="239"/>
        <w:ind w:right="845"/>
        <w:jc w:val="both"/>
      </w:pPr>
      <w:r>
        <w:rPr/>
        <w:t>Además de los cambios hormonales, se observan comportamientos indicativos de dolor</w:t>
      </w:r>
      <w:r>
        <w:rPr>
          <w:spacing w:val="-1"/>
        </w:rPr>
        <w:t> </w:t>
      </w:r>
      <w:r>
        <w:rPr/>
        <w:t>y</w:t>
      </w:r>
      <w:r>
        <w:rPr>
          <w:spacing w:val="-15"/>
        </w:rPr>
        <w:t> </w:t>
      </w:r>
      <w:r>
        <w:rPr/>
        <w:t>malestar</w:t>
      </w:r>
      <w:r>
        <w:rPr>
          <w:spacing w:val="-8"/>
        </w:rPr>
        <w:t> </w:t>
      </w:r>
      <w:r>
        <w:rPr/>
        <w:t>después</w:t>
      </w:r>
      <w:r>
        <w:rPr>
          <w:spacing w:val="-1"/>
        </w:rPr>
        <w:t> </w:t>
      </w:r>
      <w:r>
        <w:rPr/>
        <w:t>del</w:t>
      </w:r>
      <w:r>
        <w:rPr>
          <w:spacing w:val="-5"/>
        </w:rPr>
        <w:t> </w:t>
      </w:r>
      <w:r>
        <w:rPr/>
        <w:t>desmoche,</w:t>
      </w:r>
      <w:r>
        <w:rPr>
          <w:spacing w:val="-5"/>
        </w:rPr>
        <w:t> </w:t>
      </w:r>
      <w:r>
        <w:rPr/>
        <w:t>como</w:t>
      </w:r>
      <w:r>
        <w:rPr>
          <w:spacing w:val="-3"/>
        </w:rPr>
        <w:t> </w:t>
      </w:r>
      <w:r>
        <w:rPr/>
        <w:t>frotarse</w:t>
      </w:r>
      <w:r>
        <w:rPr>
          <w:spacing w:val="-9"/>
        </w:rPr>
        <w:t> </w:t>
      </w:r>
      <w:r>
        <w:rPr/>
        <w:t>la</w:t>
      </w:r>
      <w:r>
        <w:rPr>
          <w:spacing w:val="-7"/>
        </w:rPr>
        <w:t> </w:t>
      </w:r>
      <w:r>
        <w:rPr/>
        <w:t>cabeza,</w:t>
      </w:r>
      <w:r>
        <w:rPr>
          <w:spacing w:val="-5"/>
        </w:rPr>
        <w:t> </w:t>
      </w:r>
      <w:r>
        <w:rPr/>
        <w:t>sacudir</w:t>
      </w:r>
      <w:r>
        <w:rPr>
          <w:spacing w:val="-8"/>
        </w:rPr>
        <w:t> </w:t>
      </w:r>
      <w:r>
        <w:rPr/>
        <w:t>la</w:t>
      </w:r>
      <w:r>
        <w:rPr>
          <w:spacing w:val="-2"/>
        </w:rPr>
        <w:t> </w:t>
      </w:r>
      <w:r>
        <w:rPr/>
        <w:t>cabeza, mover las orejas y la cola, y aumentar el número de transiciones entre acostarse y levantarse. También se ha documentado una reducción en la rumia y en el comportamiento de juego después del desmoche. Estos indicadores sugieren un impacto</w:t>
      </w:r>
      <w:r>
        <w:rPr>
          <w:spacing w:val="-10"/>
        </w:rPr>
        <w:t> </w:t>
      </w:r>
      <w:r>
        <w:rPr/>
        <w:t>negativo</w:t>
      </w:r>
      <w:r>
        <w:rPr>
          <w:spacing w:val="-9"/>
        </w:rPr>
        <w:t> </w:t>
      </w:r>
      <w:r>
        <w:rPr/>
        <w:t>en</w:t>
      </w:r>
      <w:r>
        <w:rPr>
          <w:spacing w:val="-8"/>
        </w:rPr>
        <w:t> </w:t>
      </w:r>
      <w:r>
        <w:rPr/>
        <w:t>el</w:t>
      </w:r>
      <w:r>
        <w:rPr>
          <w:spacing w:val="-10"/>
        </w:rPr>
        <w:t> </w:t>
      </w:r>
      <w:r>
        <w:rPr/>
        <w:t>bienestar</w:t>
      </w:r>
      <w:r>
        <w:rPr>
          <w:spacing w:val="-9"/>
        </w:rPr>
        <w:t> </w:t>
      </w:r>
      <w:r>
        <w:rPr/>
        <w:t>emocional</w:t>
      </w:r>
      <w:r>
        <w:rPr>
          <w:spacing w:val="-9"/>
        </w:rPr>
        <w:t> </w:t>
      </w:r>
      <w:r>
        <w:rPr/>
        <w:t>de</w:t>
      </w:r>
      <w:r>
        <w:rPr>
          <w:spacing w:val="-14"/>
        </w:rPr>
        <w:t> </w:t>
      </w:r>
      <w:r>
        <w:rPr/>
        <w:t>los</w:t>
      </w:r>
      <w:r>
        <w:rPr>
          <w:spacing w:val="-6"/>
        </w:rPr>
        <w:t> </w:t>
      </w:r>
      <w:r>
        <w:rPr/>
        <w:t>terneros</w:t>
      </w:r>
      <w:r>
        <w:rPr>
          <w:spacing w:val="-9"/>
        </w:rPr>
        <w:t> </w:t>
      </w:r>
      <w:r>
        <w:rPr/>
        <w:t>descornados</w:t>
      </w:r>
      <w:r>
        <w:rPr>
          <w:spacing w:val="-9"/>
        </w:rPr>
        <w:t> </w:t>
      </w:r>
      <w:r>
        <w:rPr/>
        <w:t>(Pior</w:t>
      </w:r>
      <w:r>
        <w:rPr>
          <w:spacing w:val="-13"/>
        </w:rPr>
        <w:t> </w:t>
      </w:r>
      <w:r>
        <w:rPr>
          <w:i/>
        </w:rPr>
        <w:t>et</w:t>
      </w:r>
      <w:r>
        <w:rPr>
          <w:i/>
          <w:spacing w:val="-10"/>
        </w:rPr>
        <w:t> </w:t>
      </w:r>
      <w:r>
        <w:rPr>
          <w:i/>
        </w:rPr>
        <w:t>al</w:t>
      </w:r>
      <w:r>
        <w:rPr/>
        <w:t>., </w:t>
      </w:r>
      <w:r>
        <w:rPr>
          <w:spacing w:val="-2"/>
        </w:rPr>
        <w:t>2023).</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46"/>
        <w:jc w:val="both"/>
      </w:pPr>
      <w:r>
        <w:rPr/>
        <w:t>El</w:t>
      </w:r>
      <w:r>
        <w:rPr>
          <w:spacing w:val="-9"/>
        </w:rPr>
        <w:t> </w:t>
      </w:r>
      <w:r>
        <w:rPr/>
        <w:t>desmoche</w:t>
      </w:r>
      <w:r>
        <w:rPr>
          <w:spacing w:val="-12"/>
        </w:rPr>
        <w:t> </w:t>
      </w:r>
      <w:r>
        <w:rPr/>
        <w:t>sin</w:t>
      </w:r>
      <w:r>
        <w:rPr>
          <w:spacing w:val="-9"/>
        </w:rPr>
        <w:t> </w:t>
      </w:r>
      <w:r>
        <w:rPr/>
        <w:t>mitigación</w:t>
      </w:r>
      <w:r>
        <w:rPr>
          <w:spacing w:val="-11"/>
        </w:rPr>
        <w:t> </w:t>
      </w:r>
      <w:r>
        <w:rPr/>
        <w:t>del</w:t>
      </w:r>
      <w:r>
        <w:rPr>
          <w:spacing w:val="-9"/>
        </w:rPr>
        <w:t> </w:t>
      </w:r>
      <w:r>
        <w:rPr/>
        <w:t>dolor</w:t>
      </w:r>
      <w:r>
        <w:rPr>
          <w:spacing w:val="-11"/>
        </w:rPr>
        <w:t> </w:t>
      </w:r>
      <w:r>
        <w:rPr/>
        <w:t>se</w:t>
      </w:r>
      <w:r>
        <w:rPr>
          <w:spacing w:val="-10"/>
        </w:rPr>
        <w:t> </w:t>
      </w:r>
      <w:r>
        <w:rPr/>
        <w:t>considera</w:t>
      </w:r>
      <w:r>
        <w:rPr>
          <w:spacing w:val="-8"/>
        </w:rPr>
        <w:t> </w:t>
      </w:r>
      <w:r>
        <w:rPr/>
        <w:t>una</w:t>
      </w:r>
      <w:r>
        <w:rPr>
          <w:spacing w:val="-13"/>
        </w:rPr>
        <w:t> </w:t>
      </w:r>
      <w:r>
        <w:rPr/>
        <w:t>cuestión</w:t>
      </w:r>
      <w:r>
        <w:rPr>
          <w:spacing w:val="-11"/>
        </w:rPr>
        <w:t> </w:t>
      </w:r>
      <w:r>
        <w:rPr/>
        <w:t>de</w:t>
      </w:r>
      <w:r>
        <w:rPr>
          <w:spacing w:val="-13"/>
        </w:rPr>
        <w:t> </w:t>
      </w:r>
      <w:r>
        <w:rPr/>
        <w:t>bienestar</w:t>
      </w:r>
      <w:r>
        <w:rPr>
          <w:spacing w:val="-8"/>
        </w:rPr>
        <w:t> </w:t>
      </w:r>
      <w:r>
        <w:rPr/>
        <w:t>animal significativa. La administración de anestésicos locales ha demostrado reducir la respuesta al dolor inmediatamente después del procedimiento. Además, se ha observado que el uso de un fármaco antiinflamatorio no esteroideo (AINE) en combinación con anestesia local es ventajoso para reducir el cortisol plasmático y las</w:t>
      </w:r>
      <w:r>
        <w:rPr>
          <w:spacing w:val="-10"/>
        </w:rPr>
        <w:t> </w:t>
      </w:r>
      <w:r>
        <w:rPr/>
        <w:t>conductas</w:t>
      </w:r>
      <w:r>
        <w:rPr>
          <w:spacing w:val="-8"/>
        </w:rPr>
        <w:t> </w:t>
      </w:r>
      <w:r>
        <w:rPr/>
        <w:t>de</w:t>
      </w:r>
      <w:r>
        <w:rPr>
          <w:spacing w:val="-8"/>
        </w:rPr>
        <w:t> </w:t>
      </w:r>
      <w:r>
        <w:rPr/>
        <w:t>dolor</w:t>
      </w:r>
      <w:r>
        <w:rPr>
          <w:spacing w:val="-7"/>
        </w:rPr>
        <w:t> </w:t>
      </w:r>
      <w:r>
        <w:rPr/>
        <w:t>a</w:t>
      </w:r>
      <w:r>
        <w:rPr>
          <w:spacing w:val="-8"/>
        </w:rPr>
        <w:t> </w:t>
      </w:r>
      <w:r>
        <w:rPr/>
        <w:t>largo</w:t>
      </w:r>
      <w:r>
        <w:rPr>
          <w:spacing w:val="-7"/>
        </w:rPr>
        <w:t> </w:t>
      </w:r>
      <w:r>
        <w:rPr/>
        <w:t>plazo.</w:t>
      </w:r>
      <w:r>
        <w:rPr>
          <w:spacing w:val="-7"/>
        </w:rPr>
        <w:t> </w:t>
      </w:r>
      <w:r>
        <w:rPr/>
        <w:t>Por</w:t>
      </w:r>
      <w:r>
        <w:rPr>
          <w:spacing w:val="-10"/>
        </w:rPr>
        <w:t> </w:t>
      </w:r>
      <w:r>
        <w:rPr/>
        <w:t>lo</w:t>
      </w:r>
      <w:r>
        <w:rPr>
          <w:spacing w:val="-10"/>
        </w:rPr>
        <w:t> </w:t>
      </w:r>
      <w:r>
        <w:rPr/>
        <w:t>tanto,</w:t>
      </w:r>
      <w:r>
        <w:rPr>
          <w:spacing w:val="-7"/>
        </w:rPr>
        <w:t> </w:t>
      </w:r>
      <w:r>
        <w:rPr/>
        <w:t>la</w:t>
      </w:r>
      <w:r>
        <w:rPr>
          <w:spacing w:val="-11"/>
        </w:rPr>
        <w:t> </w:t>
      </w:r>
      <w:r>
        <w:rPr/>
        <w:t>combinación</w:t>
      </w:r>
      <w:r>
        <w:rPr>
          <w:spacing w:val="-6"/>
        </w:rPr>
        <w:t> </w:t>
      </w:r>
      <w:r>
        <w:rPr/>
        <w:t>de</w:t>
      </w:r>
      <w:r>
        <w:rPr>
          <w:spacing w:val="-8"/>
        </w:rPr>
        <w:t> </w:t>
      </w:r>
      <w:r>
        <w:rPr/>
        <w:t>anestesia</w:t>
      </w:r>
      <w:r>
        <w:rPr>
          <w:spacing w:val="-10"/>
        </w:rPr>
        <w:t> </w:t>
      </w:r>
      <w:r>
        <w:rPr/>
        <w:t>local y AINE se considera la mejor práctica para mitigar el dolor durante el desmoche (Mills </w:t>
      </w:r>
      <w:r>
        <w:rPr>
          <w:i/>
        </w:rPr>
        <w:t>et al</w:t>
      </w:r>
      <w:r>
        <w:rPr/>
        <w:t>., 2020).</w:t>
      </w:r>
    </w:p>
    <w:p>
      <w:pPr>
        <w:pStyle w:val="BodyText"/>
        <w:spacing w:line="360" w:lineRule="auto" w:before="241"/>
        <w:ind w:right="846"/>
        <w:jc w:val="both"/>
      </w:pPr>
      <w:r>
        <w:rPr/>
        <w:t>A</w:t>
      </w:r>
      <w:r>
        <w:rPr>
          <w:spacing w:val="-2"/>
        </w:rPr>
        <w:t> </w:t>
      </w:r>
      <w:r>
        <w:rPr/>
        <w:t>largo plazo, la selección genética de ganado sin cuernos podría</w:t>
      </w:r>
      <w:r>
        <w:rPr>
          <w:spacing w:val="-2"/>
        </w:rPr>
        <w:t> </w:t>
      </w:r>
      <w:r>
        <w:rPr/>
        <w:t>ser</w:t>
      </w:r>
      <w:r>
        <w:rPr>
          <w:spacing w:val="-2"/>
        </w:rPr>
        <w:t> </w:t>
      </w:r>
      <w:r>
        <w:rPr/>
        <w:t>una solución para reducir la necesidad de desmoche. Sin embargo, a pesar de la disponibilidad de razas sin cuernos, el desmoche todavía se lleva a cabo en muchas granjas de vacuno en Europa, lo que destaca la importancia continua de abordar el bienestar de los animales durante este procedimiento (Martins &amp; Stilwell, 2024)</w:t>
      </w:r>
    </w:p>
    <w:p>
      <w:pPr>
        <w:pStyle w:val="BodyText"/>
        <w:spacing w:line="360" w:lineRule="auto" w:before="239"/>
        <w:ind w:right="850"/>
        <w:jc w:val="both"/>
      </w:pPr>
      <w:r>
        <w:rPr/>
        <w:t>El dolor experimentado durante el desmoche se compone de al menos tres modalidades diferentes:</w:t>
      </w:r>
    </w:p>
    <w:p>
      <w:pPr>
        <w:pStyle w:val="ListParagraph"/>
        <w:numPr>
          <w:ilvl w:val="0"/>
          <w:numId w:val="11"/>
        </w:numPr>
        <w:tabs>
          <w:tab w:pos="1854" w:val="left" w:leader="none"/>
        </w:tabs>
        <w:spacing w:line="355" w:lineRule="auto" w:before="243" w:after="0"/>
        <w:ind w:left="1135" w:right="850" w:firstLine="0"/>
        <w:jc w:val="both"/>
        <w:rPr>
          <w:sz w:val="24"/>
        </w:rPr>
      </w:pPr>
      <w:r>
        <w:rPr>
          <w:sz w:val="24"/>
        </w:rPr>
        <w:t>Dolor nociceptivo agudo: Este tipo de dolor se produce como respuesta directa al daño tisular causado durante el procedimiento de desmoche. Es una respuesta inmediata al daño en los tejidos y puede ser de intensidad variable.</w:t>
      </w:r>
    </w:p>
    <w:p>
      <w:pPr>
        <w:pStyle w:val="ListParagraph"/>
        <w:numPr>
          <w:ilvl w:val="0"/>
          <w:numId w:val="11"/>
        </w:numPr>
        <w:tabs>
          <w:tab w:pos="1854" w:val="left" w:leader="none"/>
        </w:tabs>
        <w:spacing w:line="355" w:lineRule="auto" w:before="248" w:after="0"/>
        <w:ind w:left="1135" w:right="847" w:firstLine="0"/>
        <w:jc w:val="both"/>
        <w:rPr>
          <w:sz w:val="24"/>
        </w:rPr>
      </w:pPr>
      <w:r>
        <w:rPr>
          <w:sz w:val="24"/>
        </w:rPr>
        <w:t>Dolor inflamatorio: Después del desmoche, puede persistir un dolor inflamatorio durante días o semanas mientras se resuelve el daño tisular. Este tipo de dolor está asociado con la respuesta inflamatoria del cuerpo a la lesión y puede ser prolongado en el tiempo (Saraceni </w:t>
      </w:r>
      <w:r>
        <w:rPr>
          <w:i/>
          <w:sz w:val="24"/>
        </w:rPr>
        <w:t>et al</w:t>
      </w:r>
      <w:r>
        <w:rPr>
          <w:sz w:val="24"/>
        </w:rPr>
        <w:t>., 2022).</w:t>
      </w:r>
    </w:p>
    <w:p>
      <w:pPr>
        <w:pStyle w:val="ListParagraph"/>
        <w:numPr>
          <w:ilvl w:val="0"/>
          <w:numId w:val="11"/>
        </w:numPr>
        <w:tabs>
          <w:tab w:pos="1854" w:val="left" w:leader="none"/>
        </w:tabs>
        <w:spacing w:line="355" w:lineRule="auto" w:before="253" w:after="0"/>
        <w:ind w:left="1135" w:right="849" w:firstLine="0"/>
        <w:jc w:val="both"/>
        <w:rPr>
          <w:sz w:val="24"/>
        </w:rPr>
      </w:pPr>
      <w:r>
        <w:rPr>
          <w:sz w:val="24"/>
        </w:rPr>
        <w:t>Dolor neuropático: Este tipo de dolor ocurre cuando el sistema nervioso somatosensorial se daña durante el desmoche. Es una forma de dolor crónico que puede persistir incluso después de que se haya resuelto el daño tisular inicial (Pandey </w:t>
      </w:r>
      <w:r>
        <w:rPr>
          <w:i/>
          <w:sz w:val="24"/>
        </w:rPr>
        <w:t>et al</w:t>
      </w:r>
      <w:r>
        <w:rPr>
          <w:sz w:val="24"/>
        </w:rPr>
        <w:t>., 2023).</w:t>
      </w:r>
    </w:p>
    <w:p>
      <w:pPr>
        <w:pStyle w:val="BodyText"/>
        <w:spacing w:line="360" w:lineRule="auto" w:before="250"/>
        <w:ind w:right="847"/>
        <w:jc w:val="both"/>
      </w:pPr>
      <w:r>
        <w:rPr/>
        <w:t>El</w:t>
      </w:r>
      <w:r>
        <w:rPr>
          <w:spacing w:val="-15"/>
        </w:rPr>
        <w:t> </w:t>
      </w:r>
      <w:r>
        <w:rPr/>
        <w:t>tratamiento</w:t>
      </w:r>
      <w:r>
        <w:rPr>
          <w:spacing w:val="-15"/>
        </w:rPr>
        <w:t> </w:t>
      </w:r>
      <w:r>
        <w:rPr/>
        <w:t>efectivo</w:t>
      </w:r>
      <w:r>
        <w:rPr>
          <w:spacing w:val="-15"/>
        </w:rPr>
        <w:t> </w:t>
      </w:r>
      <w:r>
        <w:rPr/>
        <w:t>del</w:t>
      </w:r>
      <w:r>
        <w:rPr>
          <w:spacing w:val="-15"/>
        </w:rPr>
        <w:t> </w:t>
      </w:r>
      <w:r>
        <w:rPr/>
        <w:t>dolor</w:t>
      </w:r>
      <w:r>
        <w:rPr>
          <w:spacing w:val="-15"/>
        </w:rPr>
        <w:t> </w:t>
      </w:r>
      <w:r>
        <w:rPr/>
        <w:t>durante</w:t>
      </w:r>
      <w:r>
        <w:rPr>
          <w:spacing w:val="-15"/>
        </w:rPr>
        <w:t> </w:t>
      </w:r>
      <w:r>
        <w:rPr/>
        <w:t>el</w:t>
      </w:r>
      <w:r>
        <w:rPr>
          <w:spacing w:val="-15"/>
        </w:rPr>
        <w:t> </w:t>
      </w:r>
      <w:r>
        <w:rPr/>
        <w:t>desmoche</w:t>
      </w:r>
      <w:r>
        <w:rPr>
          <w:spacing w:val="-15"/>
        </w:rPr>
        <w:t> </w:t>
      </w:r>
      <w:r>
        <w:rPr/>
        <w:t>debe</w:t>
      </w:r>
      <w:r>
        <w:rPr>
          <w:spacing w:val="-15"/>
        </w:rPr>
        <w:t> </w:t>
      </w:r>
      <w:r>
        <w:rPr/>
        <w:t>ser</w:t>
      </w:r>
      <w:r>
        <w:rPr>
          <w:spacing w:val="-15"/>
        </w:rPr>
        <w:t> </w:t>
      </w:r>
      <w:r>
        <w:rPr/>
        <w:t>multimodal,</w:t>
      </w:r>
      <w:r>
        <w:rPr>
          <w:spacing w:val="-15"/>
        </w:rPr>
        <w:t> </w:t>
      </w:r>
      <w:r>
        <w:rPr/>
        <w:t>es</w:t>
      </w:r>
      <w:r>
        <w:rPr>
          <w:spacing w:val="-15"/>
        </w:rPr>
        <w:t> </w:t>
      </w:r>
      <w:r>
        <w:rPr/>
        <w:t>decir, debe abordar cada una de estas modalidades de dolor. La analgesia multimodal implica</w:t>
      </w:r>
      <w:r>
        <w:rPr>
          <w:spacing w:val="44"/>
        </w:rPr>
        <w:t> </w:t>
      </w:r>
      <w:r>
        <w:rPr/>
        <w:t>el</w:t>
      </w:r>
      <w:r>
        <w:rPr>
          <w:spacing w:val="45"/>
        </w:rPr>
        <w:t> </w:t>
      </w:r>
      <w:r>
        <w:rPr/>
        <w:t>uso</w:t>
      </w:r>
      <w:r>
        <w:rPr>
          <w:spacing w:val="45"/>
        </w:rPr>
        <w:t> </w:t>
      </w:r>
      <w:r>
        <w:rPr/>
        <w:t>de</w:t>
      </w:r>
      <w:r>
        <w:rPr>
          <w:spacing w:val="44"/>
        </w:rPr>
        <w:t> </w:t>
      </w:r>
      <w:r>
        <w:rPr/>
        <w:t>diferentes</w:t>
      </w:r>
      <w:r>
        <w:rPr>
          <w:spacing w:val="45"/>
        </w:rPr>
        <w:t> </w:t>
      </w:r>
      <w:r>
        <w:rPr/>
        <w:t>fármacos</w:t>
      </w:r>
      <w:r>
        <w:rPr>
          <w:spacing w:val="47"/>
        </w:rPr>
        <w:t> </w:t>
      </w:r>
      <w:r>
        <w:rPr/>
        <w:t>o</w:t>
      </w:r>
      <w:r>
        <w:rPr>
          <w:spacing w:val="45"/>
        </w:rPr>
        <w:t> </w:t>
      </w:r>
      <w:r>
        <w:rPr/>
        <w:t>técnicas</w:t>
      </w:r>
      <w:r>
        <w:rPr>
          <w:spacing w:val="45"/>
        </w:rPr>
        <w:t> </w:t>
      </w:r>
      <w:r>
        <w:rPr/>
        <w:t>analgésicas</w:t>
      </w:r>
      <w:r>
        <w:rPr>
          <w:spacing w:val="45"/>
        </w:rPr>
        <w:t> </w:t>
      </w:r>
      <w:r>
        <w:rPr/>
        <w:t>que</w:t>
      </w:r>
      <w:r>
        <w:rPr>
          <w:spacing w:val="46"/>
        </w:rPr>
        <w:t> </w:t>
      </w:r>
      <w:r>
        <w:rPr/>
        <w:t>actúan</w:t>
      </w:r>
      <w:r>
        <w:rPr>
          <w:spacing w:val="45"/>
        </w:rPr>
        <w:t> </w:t>
      </w:r>
      <w:r>
        <w:rPr>
          <w:spacing w:val="-2"/>
        </w:rPr>
        <w:t>sobre</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44"/>
        <w:jc w:val="both"/>
      </w:pPr>
      <w:r>
        <w:rPr/>
        <w:t>distintas vías o mecanismos subyacentes del dolor. Esto puede incluir la combinación</w:t>
      </w:r>
      <w:r>
        <w:rPr>
          <w:spacing w:val="-8"/>
        </w:rPr>
        <w:t> </w:t>
      </w:r>
      <w:r>
        <w:rPr/>
        <w:t>de</w:t>
      </w:r>
      <w:r>
        <w:rPr>
          <w:spacing w:val="-10"/>
        </w:rPr>
        <w:t> </w:t>
      </w:r>
      <w:r>
        <w:rPr/>
        <w:t>opioides</w:t>
      </w:r>
      <w:r>
        <w:rPr>
          <w:spacing w:val="-6"/>
        </w:rPr>
        <w:t> </w:t>
      </w:r>
      <w:r>
        <w:rPr/>
        <w:t>para</w:t>
      </w:r>
      <w:r>
        <w:rPr>
          <w:spacing w:val="-11"/>
        </w:rPr>
        <w:t> </w:t>
      </w:r>
      <w:r>
        <w:rPr/>
        <w:t>el</w:t>
      </w:r>
      <w:r>
        <w:rPr>
          <w:spacing w:val="-6"/>
        </w:rPr>
        <w:t> </w:t>
      </w:r>
      <w:r>
        <w:rPr/>
        <w:t>control</w:t>
      </w:r>
      <w:r>
        <w:rPr>
          <w:spacing w:val="-9"/>
        </w:rPr>
        <w:t> </w:t>
      </w:r>
      <w:r>
        <w:rPr/>
        <w:t>del</w:t>
      </w:r>
      <w:r>
        <w:rPr>
          <w:spacing w:val="-9"/>
        </w:rPr>
        <w:t> </w:t>
      </w:r>
      <w:r>
        <w:rPr/>
        <w:t>dolor</w:t>
      </w:r>
      <w:r>
        <w:rPr>
          <w:spacing w:val="-9"/>
        </w:rPr>
        <w:t> </w:t>
      </w:r>
      <w:r>
        <w:rPr/>
        <w:t>central,</w:t>
      </w:r>
      <w:r>
        <w:rPr>
          <w:spacing w:val="-8"/>
        </w:rPr>
        <w:t> </w:t>
      </w:r>
      <w:r>
        <w:rPr/>
        <w:t>bloqueos</w:t>
      </w:r>
      <w:r>
        <w:rPr>
          <w:spacing w:val="-9"/>
        </w:rPr>
        <w:t> </w:t>
      </w:r>
      <w:r>
        <w:rPr/>
        <w:t>regionales</w:t>
      </w:r>
      <w:r>
        <w:rPr>
          <w:spacing w:val="-8"/>
        </w:rPr>
        <w:t> </w:t>
      </w:r>
      <w:r>
        <w:rPr/>
        <w:t>para atenuar las señales relacionadas con el dolor en el sistema nervioso central y antiinflamatorios no esteroideos (AINE) para inhibir el dolor en la periferia y reducir la respuesta inflamatoria (Martin </w:t>
      </w:r>
      <w:r>
        <w:rPr>
          <w:i/>
        </w:rPr>
        <w:t>et al</w:t>
      </w:r>
      <w:r>
        <w:rPr/>
        <w:t>., 2022).</w:t>
      </w:r>
    </w:p>
    <w:p>
      <w:pPr>
        <w:pStyle w:val="BodyText"/>
        <w:spacing w:line="360" w:lineRule="auto" w:before="239"/>
        <w:ind w:right="845"/>
        <w:jc w:val="both"/>
      </w:pPr>
      <w:r>
        <w:rPr/>
        <w:t>Es importante tener en cuenta que el término "analgesia multimodal" puede ser utilizado de manera variable y puede referirse a diferentes combinaciones de fármacos</w:t>
      </w:r>
      <w:r>
        <w:rPr>
          <w:spacing w:val="-15"/>
        </w:rPr>
        <w:t> </w:t>
      </w:r>
      <w:r>
        <w:rPr/>
        <w:t>analgésicos</w:t>
      </w:r>
      <w:r>
        <w:rPr>
          <w:spacing w:val="-15"/>
        </w:rPr>
        <w:t> </w:t>
      </w:r>
      <w:r>
        <w:rPr/>
        <w:t>dependiendo</w:t>
      </w:r>
      <w:r>
        <w:rPr>
          <w:spacing w:val="-15"/>
        </w:rPr>
        <w:t> </w:t>
      </w:r>
      <w:r>
        <w:rPr/>
        <w:t>del</w:t>
      </w:r>
      <w:r>
        <w:rPr>
          <w:spacing w:val="-15"/>
        </w:rPr>
        <w:t> </w:t>
      </w:r>
      <w:r>
        <w:rPr/>
        <w:t>contexto</w:t>
      </w:r>
      <w:r>
        <w:rPr>
          <w:spacing w:val="-11"/>
        </w:rPr>
        <w:t> </w:t>
      </w:r>
      <w:r>
        <w:rPr/>
        <w:t>y</w:t>
      </w:r>
      <w:r>
        <w:rPr>
          <w:spacing w:val="-15"/>
        </w:rPr>
        <w:t> </w:t>
      </w:r>
      <w:r>
        <w:rPr/>
        <w:t>de</w:t>
      </w:r>
      <w:r>
        <w:rPr>
          <w:spacing w:val="-15"/>
        </w:rPr>
        <w:t> </w:t>
      </w:r>
      <w:r>
        <w:rPr/>
        <w:t>las</w:t>
      </w:r>
      <w:r>
        <w:rPr>
          <w:spacing w:val="-14"/>
        </w:rPr>
        <w:t> </w:t>
      </w:r>
      <w:r>
        <w:rPr/>
        <w:t>necesidades</w:t>
      </w:r>
      <w:r>
        <w:rPr>
          <w:spacing w:val="-13"/>
        </w:rPr>
        <w:t> </w:t>
      </w:r>
      <w:r>
        <w:rPr/>
        <w:t>específicas</w:t>
      </w:r>
      <w:r>
        <w:rPr>
          <w:spacing w:val="-13"/>
        </w:rPr>
        <w:t> </w:t>
      </w:r>
      <w:r>
        <w:rPr/>
        <w:t>del paciente.</w:t>
      </w:r>
      <w:r>
        <w:rPr>
          <w:spacing w:val="-11"/>
        </w:rPr>
        <w:t> </w:t>
      </w:r>
      <w:r>
        <w:rPr/>
        <w:t>Sin</w:t>
      </w:r>
      <w:r>
        <w:rPr>
          <w:spacing w:val="-10"/>
        </w:rPr>
        <w:t> </w:t>
      </w:r>
      <w:r>
        <w:rPr/>
        <w:t>embargo,</w:t>
      </w:r>
      <w:r>
        <w:rPr>
          <w:spacing w:val="-7"/>
        </w:rPr>
        <w:t> </w:t>
      </w:r>
      <w:r>
        <w:rPr/>
        <w:t>en</w:t>
      </w:r>
      <w:r>
        <w:rPr>
          <w:spacing w:val="-14"/>
        </w:rPr>
        <w:t> </w:t>
      </w:r>
      <w:r>
        <w:rPr/>
        <w:t>el</w:t>
      </w:r>
      <w:r>
        <w:rPr>
          <w:spacing w:val="-9"/>
        </w:rPr>
        <w:t> </w:t>
      </w:r>
      <w:r>
        <w:rPr/>
        <w:t>caso</w:t>
      </w:r>
      <w:r>
        <w:rPr>
          <w:spacing w:val="-9"/>
        </w:rPr>
        <w:t> </w:t>
      </w:r>
      <w:r>
        <w:rPr/>
        <w:t>del</w:t>
      </w:r>
      <w:r>
        <w:rPr>
          <w:spacing w:val="-11"/>
        </w:rPr>
        <w:t> </w:t>
      </w:r>
      <w:r>
        <w:rPr/>
        <w:t>desmoche</w:t>
      </w:r>
      <w:r>
        <w:rPr>
          <w:spacing w:val="-3"/>
        </w:rPr>
        <w:t> </w:t>
      </w:r>
      <w:r>
        <w:rPr/>
        <w:t>y</w:t>
      </w:r>
      <w:r>
        <w:rPr>
          <w:spacing w:val="-15"/>
        </w:rPr>
        <w:t> </w:t>
      </w:r>
      <w:r>
        <w:rPr/>
        <w:t>otras</w:t>
      </w:r>
      <w:r>
        <w:rPr>
          <w:spacing w:val="-11"/>
        </w:rPr>
        <w:t> </w:t>
      </w:r>
      <w:r>
        <w:rPr/>
        <w:t>intervenciones</w:t>
      </w:r>
      <w:r>
        <w:rPr>
          <w:spacing w:val="-11"/>
        </w:rPr>
        <w:t> </w:t>
      </w:r>
      <w:r>
        <w:rPr/>
        <w:t>dolorosas</w:t>
      </w:r>
      <w:r>
        <w:rPr>
          <w:spacing w:val="-11"/>
        </w:rPr>
        <w:t> </w:t>
      </w:r>
      <w:r>
        <w:rPr/>
        <w:t>en animales, la analgesia multimodal busca cubrir todas las modalidades de dolor involucradas</w:t>
      </w:r>
      <w:r>
        <w:rPr>
          <w:spacing w:val="-1"/>
        </w:rPr>
        <w:t> </w:t>
      </w:r>
      <w:r>
        <w:rPr/>
        <w:t>para</w:t>
      </w:r>
      <w:r>
        <w:rPr>
          <w:spacing w:val="-5"/>
        </w:rPr>
        <w:t> </w:t>
      </w:r>
      <w:r>
        <w:rPr/>
        <w:t>proporcionar</w:t>
      </w:r>
      <w:r>
        <w:rPr>
          <w:spacing w:val="-5"/>
        </w:rPr>
        <w:t> </w:t>
      </w:r>
      <w:r>
        <w:rPr/>
        <w:t>un</w:t>
      </w:r>
      <w:r>
        <w:rPr>
          <w:spacing w:val="-2"/>
        </w:rPr>
        <w:t> </w:t>
      </w:r>
      <w:r>
        <w:rPr/>
        <w:t>alivio</w:t>
      </w:r>
      <w:r>
        <w:rPr>
          <w:spacing w:val="-1"/>
        </w:rPr>
        <w:t> </w:t>
      </w:r>
      <w:r>
        <w:rPr/>
        <w:t>efectivo y</w:t>
      </w:r>
      <w:r>
        <w:rPr>
          <w:spacing w:val="-9"/>
        </w:rPr>
        <w:t> </w:t>
      </w:r>
      <w:r>
        <w:rPr/>
        <w:t>completo del</w:t>
      </w:r>
      <w:r>
        <w:rPr>
          <w:spacing w:val="-2"/>
        </w:rPr>
        <w:t> </w:t>
      </w:r>
      <w:r>
        <w:rPr/>
        <w:t>dolor (Marquette </w:t>
      </w:r>
      <w:r>
        <w:rPr>
          <w:i/>
        </w:rPr>
        <w:t>et al</w:t>
      </w:r>
      <w:r>
        <w:rPr/>
        <w:t>., 2022).</w:t>
      </w:r>
    </w:p>
    <w:p>
      <w:pPr>
        <w:pStyle w:val="Heading2"/>
        <w:numPr>
          <w:ilvl w:val="2"/>
          <w:numId w:val="9"/>
        </w:numPr>
        <w:tabs>
          <w:tab w:pos="2412" w:val="left" w:leader="none"/>
        </w:tabs>
        <w:spacing w:line="240" w:lineRule="auto" w:before="242" w:after="0"/>
        <w:ind w:left="2412" w:right="0" w:hanging="1277"/>
        <w:jc w:val="left"/>
      </w:pPr>
      <w:bookmarkStart w:name="_bookmark17" w:id="18"/>
      <w:bookmarkEnd w:id="18"/>
      <w:r>
        <w:rPr>
          <w:b w:val="0"/>
        </w:rPr>
      </w:r>
      <w:r>
        <w:rPr/>
        <w:t>Impacto</w:t>
      </w:r>
      <w:r>
        <w:rPr>
          <w:spacing w:val="-3"/>
        </w:rPr>
        <w:t> </w:t>
      </w:r>
      <w:r>
        <w:rPr/>
        <w:t>sobre</w:t>
      </w:r>
      <w:r>
        <w:rPr>
          <w:spacing w:val="-5"/>
        </w:rPr>
        <w:t> </w:t>
      </w:r>
      <w:r>
        <w:rPr>
          <w:spacing w:val="-2"/>
        </w:rPr>
        <w:t>comportamiento</w:t>
      </w:r>
    </w:p>
    <w:p>
      <w:pPr>
        <w:pStyle w:val="BodyText"/>
        <w:spacing w:before="101"/>
        <w:ind w:left="0"/>
        <w:rPr>
          <w:b/>
        </w:rPr>
      </w:pPr>
    </w:p>
    <w:p>
      <w:pPr>
        <w:pStyle w:val="BodyText"/>
        <w:spacing w:line="360" w:lineRule="auto"/>
        <w:ind w:right="844"/>
        <w:jc w:val="both"/>
      </w:pPr>
      <w:r>
        <w:rPr/>
        <w:t>El</w:t>
      </w:r>
      <w:r>
        <w:rPr>
          <w:spacing w:val="-15"/>
        </w:rPr>
        <w:t> </w:t>
      </w:r>
      <w:r>
        <w:rPr/>
        <w:t>comportamiento</w:t>
      </w:r>
      <w:r>
        <w:rPr>
          <w:spacing w:val="-15"/>
        </w:rPr>
        <w:t> </w:t>
      </w:r>
      <w:r>
        <w:rPr/>
        <w:t>de</w:t>
      </w:r>
      <w:r>
        <w:rPr>
          <w:spacing w:val="-15"/>
        </w:rPr>
        <w:t> </w:t>
      </w:r>
      <w:r>
        <w:rPr/>
        <w:t>los</w:t>
      </w:r>
      <w:r>
        <w:rPr>
          <w:spacing w:val="-15"/>
        </w:rPr>
        <w:t> </w:t>
      </w:r>
      <w:r>
        <w:rPr/>
        <w:t>animales</w:t>
      </w:r>
      <w:r>
        <w:rPr>
          <w:spacing w:val="-15"/>
        </w:rPr>
        <w:t> </w:t>
      </w:r>
      <w:r>
        <w:rPr/>
        <w:t>de</w:t>
      </w:r>
      <w:r>
        <w:rPr>
          <w:spacing w:val="-15"/>
        </w:rPr>
        <w:t> </w:t>
      </w:r>
      <w:r>
        <w:rPr/>
        <w:t>granja,</w:t>
      </w:r>
      <w:r>
        <w:rPr>
          <w:spacing w:val="-15"/>
        </w:rPr>
        <w:t> </w:t>
      </w:r>
      <w:r>
        <w:rPr/>
        <w:t>incluidos</w:t>
      </w:r>
      <w:r>
        <w:rPr>
          <w:spacing w:val="-15"/>
        </w:rPr>
        <w:t> </w:t>
      </w:r>
      <w:r>
        <w:rPr/>
        <w:t>los</w:t>
      </w:r>
      <w:r>
        <w:rPr>
          <w:spacing w:val="-15"/>
        </w:rPr>
        <w:t> </w:t>
      </w:r>
      <w:r>
        <w:rPr/>
        <w:t>terneros,</w:t>
      </w:r>
      <w:r>
        <w:rPr>
          <w:spacing w:val="-15"/>
        </w:rPr>
        <w:t> </w:t>
      </w:r>
      <w:r>
        <w:rPr/>
        <w:t>es</w:t>
      </w:r>
      <w:r>
        <w:rPr>
          <w:spacing w:val="-15"/>
        </w:rPr>
        <w:t> </w:t>
      </w:r>
      <w:r>
        <w:rPr/>
        <w:t>un</w:t>
      </w:r>
      <w:r>
        <w:rPr>
          <w:spacing w:val="-15"/>
        </w:rPr>
        <w:t> </w:t>
      </w:r>
      <w:r>
        <w:rPr/>
        <w:t>indicador </w:t>
      </w:r>
      <w:r>
        <w:rPr>
          <w:spacing w:val="-2"/>
        </w:rPr>
        <w:t>crucial de</w:t>
      </w:r>
      <w:r>
        <w:rPr>
          <w:spacing w:val="-6"/>
        </w:rPr>
        <w:t> </w:t>
      </w:r>
      <w:r>
        <w:rPr>
          <w:spacing w:val="-2"/>
        </w:rPr>
        <w:t>su bienestar. Las</w:t>
      </w:r>
      <w:r>
        <w:rPr>
          <w:spacing w:val="-4"/>
        </w:rPr>
        <w:t> </w:t>
      </w:r>
      <w:r>
        <w:rPr>
          <w:spacing w:val="-2"/>
        </w:rPr>
        <w:t>observaciones</w:t>
      </w:r>
      <w:r>
        <w:rPr>
          <w:spacing w:val="-4"/>
        </w:rPr>
        <w:t> </w:t>
      </w:r>
      <w:r>
        <w:rPr>
          <w:spacing w:val="-2"/>
        </w:rPr>
        <w:t>del comportamiento pueden</w:t>
      </w:r>
      <w:r>
        <w:rPr>
          <w:spacing w:val="-5"/>
        </w:rPr>
        <w:t> </w:t>
      </w:r>
      <w:r>
        <w:rPr>
          <w:spacing w:val="-2"/>
        </w:rPr>
        <w:t>proporcionar </w:t>
      </w:r>
      <w:r>
        <w:rPr/>
        <w:t>información valiosa sobre el estado emocional, el nivel de estrés y el grado de confort de los animales. Los cambios en el comportamiento pueden indicar situaciones de malestar, dolor o incomodidad (Roche </w:t>
      </w:r>
      <w:r>
        <w:rPr>
          <w:i/>
        </w:rPr>
        <w:t>et al</w:t>
      </w:r>
      <w:r>
        <w:rPr/>
        <w:t>., 2023).</w:t>
      </w:r>
    </w:p>
    <w:p>
      <w:pPr>
        <w:pStyle w:val="BodyText"/>
        <w:spacing w:line="360" w:lineRule="auto" w:before="240"/>
        <w:ind w:right="848"/>
        <w:jc w:val="both"/>
      </w:pPr>
      <w:r>
        <w:rPr/>
        <w:t>Una manera practica y estandarizada es evaluar las conductas de respuesta inmediata</w:t>
      </w:r>
      <w:r>
        <w:rPr>
          <w:spacing w:val="-15"/>
        </w:rPr>
        <w:t> </w:t>
      </w:r>
      <w:r>
        <w:rPr/>
        <w:t>en</w:t>
      </w:r>
      <w:r>
        <w:rPr>
          <w:spacing w:val="-15"/>
        </w:rPr>
        <w:t> </w:t>
      </w:r>
      <w:r>
        <w:rPr/>
        <w:t>los</w:t>
      </w:r>
      <w:r>
        <w:rPr>
          <w:spacing w:val="-15"/>
        </w:rPr>
        <w:t> </w:t>
      </w:r>
      <w:r>
        <w:rPr/>
        <w:t>terneros,</w:t>
      </w:r>
      <w:r>
        <w:rPr>
          <w:spacing w:val="-15"/>
        </w:rPr>
        <w:t> </w:t>
      </w:r>
      <w:r>
        <w:rPr/>
        <w:t>como</w:t>
      </w:r>
      <w:r>
        <w:rPr>
          <w:spacing w:val="-15"/>
        </w:rPr>
        <w:t> </w:t>
      </w:r>
      <w:r>
        <w:rPr/>
        <w:t>vocalizaciones,</w:t>
      </w:r>
      <w:r>
        <w:rPr>
          <w:spacing w:val="-14"/>
        </w:rPr>
        <w:t> </w:t>
      </w:r>
      <w:r>
        <w:rPr/>
        <w:t>patadas</w:t>
      </w:r>
      <w:r>
        <w:rPr>
          <w:spacing w:val="-8"/>
        </w:rPr>
        <w:t> </w:t>
      </w:r>
      <w:r>
        <w:rPr/>
        <w:t>y</w:t>
      </w:r>
      <w:r>
        <w:rPr>
          <w:spacing w:val="-15"/>
        </w:rPr>
        <w:t> </w:t>
      </w:r>
      <w:r>
        <w:rPr/>
        <w:t>caídas,</w:t>
      </w:r>
      <w:r>
        <w:rPr>
          <w:spacing w:val="-11"/>
        </w:rPr>
        <w:t> </w:t>
      </w:r>
      <w:r>
        <w:rPr/>
        <w:t>como</w:t>
      </w:r>
      <w:r>
        <w:rPr>
          <w:spacing w:val="-15"/>
        </w:rPr>
        <w:t> </w:t>
      </w:r>
      <w:r>
        <w:rPr/>
        <w:t>indicadores de dolor. Estas conductas suelen ser observables de manera inmediata después de un procedimiento doloroso, como el desmoche en terneros. La vocalización excesiva, las patadas o movimientos bruscos, y las caídas pueden ser señales de malestar y dolor en los animales (Marquette </w:t>
      </w:r>
      <w:r>
        <w:rPr>
          <w:i/>
        </w:rPr>
        <w:t>et al</w:t>
      </w:r>
      <w:r>
        <w:rPr/>
        <w:t>., 2022).</w:t>
      </w:r>
    </w:p>
    <w:p>
      <w:pPr>
        <w:pStyle w:val="BodyText"/>
        <w:spacing w:line="360" w:lineRule="auto" w:before="240"/>
        <w:ind w:right="848"/>
        <w:jc w:val="both"/>
      </w:pPr>
      <w:r>
        <w:rPr/>
        <w:t>Sin</w:t>
      </w:r>
      <w:r>
        <w:rPr>
          <w:spacing w:val="-15"/>
        </w:rPr>
        <w:t> </w:t>
      </w:r>
      <w:r>
        <w:rPr/>
        <w:t>embargo,</w:t>
      </w:r>
      <w:r>
        <w:rPr>
          <w:spacing w:val="-15"/>
        </w:rPr>
        <w:t> </w:t>
      </w:r>
      <w:r>
        <w:rPr/>
        <w:t>es</w:t>
      </w:r>
      <w:r>
        <w:rPr>
          <w:spacing w:val="-15"/>
        </w:rPr>
        <w:t> </w:t>
      </w:r>
      <w:r>
        <w:rPr/>
        <w:t>importante</w:t>
      </w:r>
      <w:r>
        <w:rPr>
          <w:spacing w:val="-15"/>
        </w:rPr>
        <w:t> </w:t>
      </w:r>
      <w:r>
        <w:rPr/>
        <w:t>tener</w:t>
      </w:r>
      <w:r>
        <w:rPr>
          <w:spacing w:val="-15"/>
        </w:rPr>
        <w:t> </w:t>
      </w:r>
      <w:r>
        <w:rPr/>
        <w:t>en</w:t>
      </w:r>
      <w:r>
        <w:rPr>
          <w:spacing w:val="-15"/>
        </w:rPr>
        <w:t> </w:t>
      </w:r>
      <w:r>
        <w:rPr/>
        <w:t>cuenta</w:t>
      </w:r>
      <w:r>
        <w:rPr>
          <w:spacing w:val="-15"/>
        </w:rPr>
        <w:t> </w:t>
      </w:r>
      <w:r>
        <w:rPr/>
        <w:t>que</w:t>
      </w:r>
      <w:r>
        <w:rPr>
          <w:spacing w:val="-15"/>
        </w:rPr>
        <w:t> </w:t>
      </w:r>
      <w:r>
        <w:rPr/>
        <w:t>estas</w:t>
      </w:r>
      <w:r>
        <w:rPr>
          <w:spacing w:val="-15"/>
        </w:rPr>
        <w:t> </w:t>
      </w:r>
      <w:r>
        <w:rPr/>
        <w:t>conductas</w:t>
      </w:r>
      <w:r>
        <w:rPr>
          <w:spacing w:val="-15"/>
        </w:rPr>
        <w:t> </w:t>
      </w:r>
      <w:r>
        <w:rPr/>
        <w:t>pueden</w:t>
      </w:r>
      <w:r>
        <w:rPr>
          <w:spacing w:val="-15"/>
        </w:rPr>
        <w:t> </w:t>
      </w:r>
      <w:r>
        <w:rPr/>
        <w:t>variar</w:t>
      </w:r>
      <w:r>
        <w:rPr>
          <w:spacing w:val="-15"/>
        </w:rPr>
        <w:t> </w:t>
      </w:r>
      <w:r>
        <w:rPr/>
        <w:t>según el individuo y pueden estar influenciadas por factores como el nivel de estrés, la sensibilidad al dolor y la experiencia previa del animal. Por lo tanto, aunque son útiles como indicadores de dolor agudo, es importante complementar estas observaciones</w:t>
      </w:r>
      <w:r>
        <w:rPr>
          <w:spacing w:val="45"/>
        </w:rPr>
        <w:t> </w:t>
      </w:r>
      <w:r>
        <w:rPr/>
        <w:t>con</w:t>
      </w:r>
      <w:r>
        <w:rPr>
          <w:spacing w:val="46"/>
        </w:rPr>
        <w:t> </w:t>
      </w:r>
      <w:r>
        <w:rPr/>
        <w:t>otros</w:t>
      </w:r>
      <w:r>
        <w:rPr>
          <w:spacing w:val="46"/>
        </w:rPr>
        <w:t> </w:t>
      </w:r>
      <w:r>
        <w:rPr/>
        <w:t>métodos</w:t>
      </w:r>
      <w:r>
        <w:rPr>
          <w:spacing w:val="47"/>
        </w:rPr>
        <w:t> </w:t>
      </w:r>
      <w:r>
        <w:rPr/>
        <w:t>de</w:t>
      </w:r>
      <w:r>
        <w:rPr>
          <w:spacing w:val="48"/>
        </w:rPr>
        <w:t> </w:t>
      </w:r>
      <w:r>
        <w:rPr/>
        <w:t>evaluación</w:t>
      </w:r>
      <w:r>
        <w:rPr>
          <w:spacing w:val="49"/>
        </w:rPr>
        <w:t> </w:t>
      </w:r>
      <w:r>
        <w:rPr/>
        <w:t>del</w:t>
      </w:r>
      <w:r>
        <w:rPr>
          <w:spacing w:val="47"/>
        </w:rPr>
        <w:t> </w:t>
      </w:r>
      <w:r>
        <w:rPr/>
        <w:t>bienestar</w:t>
      </w:r>
      <w:r>
        <w:rPr>
          <w:spacing w:val="46"/>
        </w:rPr>
        <w:t> </w:t>
      </w:r>
      <w:r>
        <w:rPr/>
        <w:t>animal,</w:t>
      </w:r>
      <w:r>
        <w:rPr>
          <w:spacing w:val="49"/>
        </w:rPr>
        <w:t> </w:t>
      </w:r>
      <w:r>
        <w:rPr/>
        <w:t>como</w:t>
      </w:r>
      <w:r>
        <w:rPr>
          <w:spacing w:val="48"/>
        </w:rPr>
        <w:t> </w:t>
      </w:r>
      <w:r>
        <w:rPr>
          <w:spacing w:val="-5"/>
        </w:rPr>
        <w:t>la</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45"/>
        <w:jc w:val="both"/>
      </w:pPr>
      <w:r>
        <w:rPr/>
        <w:t>medición de biomarcadores fisiológicos y el análisis del comportamiento a largo plazo.</w:t>
      </w:r>
      <w:r>
        <w:rPr>
          <w:spacing w:val="-2"/>
        </w:rPr>
        <w:t> </w:t>
      </w:r>
      <w:r>
        <w:rPr/>
        <w:t>Esto</w:t>
      </w:r>
      <w:r>
        <w:rPr>
          <w:spacing w:val="-4"/>
        </w:rPr>
        <w:t> </w:t>
      </w:r>
      <w:r>
        <w:rPr/>
        <w:t>proporcionaría</w:t>
      </w:r>
      <w:r>
        <w:rPr>
          <w:spacing w:val="-4"/>
        </w:rPr>
        <w:t> </w:t>
      </w:r>
      <w:r>
        <w:rPr/>
        <w:t>una</w:t>
      </w:r>
      <w:r>
        <w:rPr>
          <w:spacing w:val="-5"/>
        </w:rPr>
        <w:t> </w:t>
      </w:r>
      <w:r>
        <w:rPr/>
        <w:t>imagen</w:t>
      </w:r>
      <w:r>
        <w:rPr>
          <w:spacing w:val="-1"/>
        </w:rPr>
        <w:t> </w:t>
      </w:r>
      <w:r>
        <w:rPr/>
        <w:t>más</w:t>
      </w:r>
      <w:r>
        <w:rPr>
          <w:spacing w:val="-2"/>
        </w:rPr>
        <w:t> </w:t>
      </w:r>
      <w:r>
        <w:rPr/>
        <w:t>completa y</w:t>
      </w:r>
      <w:r>
        <w:rPr>
          <w:spacing w:val="-10"/>
        </w:rPr>
        <w:t> </w:t>
      </w:r>
      <w:r>
        <w:rPr/>
        <w:t>precisa</w:t>
      </w:r>
      <w:r>
        <w:rPr>
          <w:spacing w:val="-1"/>
        </w:rPr>
        <w:t> </w:t>
      </w:r>
      <w:r>
        <w:rPr/>
        <w:t>del</w:t>
      </w:r>
      <w:r>
        <w:rPr>
          <w:spacing w:val="-2"/>
        </w:rPr>
        <w:t> </w:t>
      </w:r>
      <w:r>
        <w:rPr/>
        <w:t>bienestar</w:t>
      </w:r>
      <w:r>
        <w:rPr>
          <w:spacing w:val="-2"/>
        </w:rPr>
        <w:t> </w:t>
      </w:r>
      <w:r>
        <w:rPr/>
        <w:t>de</w:t>
      </w:r>
      <w:r>
        <w:rPr>
          <w:spacing w:val="-5"/>
        </w:rPr>
        <w:t> </w:t>
      </w:r>
      <w:r>
        <w:rPr/>
        <w:t>los animales en el tiempo (Roche </w:t>
      </w:r>
      <w:r>
        <w:rPr>
          <w:i/>
        </w:rPr>
        <w:t>et al</w:t>
      </w:r>
      <w:r>
        <w:rPr/>
        <w:t>., 2023).</w:t>
      </w:r>
    </w:p>
    <w:p>
      <w:pPr>
        <w:pStyle w:val="BodyText"/>
        <w:spacing w:line="360" w:lineRule="auto" w:before="239"/>
        <w:ind w:right="852"/>
        <w:jc w:val="both"/>
      </w:pPr>
      <w:r>
        <w:rPr/>
        <w:t>La ausencia de juego en los terneros puede ser un indicador potente de malestar o dolor. Para evaluar este aspecto en relación con la eliminación de los cuernos, es importante considerar un enfoque práctico que examine la relación entre ambos. Esto puede ayudar a probar el efecto sistémico del procedimiento de desmoche en el comportamiento de juego de los terneros (Kanauer </w:t>
      </w:r>
      <w:r>
        <w:rPr>
          <w:i/>
        </w:rPr>
        <w:t>et al</w:t>
      </w:r>
      <w:r>
        <w:rPr/>
        <w:t>., 2023).</w:t>
      </w:r>
    </w:p>
    <w:p>
      <w:pPr>
        <w:pStyle w:val="BodyText"/>
        <w:spacing w:line="360" w:lineRule="auto" w:before="242"/>
        <w:ind w:right="843"/>
        <w:jc w:val="both"/>
      </w:pPr>
      <w:r>
        <w:rPr/>
        <w:t>Es poco probable que la incomodidad o el daño tisular directamente afecten la capacidad de locomoción de los terneros. Es decir, aunque los terneros pueden no estar</w:t>
      </w:r>
      <w:r>
        <w:rPr>
          <w:spacing w:val="-7"/>
        </w:rPr>
        <w:t> </w:t>
      </w:r>
      <w:r>
        <w:rPr/>
        <w:t>jugando,</w:t>
      </w:r>
      <w:r>
        <w:rPr>
          <w:spacing w:val="-1"/>
        </w:rPr>
        <w:t> </w:t>
      </w:r>
      <w:r>
        <w:rPr/>
        <w:t>eso</w:t>
      </w:r>
      <w:r>
        <w:rPr>
          <w:spacing w:val="-6"/>
        </w:rPr>
        <w:t> </w:t>
      </w:r>
      <w:r>
        <w:rPr/>
        <w:t>no</w:t>
      </w:r>
      <w:r>
        <w:rPr>
          <w:spacing w:val="-6"/>
        </w:rPr>
        <w:t> </w:t>
      </w:r>
      <w:r>
        <w:rPr/>
        <w:t>significa</w:t>
      </w:r>
      <w:r>
        <w:rPr>
          <w:spacing w:val="-6"/>
        </w:rPr>
        <w:t> </w:t>
      </w:r>
      <w:r>
        <w:rPr/>
        <w:t>necesariamente</w:t>
      </w:r>
      <w:r>
        <w:rPr>
          <w:spacing w:val="-6"/>
        </w:rPr>
        <w:t> </w:t>
      </w:r>
      <w:r>
        <w:rPr/>
        <w:t>que</w:t>
      </w:r>
      <w:r>
        <w:rPr>
          <w:spacing w:val="-7"/>
        </w:rPr>
        <w:t> </w:t>
      </w:r>
      <w:r>
        <w:rPr/>
        <w:t>no</w:t>
      </w:r>
      <w:r>
        <w:rPr>
          <w:spacing w:val="-6"/>
        </w:rPr>
        <w:t> </w:t>
      </w:r>
      <w:r>
        <w:rPr/>
        <w:t>sean</w:t>
      </w:r>
      <w:r>
        <w:rPr>
          <w:spacing w:val="-1"/>
        </w:rPr>
        <w:t> </w:t>
      </w:r>
      <w:r>
        <w:rPr/>
        <w:t>capaces</w:t>
      </w:r>
      <w:r>
        <w:rPr>
          <w:spacing w:val="-5"/>
        </w:rPr>
        <w:t> </w:t>
      </w:r>
      <w:r>
        <w:rPr/>
        <w:t>de</w:t>
      </w:r>
      <w:r>
        <w:rPr>
          <w:spacing w:val="-7"/>
        </w:rPr>
        <w:t> </w:t>
      </w:r>
      <w:r>
        <w:rPr/>
        <w:t>hacerlo.</w:t>
      </w:r>
      <w:r>
        <w:rPr>
          <w:spacing w:val="-6"/>
        </w:rPr>
        <w:t> </w:t>
      </w:r>
      <w:r>
        <w:rPr/>
        <w:t>Por lo</w:t>
      </w:r>
      <w:r>
        <w:rPr>
          <w:spacing w:val="-8"/>
        </w:rPr>
        <w:t> </w:t>
      </w:r>
      <w:r>
        <w:rPr/>
        <w:t>tanto,</w:t>
      </w:r>
      <w:r>
        <w:rPr>
          <w:spacing w:val="-8"/>
        </w:rPr>
        <w:t> </w:t>
      </w:r>
      <w:r>
        <w:rPr/>
        <w:t>es</w:t>
      </w:r>
      <w:r>
        <w:rPr>
          <w:spacing w:val="-8"/>
        </w:rPr>
        <w:t> </w:t>
      </w:r>
      <w:r>
        <w:rPr/>
        <w:t>esencial</w:t>
      </w:r>
      <w:r>
        <w:rPr>
          <w:spacing w:val="-5"/>
        </w:rPr>
        <w:t> </w:t>
      </w:r>
      <w:r>
        <w:rPr/>
        <w:t>realizar</w:t>
      </w:r>
      <w:r>
        <w:rPr>
          <w:spacing w:val="-11"/>
        </w:rPr>
        <w:t> </w:t>
      </w:r>
      <w:r>
        <w:rPr/>
        <w:t>un</w:t>
      </w:r>
      <w:r>
        <w:rPr>
          <w:spacing w:val="-6"/>
        </w:rPr>
        <w:t> </w:t>
      </w:r>
      <w:r>
        <w:rPr/>
        <w:t>análisis</w:t>
      </w:r>
      <w:r>
        <w:rPr>
          <w:spacing w:val="-7"/>
        </w:rPr>
        <w:t> </w:t>
      </w:r>
      <w:r>
        <w:rPr/>
        <w:t>cuidadoso</w:t>
      </w:r>
      <w:r>
        <w:rPr>
          <w:spacing w:val="-4"/>
        </w:rPr>
        <w:t> </w:t>
      </w:r>
      <w:r>
        <w:rPr/>
        <w:t>para</w:t>
      </w:r>
      <w:r>
        <w:rPr>
          <w:spacing w:val="-12"/>
        </w:rPr>
        <w:t> </w:t>
      </w:r>
      <w:r>
        <w:rPr/>
        <w:t>determinar</w:t>
      </w:r>
      <w:r>
        <w:rPr>
          <w:spacing w:val="-8"/>
        </w:rPr>
        <w:t> </w:t>
      </w:r>
      <w:r>
        <w:rPr/>
        <w:t>si</w:t>
      </w:r>
      <w:r>
        <w:rPr>
          <w:spacing w:val="-8"/>
        </w:rPr>
        <w:t> </w:t>
      </w:r>
      <w:r>
        <w:rPr/>
        <w:t>la</w:t>
      </w:r>
      <w:r>
        <w:rPr>
          <w:spacing w:val="-9"/>
        </w:rPr>
        <w:t> </w:t>
      </w:r>
      <w:r>
        <w:rPr/>
        <w:t>eliminación de los cuernos está afectando negativamente el comportamiento de juego de los terneros y, en caso afirmativo, entender cómo esto puede estar relacionado con el malestar causado por el procedimiento de desmoche (Roche </w:t>
      </w:r>
      <w:r>
        <w:rPr>
          <w:i/>
        </w:rPr>
        <w:t>et al</w:t>
      </w:r>
      <w:r>
        <w:rPr/>
        <w:t>., 2023).</w:t>
      </w:r>
    </w:p>
    <w:p>
      <w:pPr>
        <w:pStyle w:val="Heading2"/>
        <w:numPr>
          <w:ilvl w:val="2"/>
          <w:numId w:val="9"/>
        </w:numPr>
        <w:tabs>
          <w:tab w:pos="1987" w:val="left" w:leader="none"/>
        </w:tabs>
        <w:spacing w:line="240" w:lineRule="auto" w:before="240" w:after="0"/>
        <w:ind w:left="1987" w:right="0" w:hanging="852"/>
        <w:jc w:val="left"/>
      </w:pPr>
      <w:bookmarkStart w:name="_bookmark18" w:id="19"/>
      <w:bookmarkEnd w:id="19"/>
      <w:r>
        <w:rPr>
          <w:b w:val="0"/>
        </w:rPr>
      </w:r>
      <w:r>
        <w:rPr/>
        <w:t>Impacto</w:t>
      </w:r>
      <w:r>
        <w:rPr>
          <w:spacing w:val="-2"/>
        </w:rPr>
        <w:t> </w:t>
      </w:r>
      <w:r>
        <w:rPr/>
        <w:t>sobre</w:t>
      </w:r>
      <w:r>
        <w:rPr>
          <w:spacing w:val="-5"/>
        </w:rPr>
        <w:t> </w:t>
      </w:r>
      <w:r>
        <w:rPr/>
        <w:t>los</w:t>
      </w:r>
      <w:r>
        <w:rPr>
          <w:spacing w:val="-2"/>
        </w:rPr>
        <w:t> </w:t>
      </w:r>
      <w:r>
        <w:rPr/>
        <w:t>indicadores</w:t>
      </w:r>
      <w:r>
        <w:rPr>
          <w:spacing w:val="-1"/>
        </w:rPr>
        <w:t> </w:t>
      </w:r>
      <w:r>
        <w:rPr>
          <w:spacing w:val="-2"/>
        </w:rPr>
        <w:t>clínicos</w:t>
      </w:r>
    </w:p>
    <w:p>
      <w:pPr>
        <w:pStyle w:val="BodyText"/>
        <w:spacing w:before="103"/>
        <w:ind w:left="0"/>
        <w:rPr>
          <w:b/>
        </w:rPr>
      </w:pPr>
    </w:p>
    <w:p>
      <w:pPr>
        <w:pStyle w:val="BodyText"/>
        <w:spacing w:line="360" w:lineRule="auto"/>
        <w:ind w:right="846"/>
        <w:jc w:val="both"/>
      </w:pPr>
      <w:r>
        <w:rPr/>
        <w:t>La</w:t>
      </w:r>
      <w:r>
        <w:rPr>
          <w:spacing w:val="-15"/>
        </w:rPr>
        <w:t> </w:t>
      </w:r>
      <w:r>
        <w:rPr/>
        <w:t>extracción</w:t>
      </w:r>
      <w:r>
        <w:rPr>
          <w:spacing w:val="-15"/>
        </w:rPr>
        <w:t> </w:t>
      </w:r>
      <w:r>
        <w:rPr/>
        <w:t>de</w:t>
      </w:r>
      <w:r>
        <w:rPr>
          <w:spacing w:val="-15"/>
        </w:rPr>
        <w:t> </w:t>
      </w:r>
      <w:r>
        <w:rPr/>
        <w:t>los</w:t>
      </w:r>
      <w:r>
        <w:rPr>
          <w:spacing w:val="-15"/>
        </w:rPr>
        <w:t> </w:t>
      </w:r>
      <w:r>
        <w:rPr/>
        <w:t>cuernos</w:t>
      </w:r>
      <w:r>
        <w:rPr>
          <w:spacing w:val="-15"/>
        </w:rPr>
        <w:t> </w:t>
      </w:r>
      <w:r>
        <w:rPr/>
        <w:t>mediante</w:t>
      </w:r>
      <w:r>
        <w:rPr>
          <w:spacing w:val="-15"/>
        </w:rPr>
        <w:t> </w:t>
      </w:r>
      <w:r>
        <w:rPr/>
        <w:t>el</w:t>
      </w:r>
      <w:r>
        <w:rPr>
          <w:spacing w:val="-15"/>
        </w:rPr>
        <w:t> </w:t>
      </w:r>
      <w:r>
        <w:rPr/>
        <w:t>desmoche</w:t>
      </w:r>
      <w:r>
        <w:rPr>
          <w:spacing w:val="-15"/>
        </w:rPr>
        <w:t> </w:t>
      </w:r>
      <w:r>
        <w:rPr/>
        <w:t>con</w:t>
      </w:r>
      <w:r>
        <w:rPr>
          <w:spacing w:val="-15"/>
        </w:rPr>
        <w:t> </w:t>
      </w:r>
      <w:r>
        <w:rPr/>
        <w:t>hierro</w:t>
      </w:r>
      <w:r>
        <w:rPr>
          <w:spacing w:val="-15"/>
        </w:rPr>
        <w:t> </w:t>
      </w:r>
      <w:r>
        <w:rPr/>
        <w:t>caliente</w:t>
      </w:r>
      <w:r>
        <w:rPr>
          <w:spacing w:val="-15"/>
        </w:rPr>
        <w:t> </w:t>
      </w:r>
      <w:r>
        <w:rPr/>
        <w:t>puede</w:t>
      </w:r>
      <w:r>
        <w:rPr>
          <w:spacing w:val="-15"/>
        </w:rPr>
        <w:t> </w:t>
      </w:r>
      <w:r>
        <w:rPr/>
        <w:t>causar daños tisulares graves, incluidas quemaduras de tercer grado en el área donde se aplica el hierro caliente, así como quemaduras de primer y segundo grado en el tejido circundante. Aunque se ha sugerido que este método puede producir menos sangrado y complicaciones durante la curación en comparación con otros procedimientos de extracción de cuernos, la evidencia sobre la efectividad y el impacto en la curación de las lesiones es limitada (Alley </w:t>
      </w:r>
      <w:r>
        <w:rPr>
          <w:i/>
        </w:rPr>
        <w:t>et al</w:t>
      </w:r>
      <w:r>
        <w:rPr/>
        <w:t>., 2020).</w:t>
      </w:r>
    </w:p>
    <w:p>
      <w:pPr>
        <w:pStyle w:val="BodyText"/>
        <w:spacing w:line="360" w:lineRule="auto" w:before="240"/>
        <w:ind w:right="845"/>
        <w:jc w:val="both"/>
      </w:pPr>
      <w:r>
        <w:rPr/>
        <w:t>Algunos estudios han intentado cuantificar los cambios clínicos inducidos por el desmoche</w:t>
      </w:r>
      <w:r>
        <w:rPr>
          <w:spacing w:val="-7"/>
        </w:rPr>
        <w:t> </w:t>
      </w:r>
      <w:r>
        <w:rPr/>
        <w:t>con</w:t>
      </w:r>
      <w:r>
        <w:rPr>
          <w:spacing w:val="-3"/>
        </w:rPr>
        <w:t> </w:t>
      </w:r>
      <w:r>
        <w:rPr/>
        <w:t>hierro caliente,</w:t>
      </w:r>
      <w:r>
        <w:rPr>
          <w:spacing w:val="-3"/>
        </w:rPr>
        <w:t> </w:t>
      </w:r>
      <w:r>
        <w:rPr/>
        <w:t>pero</w:t>
      </w:r>
      <w:r>
        <w:rPr>
          <w:spacing w:val="-4"/>
        </w:rPr>
        <w:t> </w:t>
      </w:r>
      <w:r>
        <w:rPr/>
        <w:t>la</w:t>
      </w:r>
      <w:r>
        <w:rPr>
          <w:spacing w:val="-6"/>
        </w:rPr>
        <w:t> </w:t>
      </w:r>
      <w:r>
        <w:rPr/>
        <w:t>mayoría</w:t>
      </w:r>
      <w:r>
        <w:rPr>
          <w:spacing w:val="-6"/>
        </w:rPr>
        <w:t> </w:t>
      </w:r>
      <w:r>
        <w:rPr/>
        <w:t>de ellos</w:t>
      </w:r>
      <w:r>
        <w:rPr>
          <w:spacing w:val="-3"/>
        </w:rPr>
        <w:t> </w:t>
      </w:r>
      <w:r>
        <w:rPr/>
        <w:t>se</w:t>
      </w:r>
      <w:r>
        <w:rPr>
          <w:spacing w:val="-4"/>
        </w:rPr>
        <w:t> </w:t>
      </w:r>
      <w:r>
        <w:rPr/>
        <w:t>han</w:t>
      </w:r>
      <w:r>
        <w:rPr>
          <w:spacing w:val="-3"/>
        </w:rPr>
        <w:t> </w:t>
      </w:r>
      <w:r>
        <w:rPr/>
        <w:t>centrado</w:t>
      </w:r>
      <w:r>
        <w:rPr>
          <w:spacing w:val="-3"/>
        </w:rPr>
        <w:t> </w:t>
      </w:r>
      <w:r>
        <w:rPr/>
        <w:t>en medidas como</w:t>
      </w:r>
      <w:r>
        <w:rPr>
          <w:spacing w:val="-15"/>
        </w:rPr>
        <w:t> </w:t>
      </w:r>
      <w:r>
        <w:rPr/>
        <w:t>la</w:t>
      </w:r>
      <w:r>
        <w:rPr>
          <w:spacing w:val="-15"/>
        </w:rPr>
        <w:t> </w:t>
      </w:r>
      <w:r>
        <w:rPr/>
        <w:t>puntuación</w:t>
      </w:r>
      <w:r>
        <w:rPr>
          <w:spacing w:val="-15"/>
        </w:rPr>
        <w:t> </w:t>
      </w:r>
      <w:r>
        <w:rPr/>
        <w:t>de</w:t>
      </w:r>
      <w:r>
        <w:rPr>
          <w:spacing w:val="-15"/>
        </w:rPr>
        <w:t> </w:t>
      </w:r>
      <w:r>
        <w:rPr/>
        <w:t>lesiones</w:t>
      </w:r>
      <w:r>
        <w:rPr>
          <w:spacing w:val="-15"/>
        </w:rPr>
        <w:t> </w:t>
      </w:r>
      <w:r>
        <w:rPr/>
        <w:t>y</w:t>
      </w:r>
      <w:r>
        <w:rPr>
          <w:spacing w:val="-15"/>
        </w:rPr>
        <w:t> </w:t>
      </w:r>
      <w:r>
        <w:rPr/>
        <w:t>el</w:t>
      </w:r>
      <w:r>
        <w:rPr>
          <w:spacing w:val="-15"/>
        </w:rPr>
        <w:t> </w:t>
      </w:r>
      <w:r>
        <w:rPr/>
        <w:t>diámetro</w:t>
      </w:r>
      <w:r>
        <w:rPr>
          <w:spacing w:val="-15"/>
        </w:rPr>
        <w:t> </w:t>
      </w:r>
      <w:r>
        <w:rPr/>
        <w:t>de</w:t>
      </w:r>
      <w:r>
        <w:rPr>
          <w:spacing w:val="-15"/>
        </w:rPr>
        <w:t> </w:t>
      </w:r>
      <w:r>
        <w:rPr/>
        <w:t>la</w:t>
      </w:r>
      <w:r>
        <w:rPr>
          <w:spacing w:val="-15"/>
        </w:rPr>
        <w:t> </w:t>
      </w:r>
      <w:r>
        <w:rPr/>
        <w:t>herida</w:t>
      </w:r>
      <w:r>
        <w:rPr>
          <w:spacing w:val="-15"/>
        </w:rPr>
        <w:t> </w:t>
      </w:r>
      <w:r>
        <w:rPr/>
        <w:t>en</w:t>
      </w:r>
      <w:r>
        <w:rPr>
          <w:spacing w:val="-15"/>
        </w:rPr>
        <w:t> </w:t>
      </w:r>
      <w:r>
        <w:rPr/>
        <w:t>las</w:t>
      </w:r>
      <w:r>
        <w:rPr>
          <w:spacing w:val="-15"/>
        </w:rPr>
        <w:t> </w:t>
      </w:r>
      <w:r>
        <w:rPr/>
        <w:t>semanas</w:t>
      </w:r>
      <w:r>
        <w:rPr>
          <w:spacing w:val="-15"/>
        </w:rPr>
        <w:t> </w:t>
      </w:r>
      <w:r>
        <w:rPr/>
        <w:t>posteriores al procedimiento. Sin embargo, estos estudios han encontrado que las lesiones persisten durante varias semanas sin signos de curación (Zoltick </w:t>
      </w:r>
      <w:r>
        <w:rPr>
          <w:i/>
        </w:rPr>
        <w:t>et al</w:t>
      </w:r>
      <w:r>
        <w:rPr/>
        <w:t>., 2024).</w:t>
      </w:r>
    </w:p>
    <w:p>
      <w:pPr>
        <w:pStyle w:val="BodyText"/>
        <w:spacing w:before="239"/>
        <w:jc w:val="both"/>
      </w:pPr>
      <w:r>
        <w:rPr/>
        <w:t>Otros</w:t>
      </w:r>
      <w:r>
        <w:rPr>
          <w:spacing w:val="-10"/>
        </w:rPr>
        <w:t> </w:t>
      </w:r>
      <w:r>
        <w:rPr/>
        <w:t>indicadores</w:t>
      </w:r>
      <w:r>
        <w:rPr>
          <w:spacing w:val="-7"/>
        </w:rPr>
        <w:t> </w:t>
      </w:r>
      <w:r>
        <w:rPr/>
        <w:t>clínicos</w:t>
      </w:r>
      <w:r>
        <w:rPr>
          <w:spacing w:val="-7"/>
        </w:rPr>
        <w:t> </w:t>
      </w:r>
      <w:r>
        <w:rPr/>
        <w:t>registrados</w:t>
      </w:r>
      <w:r>
        <w:rPr>
          <w:spacing w:val="-6"/>
        </w:rPr>
        <w:t> </w:t>
      </w:r>
      <w:r>
        <w:rPr/>
        <w:t>incluyen</w:t>
      </w:r>
      <w:r>
        <w:rPr>
          <w:spacing w:val="-4"/>
        </w:rPr>
        <w:t> </w:t>
      </w:r>
      <w:r>
        <w:rPr/>
        <w:t>cambios</w:t>
      </w:r>
      <w:r>
        <w:rPr>
          <w:spacing w:val="-6"/>
        </w:rPr>
        <w:t> </w:t>
      </w:r>
      <w:r>
        <w:rPr/>
        <w:t>en</w:t>
      </w:r>
      <w:r>
        <w:rPr>
          <w:spacing w:val="-7"/>
        </w:rPr>
        <w:t> </w:t>
      </w:r>
      <w:r>
        <w:rPr/>
        <w:t>la</w:t>
      </w:r>
      <w:r>
        <w:rPr>
          <w:spacing w:val="-10"/>
        </w:rPr>
        <w:t> </w:t>
      </w:r>
      <w:r>
        <w:rPr/>
        <w:t>frecuencia</w:t>
      </w:r>
      <w:r>
        <w:rPr>
          <w:spacing w:val="-7"/>
        </w:rPr>
        <w:t> </w:t>
      </w:r>
      <w:r>
        <w:rPr/>
        <w:t>cardíaca</w:t>
      </w:r>
      <w:r>
        <w:rPr>
          <w:spacing w:val="4"/>
        </w:rPr>
        <w:t> </w:t>
      </w:r>
      <w:r>
        <w:rPr>
          <w:spacing w:val="-10"/>
        </w:rPr>
        <w:t>y</w:t>
      </w:r>
    </w:p>
    <w:p>
      <w:pPr>
        <w:pStyle w:val="BodyText"/>
        <w:spacing w:after="0"/>
        <w:jc w:val="both"/>
        <w:sectPr>
          <w:pgSz w:w="11900" w:h="16860"/>
          <w:pgMar w:header="0" w:footer="1084" w:top="1620" w:bottom="1280" w:left="1133" w:right="850"/>
        </w:sectPr>
      </w:pPr>
    </w:p>
    <w:p>
      <w:pPr>
        <w:pStyle w:val="BodyText"/>
        <w:spacing w:line="360" w:lineRule="auto" w:before="70"/>
        <w:ind w:right="845"/>
        <w:jc w:val="both"/>
      </w:pPr>
      <w:r>
        <w:rPr/>
        <w:t>la respiración, así como la temperatura ocular, todos los cuales pueden ser indicativos de activación simpática y</w:t>
      </w:r>
      <w:r>
        <w:rPr>
          <w:spacing w:val="-3"/>
        </w:rPr>
        <w:t> </w:t>
      </w:r>
      <w:r>
        <w:rPr/>
        <w:t>estrés en los terneros después del desmoche. Sin</w:t>
      </w:r>
      <w:r>
        <w:rPr>
          <w:spacing w:val="-9"/>
        </w:rPr>
        <w:t> </w:t>
      </w:r>
      <w:r>
        <w:rPr/>
        <w:t>embargo,</w:t>
      </w:r>
      <w:r>
        <w:rPr>
          <w:spacing w:val="-9"/>
        </w:rPr>
        <w:t> </w:t>
      </w:r>
      <w:r>
        <w:rPr/>
        <w:t>los</w:t>
      </w:r>
      <w:r>
        <w:rPr>
          <w:spacing w:val="-9"/>
        </w:rPr>
        <w:t> </w:t>
      </w:r>
      <w:r>
        <w:rPr/>
        <w:t>resultados</w:t>
      </w:r>
      <w:r>
        <w:rPr>
          <w:spacing w:val="-8"/>
        </w:rPr>
        <w:t> </w:t>
      </w:r>
      <w:r>
        <w:rPr/>
        <w:t>sobre</w:t>
      </w:r>
      <w:r>
        <w:rPr>
          <w:spacing w:val="-13"/>
        </w:rPr>
        <w:t> </w:t>
      </w:r>
      <w:r>
        <w:rPr/>
        <w:t>estos</w:t>
      </w:r>
      <w:r>
        <w:rPr>
          <w:spacing w:val="-9"/>
        </w:rPr>
        <w:t> </w:t>
      </w:r>
      <w:r>
        <w:rPr/>
        <w:t>indicadores</w:t>
      </w:r>
      <w:r>
        <w:rPr>
          <w:spacing w:val="-8"/>
        </w:rPr>
        <w:t> </w:t>
      </w:r>
      <w:r>
        <w:rPr/>
        <w:t>han</w:t>
      </w:r>
      <w:r>
        <w:rPr>
          <w:spacing w:val="-9"/>
        </w:rPr>
        <w:t> </w:t>
      </w:r>
      <w:r>
        <w:rPr/>
        <w:t>sido</w:t>
      </w:r>
      <w:r>
        <w:rPr>
          <w:spacing w:val="-9"/>
        </w:rPr>
        <w:t> </w:t>
      </w:r>
      <w:r>
        <w:rPr/>
        <w:t>divergentes y</w:t>
      </w:r>
      <w:r>
        <w:rPr>
          <w:spacing w:val="-13"/>
        </w:rPr>
        <w:t> </w:t>
      </w:r>
      <w:r>
        <w:rPr/>
        <w:t>difíciles de</w:t>
      </w:r>
      <w:r>
        <w:rPr>
          <w:spacing w:val="-5"/>
        </w:rPr>
        <w:t> </w:t>
      </w:r>
      <w:r>
        <w:rPr/>
        <w:t>interpretar, y</w:t>
      </w:r>
      <w:r>
        <w:rPr>
          <w:spacing w:val="-13"/>
        </w:rPr>
        <w:t> </w:t>
      </w:r>
      <w:r>
        <w:rPr/>
        <w:t>se</w:t>
      </w:r>
      <w:r>
        <w:rPr>
          <w:spacing w:val="-5"/>
        </w:rPr>
        <w:t> </w:t>
      </w:r>
      <w:r>
        <w:rPr/>
        <w:t>necesitan</w:t>
      </w:r>
      <w:r>
        <w:rPr>
          <w:spacing w:val="-4"/>
        </w:rPr>
        <w:t> </w:t>
      </w:r>
      <w:r>
        <w:rPr/>
        <w:t>más</w:t>
      </w:r>
      <w:r>
        <w:rPr>
          <w:spacing w:val="-5"/>
        </w:rPr>
        <w:t> </w:t>
      </w:r>
      <w:r>
        <w:rPr/>
        <w:t>investigaciones para</w:t>
      </w:r>
      <w:r>
        <w:rPr>
          <w:spacing w:val="-4"/>
        </w:rPr>
        <w:t> </w:t>
      </w:r>
      <w:r>
        <w:rPr/>
        <w:t>comprender</w:t>
      </w:r>
      <w:r>
        <w:rPr>
          <w:spacing w:val="-4"/>
        </w:rPr>
        <w:t> </w:t>
      </w:r>
      <w:r>
        <w:rPr/>
        <w:t>completamente su relación con el desmoche y su respuesta al tratamiento con analgésicos y anestésicos locales (Adcock &amp; Tucker, 2022).</w:t>
      </w:r>
    </w:p>
    <w:p>
      <w:pPr>
        <w:pStyle w:val="Heading2"/>
        <w:numPr>
          <w:ilvl w:val="2"/>
          <w:numId w:val="9"/>
        </w:numPr>
        <w:tabs>
          <w:tab w:pos="1987" w:val="left" w:leader="none"/>
        </w:tabs>
        <w:spacing w:line="240" w:lineRule="auto" w:before="241" w:after="0"/>
        <w:ind w:left="1987" w:right="0" w:hanging="852"/>
        <w:jc w:val="left"/>
      </w:pPr>
      <w:bookmarkStart w:name="_bookmark19" w:id="20"/>
      <w:bookmarkEnd w:id="20"/>
      <w:r>
        <w:rPr>
          <w:b w:val="0"/>
        </w:rPr>
      </w:r>
      <w:r>
        <w:rPr/>
        <w:t>Impacto</w:t>
      </w:r>
      <w:r>
        <w:rPr>
          <w:spacing w:val="-3"/>
        </w:rPr>
        <w:t> </w:t>
      </w:r>
      <w:r>
        <w:rPr/>
        <w:t>sobre</w:t>
      </w:r>
      <w:r>
        <w:rPr>
          <w:spacing w:val="-5"/>
        </w:rPr>
        <w:t> </w:t>
      </w:r>
      <w:r>
        <w:rPr/>
        <w:t>los</w:t>
      </w:r>
      <w:r>
        <w:rPr>
          <w:spacing w:val="-2"/>
        </w:rPr>
        <w:t> </w:t>
      </w:r>
      <w:r>
        <w:rPr/>
        <w:t>parámetros</w:t>
      </w:r>
      <w:r>
        <w:rPr>
          <w:spacing w:val="-2"/>
        </w:rPr>
        <w:t> sanguíneos</w:t>
      </w:r>
    </w:p>
    <w:p>
      <w:pPr>
        <w:pStyle w:val="BodyText"/>
        <w:spacing w:before="101"/>
        <w:ind w:left="0"/>
        <w:rPr>
          <w:b/>
        </w:rPr>
      </w:pPr>
    </w:p>
    <w:p>
      <w:pPr>
        <w:pStyle w:val="BodyText"/>
        <w:spacing w:line="360" w:lineRule="auto"/>
        <w:ind w:right="845"/>
        <w:jc w:val="both"/>
      </w:pPr>
      <w:r>
        <w:rPr/>
        <w:t>El descorne con hierro caliente provoca necrosis coagulativa en los tejidos expuestos al calor extremo, lo que conlleva a la liberación de proteínas de choque térmico (HSPs), citocinas proinflamatorias como IL-1β, TNF-α y</w:t>
      </w:r>
      <w:r>
        <w:rPr>
          <w:spacing w:val="-9"/>
        </w:rPr>
        <w:t> </w:t>
      </w:r>
      <w:r>
        <w:rPr/>
        <w:t>prostaglandinas, y una cascada de señales de daño celular (DAMPs). Estos mediadores desencadenan</w:t>
      </w:r>
      <w:r>
        <w:rPr>
          <w:spacing w:val="-15"/>
        </w:rPr>
        <w:t> </w:t>
      </w:r>
      <w:r>
        <w:rPr/>
        <w:t>procesos</w:t>
      </w:r>
      <w:r>
        <w:rPr>
          <w:spacing w:val="-15"/>
        </w:rPr>
        <w:t> </w:t>
      </w:r>
      <w:r>
        <w:rPr/>
        <w:t>inflamatorios</w:t>
      </w:r>
      <w:r>
        <w:rPr>
          <w:spacing w:val="-15"/>
        </w:rPr>
        <w:t> </w:t>
      </w:r>
      <w:r>
        <w:rPr/>
        <w:t>locales</w:t>
      </w:r>
      <w:r>
        <w:rPr>
          <w:spacing w:val="-15"/>
        </w:rPr>
        <w:t> </w:t>
      </w:r>
      <w:r>
        <w:rPr/>
        <w:t>y</w:t>
      </w:r>
      <w:r>
        <w:rPr>
          <w:spacing w:val="-15"/>
        </w:rPr>
        <w:t> </w:t>
      </w:r>
      <w:r>
        <w:rPr/>
        <w:t>sistémicos</w:t>
      </w:r>
      <w:r>
        <w:rPr>
          <w:spacing w:val="-15"/>
        </w:rPr>
        <w:t> </w:t>
      </w:r>
      <w:r>
        <w:rPr/>
        <w:t>que</w:t>
      </w:r>
      <w:r>
        <w:rPr>
          <w:spacing w:val="-15"/>
        </w:rPr>
        <w:t> </w:t>
      </w:r>
      <w:r>
        <w:rPr/>
        <w:t>pueden</w:t>
      </w:r>
      <w:r>
        <w:rPr>
          <w:spacing w:val="-15"/>
        </w:rPr>
        <w:t> </w:t>
      </w:r>
      <w:r>
        <w:rPr/>
        <w:t>comprometer la cicatrización y aumentar la sensibilidad nociceptiva. A pesar de que el método reduce el sangrado inmediato, la</w:t>
      </w:r>
      <w:r>
        <w:rPr>
          <w:spacing w:val="-3"/>
        </w:rPr>
        <w:t> </w:t>
      </w:r>
      <w:r>
        <w:rPr/>
        <w:t>activación de</w:t>
      </w:r>
      <w:r>
        <w:rPr>
          <w:spacing w:val="-1"/>
        </w:rPr>
        <w:t> </w:t>
      </w:r>
      <w:r>
        <w:rPr/>
        <w:t>estas rutas inflamatorias y</w:t>
      </w:r>
      <w:r>
        <w:rPr>
          <w:spacing w:val="-10"/>
        </w:rPr>
        <w:t> </w:t>
      </w:r>
      <w:r>
        <w:rPr/>
        <w:t>de</w:t>
      </w:r>
      <w:r>
        <w:rPr>
          <w:spacing w:val="-3"/>
        </w:rPr>
        <w:t> </w:t>
      </w:r>
      <w:r>
        <w:rPr/>
        <w:t>estrés oxidativo</w:t>
      </w:r>
      <w:r>
        <w:rPr>
          <w:spacing w:val="-7"/>
        </w:rPr>
        <w:t> </w:t>
      </w:r>
      <w:r>
        <w:rPr/>
        <w:t>plantea</w:t>
      </w:r>
      <w:r>
        <w:rPr>
          <w:spacing w:val="-6"/>
        </w:rPr>
        <w:t> </w:t>
      </w:r>
      <w:r>
        <w:rPr/>
        <w:t>dudas</w:t>
      </w:r>
      <w:r>
        <w:rPr>
          <w:spacing w:val="-4"/>
        </w:rPr>
        <w:t> </w:t>
      </w:r>
      <w:r>
        <w:rPr/>
        <w:t>del</w:t>
      </w:r>
      <w:r>
        <w:rPr>
          <w:spacing w:val="-3"/>
        </w:rPr>
        <w:t> </w:t>
      </w:r>
      <w:r>
        <w:rPr/>
        <w:t>impacto</w:t>
      </w:r>
      <w:r>
        <w:rPr>
          <w:spacing w:val="-3"/>
        </w:rPr>
        <w:t> </w:t>
      </w:r>
      <w:r>
        <w:rPr/>
        <w:t>en la</w:t>
      </w:r>
      <w:r>
        <w:rPr>
          <w:spacing w:val="-5"/>
        </w:rPr>
        <w:t> </w:t>
      </w:r>
      <w:r>
        <w:rPr/>
        <w:t>recuperación</w:t>
      </w:r>
      <w:r>
        <w:rPr>
          <w:spacing w:val="-3"/>
        </w:rPr>
        <w:t> </w:t>
      </w:r>
      <w:r>
        <w:rPr/>
        <w:t>tisular</w:t>
      </w:r>
      <w:r>
        <w:rPr>
          <w:spacing w:val="-1"/>
        </w:rPr>
        <w:t> </w:t>
      </w:r>
      <w:r>
        <w:rPr/>
        <w:t>(Roder</w:t>
      </w:r>
      <w:r>
        <w:rPr>
          <w:spacing w:val="-5"/>
        </w:rPr>
        <w:t> </w:t>
      </w:r>
      <w:r>
        <w:rPr>
          <w:i/>
        </w:rPr>
        <w:t>et</w:t>
      </w:r>
      <w:r>
        <w:rPr>
          <w:i/>
          <w:spacing w:val="-3"/>
        </w:rPr>
        <w:t> </w:t>
      </w:r>
      <w:r>
        <w:rPr>
          <w:i/>
        </w:rPr>
        <w:t>al</w:t>
      </w:r>
      <w:r>
        <w:rPr/>
        <w:t>.,</w:t>
      </w:r>
      <w:r>
        <w:rPr>
          <w:spacing w:val="2"/>
        </w:rPr>
        <w:t> </w:t>
      </w:r>
      <w:r>
        <w:rPr>
          <w:spacing w:val="-2"/>
        </w:rPr>
        <w:t>2022).</w:t>
      </w:r>
    </w:p>
    <w:p>
      <w:pPr>
        <w:pStyle w:val="BodyText"/>
        <w:spacing w:line="360" w:lineRule="auto" w:before="241"/>
        <w:ind w:right="843"/>
        <w:jc w:val="both"/>
      </w:pPr>
      <w:r>
        <w:rPr/>
        <w:t>Dentro de los eventos está la activación del factor nuclear NF-κB en leucocitos y macrófagos</w:t>
      </w:r>
      <w:r>
        <w:rPr>
          <w:spacing w:val="-2"/>
        </w:rPr>
        <w:t> </w:t>
      </w:r>
      <w:r>
        <w:rPr/>
        <w:t>promueve</w:t>
      </w:r>
      <w:r>
        <w:rPr>
          <w:spacing w:val="-6"/>
        </w:rPr>
        <w:t> </w:t>
      </w:r>
      <w:r>
        <w:rPr/>
        <w:t>la</w:t>
      </w:r>
      <w:r>
        <w:rPr>
          <w:spacing w:val="-2"/>
        </w:rPr>
        <w:t> </w:t>
      </w:r>
      <w:r>
        <w:rPr/>
        <w:t>síntesis</w:t>
      </w:r>
      <w:r>
        <w:rPr>
          <w:spacing w:val="-2"/>
        </w:rPr>
        <w:t> </w:t>
      </w:r>
      <w:r>
        <w:rPr/>
        <w:t>de</w:t>
      </w:r>
      <w:r>
        <w:rPr>
          <w:spacing w:val="-6"/>
        </w:rPr>
        <w:t> </w:t>
      </w:r>
      <w:r>
        <w:rPr/>
        <w:t>citocinas</w:t>
      </w:r>
      <w:r>
        <w:rPr>
          <w:spacing w:val="-5"/>
        </w:rPr>
        <w:t> </w:t>
      </w:r>
      <w:r>
        <w:rPr/>
        <w:t>proinflamatorias</w:t>
      </w:r>
      <w:r>
        <w:rPr>
          <w:spacing w:val="-2"/>
        </w:rPr>
        <w:t> </w:t>
      </w:r>
      <w:r>
        <w:rPr/>
        <w:t>como IL-1β, IL-6 y TNF-α, generando un estado inflamatorio sistémico que se refleja en elevaciones de</w:t>
      </w:r>
      <w:r>
        <w:rPr>
          <w:spacing w:val="-3"/>
        </w:rPr>
        <w:t> </w:t>
      </w:r>
      <w:r>
        <w:rPr/>
        <w:t>proteína</w:t>
      </w:r>
      <w:r>
        <w:rPr>
          <w:spacing w:val="-2"/>
        </w:rPr>
        <w:t> </w:t>
      </w:r>
      <w:r>
        <w:rPr/>
        <w:t>C</w:t>
      </w:r>
      <w:r>
        <w:rPr>
          <w:spacing w:val="-1"/>
        </w:rPr>
        <w:t> </w:t>
      </w:r>
      <w:r>
        <w:rPr/>
        <w:t>reactiva y</w:t>
      </w:r>
      <w:r>
        <w:rPr>
          <w:spacing w:val="-12"/>
        </w:rPr>
        <w:t> </w:t>
      </w:r>
      <w:r>
        <w:rPr/>
        <w:t>fibrinógeno</w:t>
      </w:r>
      <w:r>
        <w:rPr>
          <w:spacing w:val="-1"/>
        </w:rPr>
        <w:t> </w:t>
      </w:r>
      <w:r>
        <w:rPr/>
        <w:t>plasmático.</w:t>
      </w:r>
      <w:r>
        <w:rPr>
          <w:spacing w:val="-2"/>
        </w:rPr>
        <w:t> </w:t>
      </w:r>
      <w:r>
        <w:rPr/>
        <w:t>Paralelamente,</w:t>
      </w:r>
      <w:r>
        <w:rPr>
          <w:spacing w:val="-1"/>
        </w:rPr>
        <w:t> </w:t>
      </w:r>
      <w:r>
        <w:rPr/>
        <w:t>el</w:t>
      </w:r>
      <w:r>
        <w:rPr>
          <w:spacing w:val="-2"/>
        </w:rPr>
        <w:t> </w:t>
      </w:r>
      <w:r>
        <w:rPr/>
        <w:t>estrés</w:t>
      </w:r>
      <w:r>
        <w:rPr>
          <w:spacing w:val="-2"/>
        </w:rPr>
        <w:t> </w:t>
      </w:r>
      <w:r>
        <w:rPr/>
        <w:t>oxidativo derivado del daño celular aumenta la producción de especies reactivas de oxígeno (ROS), afectando la homeostasis eritrocitaria y pudiendo alterar parámetros como el hematocrito y la hemoglobina (Qi </w:t>
      </w:r>
      <w:r>
        <w:rPr>
          <w:i/>
        </w:rPr>
        <w:t>et al</w:t>
      </w:r>
      <w:r>
        <w:rPr/>
        <w:t>., 2024).</w:t>
      </w:r>
    </w:p>
    <w:p>
      <w:pPr>
        <w:pStyle w:val="Heading2"/>
        <w:numPr>
          <w:ilvl w:val="2"/>
          <w:numId w:val="9"/>
        </w:numPr>
        <w:tabs>
          <w:tab w:pos="1987" w:val="left" w:leader="none"/>
        </w:tabs>
        <w:spacing w:line="240" w:lineRule="auto" w:before="239" w:after="0"/>
        <w:ind w:left="1987" w:right="0" w:hanging="852"/>
        <w:jc w:val="left"/>
      </w:pPr>
      <w:bookmarkStart w:name="_bookmark20" w:id="21"/>
      <w:bookmarkEnd w:id="21"/>
      <w:r>
        <w:rPr>
          <w:b w:val="0"/>
        </w:rPr>
      </w:r>
      <w:r>
        <w:rPr/>
        <w:t>Impacto</w:t>
      </w:r>
      <w:r>
        <w:rPr>
          <w:spacing w:val="-2"/>
        </w:rPr>
        <w:t> </w:t>
      </w:r>
      <w:r>
        <w:rPr/>
        <w:t>sobre</w:t>
      </w:r>
      <w:r>
        <w:rPr>
          <w:spacing w:val="-5"/>
        </w:rPr>
        <w:t> </w:t>
      </w:r>
      <w:r>
        <w:rPr/>
        <w:t>los</w:t>
      </w:r>
      <w:r>
        <w:rPr>
          <w:spacing w:val="-2"/>
        </w:rPr>
        <w:t> </w:t>
      </w:r>
      <w:r>
        <w:rPr/>
        <w:t>indicadores</w:t>
      </w:r>
      <w:r>
        <w:rPr>
          <w:spacing w:val="-1"/>
        </w:rPr>
        <w:t> </w:t>
      </w:r>
      <w:r>
        <w:rPr>
          <w:spacing w:val="-2"/>
        </w:rPr>
        <w:t>productivos</w:t>
      </w:r>
    </w:p>
    <w:p>
      <w:pPr>
        <w:pStyle w:val="BodyText"/>
        <w:spacing w:before="103"/>
        <w:ind w:left="0"/>
        <w:rPr>
          <w:b/>
        </w:rPr>
      </w:pPr>
    </w:p>
    <w:p>
      <w:pPr>
        <w:pStyle w:val="BodyText"/>
        <w:spacing w:line="360" w:lineRule="auto" w:before="1"/>
        <w:ind w:right="843"/>
        <w:jc w:val="both"/>
      </w:pPr>
      <w:r>
        <w:rPr/>
        <w:t>Los cambios en el peso corporal, especialmente la ganancia diaria promedio (GMD),</w:t>
      </w:r>
      <w:r>
        <w:rPr>
          <w:spacing w:val="-15"/>
        </w:rPr>
        <w:t> </w:t>
      </w:r>
      <w:r>
        <w:rPr/>
        <w:t>son</w:t>
      </w:r>
      <w:r>
        <w:rPr>
          <w:spacing w:val="-13"/>
        </w:rPr>
        <w:t> </w:t>
      </w:r>
      <w:r>
        <w:rPr/>
        <w:t>uno</w:t>
      </w:r>
      <w:r>
        <w:rPr>
          <w:spacing w:val="-14"/>
        </w:rPr>
        <w:t> </w:t>
      </w:r>
      <w:r>
        <w:rPr/>
        <w:t>de</w:t>
      </w:r>
      <w:r>
        <w:rPr>
          <w:spacing w:val="-15"/>
        </w:rPr>
        <w:t> </w:t>
      </w:r>
      <w:r>
        <w:rPr/>
        <w:t>los</w:t>
      </w:r>
      <w:r>
        <w:rPr>
          <w:spacing w:val="-15"/>
        </w:rPr>
        <w:t> </w:t>
      </w:r>
      <w:r>
        <w:rPr/>
        <w:t>principales</w:t>
      </w:r>
      <w:r>
        <w:rPr>
          <w:spacing w:val="-14"/>
        </w:rPr>
        <w:t> </w:t>
      </w:r>
      <w:r>
        <w:rPr/>
        <w:t>indicadores</w:t>
      </w:r>
      <w:r>
        <w:rPr>
          <w:spacing w:val="-13"/>
        </w:rPr>
        <w:t> </w:t>
      </w:r>
      <w:r>
        <w:rPr/>
        <w:t>de</w:t>
      </w:r>
      <w:r>
        <w:rPr>
          <w:spacing w:val="-15"/>
        </w:rPr>
        <w:t> </w:t>
      </w:r>
      <w:r>
        <w:rPr/>
        <w:t>producción</w:t>
      </w:r>
      <w:r>
        <w:rPr>
          <w:spacing w:val="-13"/>
        </w:rPr>
        <w:t> </w:t>
      </w:r>
      <w:r>
        <w:rPr/>
        <w:t>utilizados</w:t>
      </w:r>
      <w:r>
        <w:rPr>
          <w:spacing w:val="-15"/>
        </w:rPr>
        <w:t> </w:t>
      </w:r>
      <w:r>
        <w:rPr/>
        <w:t>en</w:t>
      </w:r>
      <w:r>
        <w:rPr>
          <w:spacing w:val="-13"/>
        </w:rPr>
        <w:t> </w:t>
      </w:r>
      <w:r>
        <w:rPr/>
        <w:t>estudios sobre</w:t>
      </w:r>
      <w:r>
        <w:rPr>
          <w:spacing w:val="-12"/>
        </w:rPr>
        <w:t> </w:t>
      </w:r>
      <w:r>
        <w:rPr/>
        <w:t>la</w:t>
      </w:r>
      <w:r>
        <w:rPr>
          <w:spacing w:val="-7"/>
        </w:rPr>
        <w:t> </w:t>
      </w:r>
      <w:r>
        <w:rPr/>
        <w:t>eliminación</w:t>
      </w:r>
      <w:r>
        <w:rPr>
          <w:spacing w:val="-4"/>
        </w:rPr>
        <w:t> </w:t>
      </w:r>
      <w:r>
        <w:rPr/>
        <w:t>de</w:t>
      </w:r>
      <w:r>
        <w:rPr>
          <w:spacing w:val="-7"/>
        </w:rPr>
        <w:t> </w:t>
      </w:r>
      <w:r>
        <w:rPr/>
        <w:t>cuernos</w:t>
      </w:r>
      <w:r>
        <w:rPr>
          <w:spacing w:val="-8"/>
        </w:rPr>
        <w:t> </w:t>
      </w:r>
      <w:r>
        <w:rPr/>
        <w:t>en</w:t>
      </w:r>
      <w:r>
        <w:rPr>
          <w:spacing w:val="-6"/>
        </w:rPr>
        <w:t> </w:t>
      </w:r>
      <w:r>
        <w:rPr/>
        <w:t>terneros.</w:t>
      </w:r>
      <w:r>
        <w:rPr>
          <w:spacing w:val="-8"/>
        </w:rPr>
        <w:t> </w:t>
      </w:r>
      <w:r>
        <w:rPr/>
        <w:t>Estos</w:t>
      </w:r>
      <w:r>
        <w:rPr>
          <w:spacing w:val="-3"/>
        </w:rPr>
        <w:t> </w:t>
      </w:r>
      <w:r>
        <w:rPr/>
        <w:t>estudios</w:t>
      </w:r>
      <w:r>
        <w:rPr>
          <w:spacing w:val="-5"/>
        </w:rPr>
        <w:t> </w:t>
      </w:r>
      <w:r>
        <w:rPr/>
        <w:t>han</w:t>
      </w:r>
      <w:r>
        <w:rPr>
          <w:spacing w:val="-5"/>
        </w:rPr>
        <w:t> </w:t>
      </w:r>
      <w:r>
        <w:rPr/>
        <w:t>demostrado</w:t>
      </w:r>
      <w:r>
        <w:rPr>
          <w:spacing w:val="-8"/>
        </w:rPr>
        <w:t> </w:t>
      </w:r>
      <w:r>
        <w:rPr/>
        <w:t>que</w:t>
      </w:r>
      <w:r>
        <w:rPr>
          <w:spacing w:val="-9"/>
        </w:rPr>
        <w:t> </w:t>
      </w:r>
      <w:r>
        <w:rPr/>
        <w:t>los terneros</w:t>
      </w:r>
      <w:r>
        <w:rPr>
          <w:spacing w:val="-9"/>
        </w:rPr>
        <w:t> </w:t>
      </w:r>
      <w:r>
        <w:rPr/>
        <w:t>sometidos</w:t>
      </w:r>
      <w:r>
        <w:rPr>
          <w:spacing w:val="-7"/>
        </w:rPr>
        <w:t> </w:t>
      </w:r>
      <w:r>
        <w:rPr/>
        <w:t>a</w:t>
      </w:r>
      <w:r>
        <w:rPr>
          <w:spacing w:val="-7"/>
        </w:rPr>
        <w:t> </w:t>
      </w:r>
      <w:r>
        <w:rPr/>
        <w:t>desmoche</w:t>
      </w:r>
      <w:r>
        <w:rPr>
          <w:spacing w:val="-12"/>
        </w:rPr>
        <w:t> </w:t>
      </w:r>
      <w:r>
        <w:rPr/>
        <w:t>tienden</w:t>
      </w:r>
      <w:r>
        <w:rPr>
          <w:spacing w:val="-3"/>
        </w:rPr>
        <w:t> </w:t>
      </w:r>
      <w:r>
        <w:rPr/>
        <w:t>a</w:t>
      </w:r>
      <w:r>
        <w:rPr>
          <w:spacing w:val="-9"/>
        </w:rPr>
        <w:t> </w:t>
      </w:r>
      <w:r>
        <w:rPr/>
        <w:t>tener</w:t>
      </w:r>
      <w:r>
        <w:rPr>
          <w:spacing w:val="-9"/>
        </w:rPr>
        <w:t> </w:t>
      </w:r>
      <w:r>
        <w:rPr/>
        <w:t>una</w:t>
      </w:r>
      <w:r>
        <w:rPr>
          <w:spacing w:val="-9"/>
        </w:rPr>
        <w:t> </w:t>
      </w:r>
      <w:r>
        <w:rPr/>
        <w:t>GMD</w:t>
      </w:r>
      <w:r>
        <w:rPr>
          <w:spacing w:val="-9"/>
        </w:rPr>
        <w:t> </w:t>
      </w:r>
      <w:r>
        <w:rPr/>
        <w:t>más</w:t>
      </w:r>
      <w:r>
        <w:rPr>
          <w:spacing w:val="-8"/>
        </w:rPr>
        <w:t> </w:t>
      </w:r>
      <w:r>
        <w:rPr/>
        <w:t>baja</w:t>
      </w:r>
      <w:r>
        <w:rPr>
          <w:spacing w:val="-9"/>
        </w:rPr>
        <w:t> </w:t>
      </w:r>
      <w:r>
        <w:rPr/>
        <w:t>en</w:t>
      </w:r>
      <w:r>
        <w:rPr>
          <w:spacing w:val="-3"/>
        </w:rPr>
        <w:t> </w:t>
      </w:r>
      <w:r>
        <w:rPr/>
        <w:t>comparación con</w:t>
      </w:r>
      <w:r>
        <w:rPr>
          <w:spacing w:val="-8"/>
        </w:rPr>
        <w:t> </w:t>
      </w:r>
      <w:r>
        <w:rPr/>
        <w:t>los</w:t>
      </w:r>
      <w:r>
        <w:rPr>
          <w:spacing w:val="-5"/>
        </w:rPr>
        <w:t> </w:t>
      </w:r>
      <w:r>
        <w:rPr/>
        <w:t>terneros</w:t>
      </w:r>
      <w:r>
        <w:rPr>
          <w:spacing w:val="-5"/>
        </w:rPr>
        <w:t> </w:t>
      </w:r>
      <w:r>
        <w:rPr/>
        <w:t>intactos, lo</w:t>
      </w:r>
      <w:r>
        <w:rPr>
          <w:spacing w:val="-8"/>
        </w:rPr>
        <w:t> </w:t>
      </w:r>
      <w:r>
        <w:rPr/>
        <w:t>que</w:t>
      </w:r>
      <w:r>
        <w:rPr>
          <w:spacing w:val="-8"/>
        </w:rPr>
        <w:t> </w:t>
      </w:r>
      <w:r>
        <w:rPr/>
        <w:t>sugiere</w:t>
      </w:r>
      <w:r>
        <w:rPr>
          <w:spacing w:val="-9"/>
        </w:rPr>
        <w:t> </w:t>
      </w:r>
      <w:r>
        <w:rPr/>
        <w:t>un</w:t>
      </w:r>
      <w:r>
        <w:rPr>
          <w:spacing w:val="-6"/>
        </w:rPr>
        <w:t> </w:t>
      </w:r>
      <w:r>
        <w:rPr/>
        <w:t>impacto</w:t>
      </w:r>
      <w:r>
        <w:rPr>
          <w:spacing w:val="-7"/>
        </w:rPr>
        <w:t> </w:t>
      </w:r>
      <w:r>
        <w:rPr/>
        <w:t>negativo</w:t>
      </w:r>
      <w:r>
        <w:rPr>
          <w:spacing w:val="-8"/>
        </w:rPr>
        <w:t> </w:t>
      </w:r>
      <w:r>
        <w:rPr/>
        <w:t>en</w:t>
      </w:r>
      <w:r>
        <w:rPr>
          <w:spacing w:val="-3"/>
        </w:rPr>
        <w:t> </w:t>
      </w:r>
      <w:r>
        <w:rPr/>
        <w:t>el</w:t>
      </w:r>
      <w:r>
        <w:rPr>
          <w:spacing w:val="-5"/>
        </w:rPr>
        <w:t> </w:t>
      </w:r>
      <w:r>
        <w:rPr/>
        <w:t>crecimiento.</w:t>
      </w:r>
      <w:r>
        <w:rPr>
          <w:spacing w:val="-4"/>
        </w:rPr>
        <w:t> </w:t>
      </w:r>
      <w:r>
        <w:rPr/>
        <w:t>Sin embargo, la</w:t>
      </w:r>
      <w:r>
        <w:rPr>
          <w:spacing w:val="3"/>
        </w:rPr>
        <w:t> </w:t>
      </w:r>
      <w:r>
        <w:rPr/>
        <w:t>mayoría</w:t>
      </w:r>
      <w:r>
        <w:rPr>
          <w:spacing w:val="3"/>
        </w:rPr>
        <w:t> </w:t>
      </w:r>
      <w:r>
        <w:rPr/>
        <w:t>de</w:t>
      </w:r>
      <w:r>
        <w:rPr>
          <w:spacing w:val="1"/>
        </w:rPr>
        <w:t> </w:t>
      </w:r>
      <w:r>
        <w:rPr/>
        <w:t>estos</w:t>
      </w:r>
      <w:r>
        <w:rPr>
          <w:spacing w:val="4"/>
        </w:rPr>
        <w:t> </w:t>
      </w:r>
      <w:r>
        <w:rPr/>
        <w:t>estudios</w:t>
      </w:r>
      <w:r>
        <w:rPr>
          <w:spacing w:val="4"/>
        </w:rPr>
        <w:t> </w:t>
      </w:r>
      <w:r>
        <w:rPr/>
        <w:t>solo</w:t>
      </w:r>
      <w:r>
        <w:rPr>
          <w:spacing w:val="4"/>
        </w:rPr>
        <w:t> </w:t>
      </w:r>
      <w:r>
        <w:rPr/>
        <w:t>han</w:t>
      </w:r>
      <w:r>
        <w:rPr>
          <w:spacing w:val="2"/>
        </w:rPr>
        <w:t> </w:t>
      </w:r>
      <w:r>
        <w:rPr/>
        <w:t>evaluado</w:t>
      </w:r>
      <w:r>
        <w:rPr>
          <w:spacing w:val="3"/>
        </w:rPr>
        <w:t> </w:t>
      </w:r>
      <w:r>
        <w:rPr/>
        <w:t>los</w:t>
      </w:r>
      <w:r>
        <w:rPr>
          <w:spacing w:val="3"/>
        </w:rPr>
        <w:t> </w:t>
      </w:r>
      <w:r>
        <w:rPr/>
        <w:t>efectos</w:t>
      </w:r>
      <w:r>
        <w:rPr>
          <w:spacing w:val="4"/>
        </w:rPr>
        <w:t> </w:t>
      </w:r>
      <w:r>
        <w:rPr/>
        <w:t>a</w:t>
      </w:r>
      <w:r>
        <w:rPr>
          <w:spacing w:val="1"/>
        </w:rPr>
        <w:t> </w:t>
      </w:r>
      <w:r>
        <w:rPr/>
        <w:t>corto</w:t>
      </w:r>
      <w:r>
        <w:rPr>
          <w:spacing w:val="7"/>
        </w:rPr>
        <w:t> </w:t>
      </w:r>
      <w:r>
        <w:rPr>
          <w:spacing w:val="-2"/>
        </w:rPr>
        <w:t>plazo,</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54"/>
        <w:jc w:val="both"/>
      </w:pPr>
      <w:r>
        <w:rPr/>
        <w:t>y se necesita más investigación para comprender los efectos a largo plazo del desmoche</w:t>
      </w:r>
      <w:r>
        <w:rPr>
          <w:spacing w:val="-15"/>
        </w:rPr>
        <w:t> </w:t>
      </w:r>
      <w:r>
        <w:rPr/>
        <w:t>en</w:t>
      </w:r>
      <w:r>
        <w:rPr>
          <w:spacing w:val="-11"/>
        </w:rPr>
        <w:t> </w:t>
      </w:r>
      <w:r>
        <w:rPr/>
        <w:t>el</w:t>
      </w:r>
      <w:r>
        <w:rPr>
          <w:spacing w:val="-11"/>
        </w:rPr>
        <w:t> </w:t>
      </w:r>
      <w:r>
        <w:rPr/>
        <w:t>peso</w:t>
      </w:r>
      <w:r>
        <w:rPr>
          <w:spacing w:val="-11"/>
        </w:rPr>
        <w:t> </w:t>
      </w:r>
      <w:r>
        <w:rPr/>
        <w:t>corporal</w:t>
      </w:r>
      <w:r>
        <w:rPr>
          <w:spacing w:val="-3"/>
        </w:rPr>
        <w:t> </w:t>
      </w:r>
      <w:r>
        <w:rPr/>
        <w:t>y</w:t>
      </w:r>
      <w:r>
        <w:rPr>
          <w:spacing w:val="-17"/>
        </w:rPr>
        <w:t> </w:t>
      </w:r>
      <w:r>
        <w:rPr/>
        <w:t>el</w:t>
      </w:r>
      <w:r>
        <w:rPr>
          <w:spacing w:val="-8"/>
        </w:rPr>
        <w:t> </w:t>
      </w:r>
      <w:r>
        <w:rPr/>
        <w:t>crecimiento</w:t>
      </w:r>
      <w:r>
        <w:rPr>
          <w:spacing w:val="-11"/>
        </w:rPr>
        <w:t> </w:t>
      </w:r>
      <w:r>
        <w:rPr/>
        <w:t>de</w:t>
      </w:r>
      <w:r>
        <w:rPr>
          <w:spacing w:val="-13"/>
        </w:rPr>
        <w:t> </w:t>
      </w:r>
      <w:r>
        <w:rPr/>
        <w:t>los</w:t>
      </w:r>
      <w:r>
        <w:rPr>
          <w:spacing w:val="-11"/>
        </w:rPr>
        <w:t> </w:t>
      </w:r>
      <w:r>
        <w:rPr/>
        <w:t>terneros</w:t>
      </w:r>
      <w:r>
        <w:rPr>
          <w:spacing w:val="-9"/>
        </w:rPr>
        <w:t> </w:t>
      </w:r>
      <w:r>
        <w:rPr/>
        <w:t>(Chimes</w:t>
      </w:r>
      <w:r>
        <w:rPr>
          <w:spacing w:val="-10"/>
        </w:rPr>
        <w:t> </w:t>
      </w:r>
      <w:r>
        <w:rPr>
          <w:i/>
        </w:rPr>
        <w:t>et</w:t>
      </w:r>
      <w:r>
        <w:rPr>
          <w:i/>
          <w:spacing w:val="-11"/>
        </w:rPr>
        <w:t> </w:t>
      </w:r>
      <w:r>
        <w:rPr>
          <w:i/>
        </w:rPr>
        <w:t>al</w:t>
      </w:r>
      <w:r>
        <w:rPr/>
        <w:t>.,</w:t>
      </w:r>
      <w:r>
        <w:rPr>
          <w:spacing w:val="-11"/>
        </w:rPr>
        <w:t> </w:t>
      </w:r>
      <w:r>
        <w:rPr>
          <w:spacing w:val="-2"/>
        </w:rPr>
        <w:t>2022).</w:t>
      </w:r>
    </w:p>
    <w:p>
      <w:pPr>
        <w:pStyle w:val="BodyText"/>
        <w:spacing w:line="360" w:lineRule="auto" w:before="241"/>
        <w:ind w:right="843"/>
        <w:jc w:val="both"/>
      </w:pPr>
      <w:r>
        <w:rPr/>
        <w:t>La</w:t>
      </w:r>
      <w:r>
        <w:rPr>
          <w:spacing w:val="-5"/>
        </w:rPr>
        <w:t> </w:t>
      </w:r>
      <w:r>
        <w:rPr/>
        <w:t>ganancia</w:t>
      </w:r>
      <w:r>
        <w:rPr>
          <w:spacing w:val="-7"/>
        </w:rPr>
        <w:t> </w:t>
      </w:r>
      <w:r>
        <w:rPr/>
        <w:t>de</w:t>
      </w:r>
      <w:r>
        <w:rPr>
          <w:spacing w:val="-9"/>
        </w:rPr>
        <w:t> </w:t>
      </w:r>
      <w:r>
        <w:rPr/>
        <w:t>peso</w:t>
      </w:r>
      <w:r>
        <w:rPr>
          <w:spacing w:val="-7"/>
        </w:rPr>
        <w:t> </w:t>
      </w:r>
      <w:r>
        <w:rPr/>
        <w:t>se</w:t>
      </w:r>
      <w:r>
        <w:rPr>
          <w:spacing w:val="-8"/>
        </w:rPr>
        <w:t> </w:t>
      </w:r>
      <w:r>
        <w:rPr/>
        <w:t>ha</w:t>
      </w:r>
      <w:r>
        <w:rPr>
          <w:spacing w:val="-9"/>
        </w:rPr>
        <w:t> </w:t>
      </w:r>
      <w:r>
        <w:rPr/>
        <w:t>medido</w:t>
      </w:r>
      <w:r>
        <w:rPr>
          <w:spacing w:val="-7"/>
        </w:rPr>
        <w:t> </w:t>
      </w:r>
      <w:r>
        <w:rPr/>
        <w:t>como</w:t>
      </w:r>
      <w:r>
        <w:rPr>
          <w:spacing w:val="-6"/>
        </w:rPr>
        <w:t> </w:t>
      </w:r>
      <w:r>
        <w:rPr/>
        <w:t>la</w:t>
      </w:r>
      <w:r>
        <w:rPr>
          <w:spacing w:val="-9"/>
        </w:rPr>
        <w:t> </w:t>
      </w:r>
      <w:r>
        <w:rPr/>
        <w:t>diferencia</w:t>
      </w:r>
      <w:r>
        <w:rPr>
          <w:spacing w:val="-7"/>
        </w:rPr>
        <w:t> </w:t>
      </w:r>
      <w:r>
        <w:rPr/>
        <w:t>entre</w:t>
      </w:r>
      <w:r>
        <w:rPr>
          <w:spacing w:val="-8"/>
        </w:rPr>
        <w:t> </w:t>
      </w:r>
      <w:r>
        <w:rPr/>
        <w:t>el</w:t>
      </w:r>
      <w:r>
        <w:rPr>
          <w:spacing w:val="-6"/>
        </w:rPr>
        <w:t> </w:t>
      </w:r>
      <w:r>
        <w:rPr/>
        <w:t>peso</w:t>
      </w:r>
      <w:r>
        <w:rPr>
          <w:spacing w:val="-7"/>
        </w:rPr>
        <w:t> </w:t>
      </w:r>
      <w:r>
        <w:rPr/>
        <w:t>corporal</w:t>
      </w:r>
      <w:r>
        <w:rPr>
          <w:spacing w:val="-6"/>
        </w:rPr>
        <w:t> </w:t>
      </w:r>
      <w:r>
        <w:rPr/>
        <w:t>antes y después del desmoche, con intervalos de tiempo variables entre los pesajes.</w:t>
      </w:r>
    </w:p>
    <w:p>
      <w:pPr>
        <w:pStyle w:val="BodyText"/>
        <w:spacing w:line="360" w:lineRule="auto" w:before="240"/>
        <w:ind w:right="844"/>
        <w:jc w:val="both"/>
      </w:pPr>
      <w:r>
        <w:rPr/>
        <w:t>Además, algunos estudios han investigado la relación entre la ingesta de leche o concentrado y el crecimiento de los terneros después del desmoche. Algunos de estos estudios han encontrado tendencias hacia una mayor ingesta de alimento en terneros tratados con analgésicos y anestésicos locales, lo que sugiere que estos tratamientos podrían mitigar los efectos negativos del desmoche en la ingesta de alimentos y, por lo tanto, en el crecimiento de los terneros (Martins </w:t>
      </w:r>
      <w:r>
        <w:rPr>
          <w:i/>
        </w:rPr>
        <w:t>et al</w:t>
      </w:r>
      <w:r>
        <w:rPr/>
        <w:t>., 2025).</w:t>
      </w:r>
    </w:p>
    <w:p>
      <w:pPr>
        <w:pStyle w:val="Heading2"/>
        <w:numPr>
          <w:ilvl w:val="1"/>
          <w:numId w:val="9"/>
        </w:numPr>
        <w:tabs>
          <w:tab w:pos="1701" w:val="left" w:leader="none"/>
        </w:tabs>
        <w:spacing w:line="240" w:lineRule="auto" w:before="240" w:after="0"/>
        <w:ind w:left="1701" w:right="0" w:hanging="566"/>
        <w:jc w:val="left"/>
      </w:pPr>
      <w:bookmarkStart w:name="_bookmark21" w:id="22"/>
      <w:bookmarkEnd w:id="22"/>
      <w:r>
        <w:rPr>
          <w:b w:val="0"/>
        </w:rPr>
      </w:r>
      <w:r>
        <w:rPr/>
        <w:t>Relación</w:t>
      </w:r>
      <w:r>
        <w:rPr>
          <w:spacing w:val="-8"/>
        </w:rPr>
        <w:t> </w:t>
      </w:r>
      <w:r>
        <w:rPr/>
        <w:t>del</w:t>
      </w:r>
      <w:r>
        <w:rPr>
          <w:spacing w:val="-2"/>
        </w:rPr>
        <w:t> </w:t>
      </w:r>
      <w:r>
        <w:rPr/>
        <w:t>dolor</w:t>
      </w:r>
      <w:r>
        <w:rPr>
          <w:spacing w:val="-4"/>
        </w:rPr>
        <w:t> </w:t>
      </w:r>
      <w:r>
        <w:rPr/>
        <w:t>del</w:t>
      </w:r>
      <w:r>
        <w:rPr>
          <w:spacing w:val="-2"/>
        </w:rPr>
        <w:t> </w:t>
      </w:r>
      <w:r>
        <w:rPr/>
        <w:t>descorne</w:t>
      </w:r>
      <w:r>
        <w:rPr>
          <w:spacing w:val="-3"/>
        </w:rPr>
        <w:t> </w:t>
      </w:r>
      <w:r>
        <w:rPr/>
        <w:t>con</w:t>
      </w:r>
      <w:r>
        <w:rPr>
          <w:spacing w:val="-3"/>
        </w:rPr>
        <w:t> </w:t>
      </w:r>
      <w:r>
        <w:rPr/>
        <w:t>el</w:t>
      </w:r>
      <w:r>
        <w:rPr>
          <w:spacing w:val="-2"/>
        </w:rPr>
        <w:t> </w:t>
      </w:r>
      <w:r>
        <w:rPr/>
        <w:t>tamaño</w:t>
      </w:r>
      <w:r>
        <w:rPr>
          <w:spacing w:val="-2"/>
        </w:rPr>
        <w:t> </w:t>
      </w:r>
      <w:r>
        <w:rPr/>
        <w:t>de</w:t>
      </w:r>
      <w:r>
        <w:rPr>
          <w:spacing w:val="-5"/>
        </w:rPr>
        <w:t> </w:t>
      </w:r>
      <w:r>
        <w:rPr/>
        <w:t>las</w:t>
      </w:r>
      <w:r>
        <w:rPr>
          <w:spacing w:val="-1"/>
        </w:rPr>
        <w:t> </w:t>
      </w:r>
      <w:r>
        <w:rPr/>
        <w:t>yemas</w:t>
      </w:r>
      <w:r>
        <w:rPr>
          <w:spacing w:val="-1"/>
        </w:rPr>
        <w:t> </w:t>
      </w:r>
      <w:r>
        <w:rPr>
          <w:spacing w:val="-2"/>
        </w:rPr>
        <w:t>cornuales</w:t>
      </w:r>
    </w:p>
    <w:p>
      <w:pPr>
        <w:pStyle w:val="BodyText"/>
        <w:spacing w:before="101"/>
        <w:ind w:left="0"/>
        <w:rPr>
          <w:b/>
        </w:rPr>
      </w:pPr>
    </w:p>
    <w:p>
      <w:pPr>
        <w:pStyle w:val="BodyText"/>
        <w:spacing w:line="360" w:lineRule="auto"/>
        <w:ind w:right="841"/>
        <w:jc w:val="both"/>
      </w:pPr>
      <w:r>
        <w:rPr/>
        <w:t>Debemos entender que entre mayor sea la edad del animal, la cobertura de tejido córneo y</w:t>
      </w:r>
      <w:r>
        <w:rPr>
          <w:spacing w:val="-15"/>
        </w:rPr>
        <w:t> </w:t>
      </w:r>
      <w:r>
        <w:rPr/>
        <w:t>la</w:t>
      </w:r>
      <w:r>
        <w:rPr>
          <w:spacing w:val="-8"/>
        </w:rPr>
        <w:t> </w:t>
      </w:r>
      <w:r>
        <w:rPr/>
        <w:t>inserción</w:t>
      </w:r>
      <w:r>
        <w:rPr>
          <w:spacing w:val="-6"/>
        </w:rPr>
        <w:t> </w:t>
      </w:r>
      <w:r>
        <w:rPr/>
        <w:t>de</w:t>
      </w:r>
      <w:r>
        <w:rPr>
          <w:spacing w:val="-8"/>
        </w:rPr>
        <w:t> </w:t>
      </w:r>
      <w:r>
        <w:rPr/>
        <w:t>este</w:t>
      </w:r>
      <w:r>
        <w:rPr>
          <w:spacing w:val="-7"/>
        </w:rPr>
        <w:t> </w:t>
      </w:r>
      <w:r>
        <w:rPr/>
        <w:t>al</w:t>
      </w:r>
      <w:r>
        <w:rPr>
          <w:spacing w:val="-7"/>
        </w:rPr>
        <w:t> </w:t>
      </w:r>
      <w:r>
        <w:rPr/>
        <w:t>hueso</w:t>
      </w:r>
      <w:r>
        <w:rPr>
          <w:spacing w:val="-7"/>
        </w:rPr>
        <w:t> </w:t>
      </w:r>
      <w:r>
        <w:rPr/>
        <w:t>frontal</w:t>
      </w:r>
      <w:r>
        <w:rPr>
          <w:spacing w:val="-7"/>
        </w:rPr>
        <w:t> </w:t>
      </w:r>
      <w:r>
        <w:rPr/>
        <w:t>cada</w:t>
      </w:r>
      <w:r>
        <w:rPr>
          <w:spacing w:val="-6"/>
        </w:rPr>
        <w:t> </w:t>
      </w:r>
      <w:r>
        <w:rPr/>
        <w:t>vez</w:t>
      </w:r>
      <w:r>
        <w:rPr>
          <w:spacing w:val="-6"/>
        </w:rPr>
        <w:t> </w:t>
      </w:r>
      <w:r>
        <w:rPr/>
        <w:t>es</w:t>
      </w:r>
      <w:r>
        <w:rPr>
          <w:spacing w:val="-7"/>
        </w:rPr>
        <w:t> </w:t>
      </w:r>
      <w:r>
        <w:rPr/>
        <w:t>mayor,</w:t>
      </w:r>
      <w:r>
        <w:rPr>
          <w:spacing w:val="-7"/>
        </w:rPr>
        <w:t> </w:t>
      </w:r>
      <w:r>
        <w:rPr/>
        <w:t>por</w:t>
      </w:r>
      <w:r>
        <w:rPr>
          <w:spacing w:val="-8"/>
        </w:rPr>
        <w:t> </w:t>
      </w:r>
      <w:r>
        <w:rPr/>
        <w:t>lo</w:t>
      </w:r>
      <w:r>
        <w:rPr>
          <w:spacing w:val="-7"/>
        </w:rPr>
        <w:t> </w:t>
      </w:r>
      <w:r>
        <w:rPr/>
        <w:t>tanto,</w:t>
      </w:r>
      <w:r>
        <w:rPr>
          <w:spacing w:val="-7"/>
        </w:rPr>
        <w:t> </w:t>
      </w:r>
      <w:r>
        <w:rPr/>
        <w:t>en</w:t>
      </w:r>
      <w:r>
        <w:rPr>
          <w:spacing w:val="-7"/>
        </w:rPr>
        <w:t> </w:t>
      </w:r>
      <w:r>
        <w:rPr/>
        <w:t>los procedimientos de descorne, cuya técnica sea demasiado invasiva, el compromiso del tejido y la respuesta fisiológica suelen ser exacerbadas. Varios estudios han investigado</w:t>
      </w:r>
      <w:r>
        <w:rPr>
          <w:spacing w:val="-8"/>
        </w:rPr>
        <w:t> </w:t>
      </w:r>
      <w:r>
        <w:rPr/>
        <w:t>la</w:t>
      </w:r>
      <w:r>
        <w:rPr>
          <w:spacing w:val="-9"/>
        </w:rPr>
        <w:t> </w:t>
      </w:r>
      <w:r>
        <w:rPr/>
        <w:t>respuesta</w:t>
      </w:r>
      <w:r>
        <w:rPr>
          <w:spacing w:val="-6"/>
        </w:rPr>
        <w:t> </w:t>
      </w:r>
      <w:r>
        <w:rPr/>
        <w:t>al</w:t>
      </w:r>
      <w:r>
        <w:rPr>
          <w:spacing w:val="-10"/>
        </w:rPr>
        <w:t> </w:t>
      </w:r>
      <w:r>
        <w:rPr/>
        <w:t>dolor</w:t>
      </w:r>
      <w:r>
        <w:rPr>
          <w:spacing w:val="-8"/>
        </w:rPr>
        <w:t> </w:t>
      </w:r>
      <w:r>
        <w:rPr/>
        <w:t>agudo</w:t>
      </w:r>
      <w:r>
        <w:rPr>
          <w:spacing w:val="-10"/>
        </w:rPr>
        <w:t> </w:t>
      </w:r>
      <w:r>
        <w:rPr/>
        <w:t>durante</w:t>
      </w:r>
      <w:r>
        <w:rPr>
          <w:spacing w:val="-8"/>
        </w:rPr>
        <w:t> </w:t>
      </w:r>
      <w:r>
        <w:rPr/>
        <w:t>el</w:t>
      </w:r>
      <w:r>
        <w:rPr>
          <w:spacing w:val="-8"/>
        </w:rPr>
        <w:t> </w:t>
      </w:r>
      <w:r>
        <w:rPr/>
        <w:t>desmoche</w:t>
      </w:r>
      <w:r>
        <w:rPr>
          <w:spacing w:val="-9"/>
        </w:rPr>
        <w:t> </w:t>
      </w:r>
      <w:r>
        <w:rPr/>
        <w:t>con</w:t>
      </w:r>
      <w:r>
        <w:rPr>
          <w:spacing w:val="-5"/>
        </w:rPr>
        <w:t> </w:t>
      </w:r>
      <w:r>
        <w:rPr/>
        <w:t>cauterio,</w:t>
      </w:r>
      <w:r>
        <w:rPr>
          <w:spacing w:val="-6"/>
        </w:rPr>
        <w:t> </w:t>
      </w:r>
      <w:r>
        <w:rPr/>
        <w:t>así</w:t>
      </w:r>
      <w:r>
        <w:rPr>
          <w:spacing w:val="-8"/>
        </w:rPr>
        <w:t> </w:t>
      </w:r>
      <w:r>
        <w:rPr/>
        <w:t>como los beneficios de proporcionar anestesia local y analgesia sistémica en ese momento.</w:t>
      </w:r>
      <w:r>
        <w:rPr>
          <w:spacing w:val="-12"/>
        </w:rPr>
        <w:t> </w:t>
      </w:r>
      <w:r>
        <w:rPr/>
        <w:t>Se</w:t>
      </w:r>
      <w:r>
        <w:rPr>
          <w:spacing w:val="-15"/>
        </w:rPr>
        <w:t> </w:t>
      </w:r>
      <w:r>
        <w:rPr/>
        <w:t>ha</w:t>
      </w:r>
      <w:r>
        <w:rPr>
          <w:spacing w:val="-14"/>
        </w:rPr>
        <w:t> </w:t>
      </w:r>
      <w:r>
        <w:rPr/>
        <w:t>encontrado</w:t>
      </w:r>
      <w:r>
        <w:rPr>
          <w:spacing w:val="-12"/>
        </w:rPr>
        <w:t> </w:t>
      </w:r>
      <w:r>
        <w:rPr/>
        <w:t>que</w:t>
      </w:r>
      <w:r>
        <w:rPr>
          <w:spacing w:val="-15"/>
        </w:rPr>
        <w:t> </w:t>
      </w:r>
      <w:r>
        <w:rPr/>
        <w:t>los</w:t>
      </w:r>
      <w:r>
        <w:rPr>
          <w:spacing w:val="-12"/>
        </w:rPr>
        <w:t> </w:t>
      </w:r>
      <w:r>
        <w:rPr/>
        <w:t>terneros</w:t>
      </w:r>
      <w:r>
        <w:rPr>
          <w:spacing w:val="-13"/>
        </w:rPr>
        <w:t> </w:t>
      </w:r>
      <w:r>
        <w:rPr/>
        <w:t>descornados</w:t>
      </w:r>
      <w:r>
        <w:rPr>
          <w:spacing w:val="-13"/>
        </w:rPr>
        <w:t> </w:t>
      </w:r>
      <w:r>
        <w:rPr/>
        <w:t>a</w:t>
      </w:r>
      <w:r>
        <w:rPr>
          <w:spacing w:val="-14"/>
        </w:rPr>
        <w:t> </w:t>
      </w:r>
      <w:r>
        <w:rPr/>
        <w:t>una</w:t>
      </w:r>
      <w:r>
        <w:rPr>
          <w:spacing w:val="-13"/>
        </w:rPr>
        <w:t> </w:t>
      </w:r>
      <w:r>
        <w:rPr/>
        <w:t>edad</w:t>
      </w:r>
      <w:r>
        <w:rPr>
          <w:spacing w:val="-13"/>
        </w:rPr>
        <w:t> </w:t>
      </w:r>
      <w:r>
        <w:rPr/>
        <w:t>más</w:t>
      </w:r>
      <w:r>
        <w:rPr>
          <w:spacing w:val="-11"/>
        </w:rPr>
        <w:t> </w:t>
      </w:r>
      <w:r>
        <w:rPr/>
        <w:t>temprana, como a los 3 días en comparación con los 35 días de edad, son más sensibles al dolor después del procedimiento. Además, se ha observado que los terneros descornados</w:t>
      </w:r>
      <w:r>
        <w:rPr>
          <w:spacing w:val="-11"/>
        </w:rPr>
        <w:t> </w:t>
      </w:r>
      <w:r>
        <w:rPr/>
        <w:t>a</w:t>
      </w:r>
      <w:r>
        <w:rPr>
          <w:spacing w:val="-15"/>
        </w:rPr>
        <w:t> </w:t>
      </w:r>
      <w:r>
        <w:rPr/>
        <w:t>una</w:t>
      </w:r>
      <w:r>
        <w:rPr>
          <w:spacing w:val="-15"/>
        </w:rPr>
        <w:t> </w:t>
      </w:r>
      <w:r>
        <w:rPr/>
        <w:t>edad</w:t>
      </w:r>
      <w:r>
        <w:rPr>
          <w:spacing w:val="-14"/>
        </w:rPr>
        <w:t> </w:t>
      </w:r>
      <w:r>
        <w:rPr/>
        <w:t>más</w:t>
      </w:r>
      <w:r>
        <w:rPr>
          <w:spacing w:val="-14"/>
        </w:rPr>
        <w:t> </w:t>
      </w:r>
      <w:r>
        <w:rPr/>
        <w:t>temprana</w:t>
      </w:r>
      <w:r>
        <w:rPr>
          <w:spacing w:val="-14"/>
        </w:rPr>
        <w:t> </w:t>
      </w:r>
      <w:r>
        <w:rPr/>
        <w:t>pueden</w:t>
      </w:r>
      <w:r>
        <w:rPr>
          <w:spacing w:val="-14"/>
        </w:rPr>
        <w:t> </w:t>
      </w:r>
      <w:r>
        <w:rPr/>
        <w:t>experimentar</w:t>
      </w:r>
      <w:r>
        <w:rPr>
          <w:spacing w:val="-15"/>
        </w:rPr>
        <w:t> </w:t>
      </w:r>
      <w:r>
        <w:rPr/>
        <w:t>una</w:t>
      </w:r>
      <w:r>
        <w:rPr>
          <w:spacing w:val="-14"/>
        </w:rPr>
        <w:t> </w:t>
      </w:r>
      <w:r>
        <w:rPr/>
        <w:t>mayor</w:t>
      </w:r>
      <w:r>
        <w:rPr>
          <w:spacing w:val="-14"/>
        </w:rPr>
        <w:t> </w:t>
      </w:r>
      <w:r>
        <w:rPr/>
        <w:t>sensibilidad al</w:t>
      </w:r>
      <w:r>
        <w:rPr>
          <w:spacing w:val="-9"/>
        </w:rPr>
        <w:t> </w:t>
      </w:r>
      <w:r>
        <w:rPr/>
        <w:t>dolor</w:t>
      </w:r>
      <w:r>
        <w:rPr>
          <w:spacing w:val="-12"/>
        </w:rPr>
        <w:t> </w:t>
      </w:r>
      <w:r>
        <w:rPr/>
        <w:t>durante</w:t>
      </w:r>
      <w:r>
        <w:rPr>
          <w:spacing w:val="-9"/>
        </w:rPr>
        <w:t> </w:t>
      </w:r>
      <w:r>
        <w:rPr/>
        <w:t>un</w:t>
      </w:r>
      <w:r>
        <w:rPr>
          <w:spacing w:val="-10"/>
        </w:rPr>
        <w:t> </w:t>
      </w:r>
      <w:r>
        <w:rPr/>
        <w:t>período</w:t>
      </w:r>
      <w:r>
        <w:rPr>
          <w:spacing w:val="-12"/>
        </w:rPr>
        <w:t> </w:t>
      </w:r>
      <w:r>
        <w:rPr/>
        <w:t>prolongado,</w:t>
      </w:r>
      <w:r>
        <w:rPr>
          <w:spacing w:val="-9"/>
        </w:rPr>
        <w:t> </w:t>
      </w:r>
      <w:r>
        <w:rPr/>
        <w:t>hasta</w:t>
      </w:r>
      <w:r>
        <w:rPr>
          <w:spacing w:val="-13"/>
        </w:rPr>
        <w:t> </w:t>
      </w:r>
      <w:r>
        <w:rPr/>
        <w:t>por</w:t>
      </w:r>
      <w:r>
        <w:rPr>
          <w:spacing w:val="-8"/>
        </w:rPr>
        <w:t> </w:t>
      </w:r>
      <w:r>
        <w:rPr/>
        <w:t>14</w:t>
      </w:r>
      <w:r>
        <w:rPr>
          <w:spacing w:val="-12"/>
        </w:rPr>
        <w:t> </w:t>
      </w:r>
      <w:r>
        <w:rPr/>
        <w:t>semanas</w:t>
      </w:r>
      <w:r>
        <w:rPr>
          <w:spacing w:val="-9"/>
        </w:rPr>
        <w:t> </w:t>
      </w:r>
      <w:r>
        <w:rPr/>
        <w:t>después</w:t>
      </w:r>
      <w:r>
        <w:rPr>
          <w:spacing w:val="-7"/>
        </w:rPr>
        <w:t> </w:t>
      </w:r>
      <w:r>
        <w:rPr/>
        <w:t>del</w:t>
      </w:r>
      <w:r>
        <w:rPr>
          <w:spacing w:val="-9"/>
        </w:rPr>
        <w:t> </w:t>
      </w:r>
      <w:r>
        <w:rPr/>
        <w:t>descorne (Marquette </w:t>
      </w:r>
      <w:r>
        <w:rPr>
          <w:i/>
        </w:rPr>
        <w:t>et al., </w:t>
      </w:r>
      <w:r>
        <w:rPr/>
        <w:t>2021).</w:t>
      </w:r>
    </w:p>
    <w:p>
      <w:pPr>
        <w:pStyle w:val="BodyText"/>
        <w:spacing w:line="360" w:lineRule="auto" w:before="242"/>
        <w:ind w:right="844"/>
        <w:jc w:val="both"/>
      </w:pPr>
      <w:r>
        <w:rPr/>
        <w:t>Aunque</w:t>
      </w:r>
      <w:r>
        <w:rPr>
          <w:spacing w:val="-15"/>
        </w:rPr>
        <w:t> </w:t>
      </w:r>
      <w:r>
        <w:rPr/>
        <w:t>se</w:t>
      </w:r>
      <w:r>
        <w:rPr>
          <w:spacing w:val="-12"/>
        </w:rPr>
        <w:t> </w:t>
      </w:r>
      <w:r>
        <w:rPr/>
        <w:t>ha</w:t>
      </w:r>
      <w:r>
        <w:rPr>
          <w:spacing w:val="-13"/>
        </w:rPr>
        <w:t> </w:t>
      </w:r>
      <w:r>
        <w:rPr/>
        <w:t>demostrado</w:t>
      </w:r>
      <w:r>
        <w:rPr>
          <w:spacing w:val="-12"/>
        </w:rPr>
        <w:t> </w:t>
      </w:r>
      <w:r>
        <w:rPr/>
        <w:t>que</w:t>
      </w:r>
      <w:r>
        <w:rPr>
          <w:spacing w:val="-12"/>
        </w:rPr>
        <w:t> </w:t>
      </w:r>
      <w:r>
        <w:rPr/>
        <w:t>la</w:t>
      </w:r>
      <w:r>
        <w:rPr>
          <w:spacing w:val="-9"/>
        </w:rPr>
        <w:t> </w:t>
      </w:r>
      <w:r>
        <w:rPr/>
        <w:t>anestesia</w:t>
      </w:r>
      <w:r>
        <w:rPr>
          <w:spacing w:val="-8"/>
        </w:rPr>
        <w:t> </w:t>
      </w:r>
      <w:r>
        <w:rPr/>
        <w:t>local</w:t>
      </w:r>
      <w:r>
        <w:rPr>
          <w:spacing w:val="-5"/>
        </w:rPr>
        <w:t> </w:t>
      </w:r>
      <w:r>
        <w:rPr/>
        <w:t>combinada</w:t>
      </w:r>
      <w:r>
        <w:rPr>
          <w:spacing w:val="-13"/>
        </w:rPr>
        <w:t> </w:t>
      </w:r>
      <w:r>
        <w:rPr/>
        <w:t>con</w:t>
      </w:r>
      <w:r>
        <w:rPr>
          <w:spacing w:val="-5"/>
        </w:rPr>
        <w:t> </w:t>
      </w:r>
      <w:r>
        <w:rPr/>
        <w:t>analgesia</w:t>
      </w:r>
      <w:r>
        <w:rPr>
          <w:spacing w:val="-9"/>
        </w:rPr>
        <w:t> </w:t>
      </w:r>
      <w:r>
        <w:rPr/>
        <w:t>sistémica es beneficiosa para mitigar las conductas negativas relacionadas con el dolor durante el descorne, se necesita más investigación para comprender cómo diferentes</w:t>
      </w:r>
      <w:r>
        <w:rPr>
          <w:spacing w:val="-2"/>
        </w:rPr>
        <w:t> </w:t>
      </w:r>
      <w:r>
        <w:rPr/>
        <w:t>razas,</w:t>
      </w:r>
      <w:r>
        <w:rPr>
          <w:spacing w:val="-3"/>
        </w:rPr>
        <w:t> </w:t>
      </w:r>
      <w:r>
        <w:rPr/>
        <w:t>sexos y</w:t>
      </w:r>
      <w:r>
        <w:rPr>
          <w:spacing w:val="-9"/>
        </w:rPr>
        <w:t> </w:t>
      </w:r>
      <w:r>
        <w:rPr/>
        <w:t>edades</w:t>
      </w:r>
      <w:r>
        <w:rPr>
          <w:spacing w:val="-4"/>
        </w:rPr>
        <w:t> </w:t>
      </w:r>
      <w:r>
        <w:rPr/>
        <w:t>de</w:t>
      </w:r>
      <w:r>
        <w:rPr>
          <w:spacing w:val="-3"/>
        </w:rPr>
        <w:t> </w:t>
      </w:r>
      <w:r>
        <w:rPr/>
        <w:t>terneros</w:t>
      </w:r>
      <w:r>
        <w:rPr>
          <w:spacing w:val="-4"/>
        </w:rPr>
        <w:t> </w:t>
      </w:r>
      <w:r>
        <w:rPr/>
        <w:t>responden</w:t>
      </w:r>
      <w:r>
        <w:rPr>
          <w:spacing w:val="-4"/>
        </w:rPr>
        <w:t> </w:t>
      </w:r>
      <w:r>
        <w:rPr/>
        <w:t>a</w:t>
      </w:r>
      <w:r>
        <w:rPr>
          <w:spacing w:val="-5"/>
        </w:rPr>
        <w:t> </w:t>
      </w:r>
      <w:r>
        <w:rPr/>
        <w:t>los</w:t>
      </w:r>
      <w:r>
        <w:rPr>
          <w:spacing w:val="-4"/>
        </w:rPr>
        <w:t> </w:t>
      </w:r>
      <w:r>
        <w:rPr/>
        <w:t>protocolos</w:t>
      </w:r>
      <w:r>
        <w:rPr>
          <w:spacing w:val="-3"/>
        </w:rPr>
        <w:t> </w:t>
      </w:r>
      <w:r>
        <w:rPr/>
        <w:t>anestésicos y analgésicos específicos según su edad (Cui </w:t>
      </w:r>
      <w:r>
        <w:rPr>
          <w:i/>
        </w:rPr>
        <w:t>et al</w:t>
      </w:r>
      <w:r>
        <w:rPr/>
        <w:t>., 2024)</w:t>
      </w:r>
    </w:p>
    <w:p>
      <w:pPr>
        <w:pStyle w:val="BodyText"/>
        <w:spacing w:before="239"/>
        <w:jc w:val="both"/>
      </w:pPr>
      <w:r>
        <w:rPr/>
        <w:t>En</w:t>
      </w:r>
      <w:r>
        <w:rPr>
          <w:spacing w:val="8"/>
        </w:rPr>
        <w:t> </w:t>
      </w:r>
      <w:r>
        <w:rPr/>
        <w:t>una</w:t>
      </w:r>
      <w:r>
        <w:rPr>
          <w:spacing w:val="9"/>
        </w:rPr>
        <w:t> </w:t>
      </w:r>
      <w:r>
        <w:rPr/>
        <w:t>investigación</w:t>
      </w:r>
      <w:r>
        <w:rPr>
          <w:spacing w:val="11"/>
        </w:rPr>
        <w:t> </w:t>
      </w:r>
      <w:r>
        <w:rPr/>
        <w:t>sobre</w:t>
      </w:r>
      <w:r>
        <w:rPr>
          <w:spacing w:val="9"/>
        </w:rPr>
        <w:t> </w:t>
      </w:r>
      <w:r>
        <w:rPr/>
        <w:t>el</w:t>
      </w:r>
      <w:r>
        <w:rPr>
          <w:spacing w:val="11"/>
        </w:rPr>
        <w:t> </w:t>
      </w:r>
      <w:r>
        <w:rPr/>
        <w:t>efecto</w:t>
      </w:r>
      <w:r>
        <w:rPr>
          <w:spacing w:val="11"/>
        </w:rPr>
        <w:t> </w:t>
      </w:r>
      <w:r>
        <w:rPr/>
        <w:t>de</w:t>
      </w:r>
      <w:r>
        <w:rPr>
          <w:spacing w:val="9"/>
        </w:rPr>
        <w:t> </w:t>
      </w:r>
      <w:r>
        <w:rPr/>
        <w:t>la</w:t>
      </w:r>
      <w:r>
        <w:rPr>
          <w:spacing w:val="10"/>
        </w:rPr>
        <w:t> </w:t>
      </w:r>
      <w:r>
        <w:rPr/>
        <w:t>edad,</w:t>
      </w:r>
      <w:r>
        <w:rPr>
          <w:spacing w:val="10"/>
        </w:rPr>
        <w:t> </w:t>
      </w:r>
      <w:r>
        <w:rPr/>
        <w:t>la</w:t>
      </w:r>
      <w:r>
        <w:rPr>
          <w:spacing w:val="10"/>
        </w:rPr>
        <w:t> </w:t>
      </w:r>
      <w:r>
        <w:rPr/>
        <w:t>raza</w:t>
      </w:r>
      <w:r>
        <w:rPr>
          <w:spacing w:val="12"/>
        </w:rPr>
        <w:t> </w:t>
      </w:r>
      <w:r>
        <w:rPr/>
        <w:t>y</w:t>
      </w:r>
      <w:r>
        <w:rPr>
          <w:spacing w:val="5"/>
        </w:rPr>
        <w:t> </w:t>
      </w:r>
      <w:r>
        <w:rPr/>
        <w:t>el</w:t>
      </w:r>
      <w:r>
        <w:rPr>
          <w:spacing w:val="11"/>
        </w:rPr>
        <w:t> </w:t>
      </w:r>
      <w:r>
        <w:rPr/>
        <w:t>sexo</w:t>
      </w:r>
      <w:r>
        <w:rPr>
          <w:spacing w:val="10"/>
        </w:rPr>
        <w:t> </w:t>
      </w:r>
      <w:r>
        <w:rPr/>
        <w:t>en</w:t>
      </w:r>
      <w:r>
        <w:rPr>
          <w:spacing w:val="10"/>
        </w:rPr>
        <w:t> </w:t>
      </w:r>
      <w:r>
        <w:rPr/>
        <w:t>el</w:t>
      </w:r>
      <w:r>
        <w:rPr>
          <w:spacing w:val="11"/>
        </w:rPr>
        <w:t> </w:t>
      </w:r>
      <w:r>
        <w:rPr/>
        <w:t>tamaño</w:t>
      </w:r>
      <w:r>
        <w:rPr>
          <w:spacing w:val="11"/>
        </w:rPr>
        <w:t> </w:t>
      </w:r>
      <w:r>
        <w:rPr>
          <w:spacing w:val="-5"/>
        </w:rPr>
        <w:t>de</w:t>
      </w:r>
    </w:p>
    <w:p>
      <w:pPr>
        <w:pStyle w:val="BodyText"/>
        <w:spacing w:after="0"/>
        <w:jc w:val="both"/>
        <w:sectPr>
          <w:pgSz w:w="11900" w:h="16860"/>
          <w:pgMar w:header="0" w:footer="1084" w:top="1620" w:bottom="1280" w:left="1133" w:right="850"/>
        </w:sectPr>
      </w:pPr>
    </w:p>
    <w:p>
      <w:pPr>
        <w:pStyle w:val="BodyText"/>
        <w:spacing w:line="360" w:lineRule="auto" w:before="70"/>
        <w:ind w:right="843"/>
        <w:jc w:val="both"/>
      </w:pPr>
      <w:r>
        <w:rPr/>
        <w:t>las</w:t>
      </w:r>
      <w:r>
        <w:rPr>
          <w:spacing w:val="-4"/>
        </w:rPr>
        <w:t> </w:t>
      </w:r>
      <w:r>
        <w:rPr/>
        <w:t>yemas</w:t>
      </w:r>
      <w:r>
        <w:rPr>
          <w:spacing w:val="-8"/>
        </w:rPr>
        <w:t> </w:t>
      </w:r>
      <w:r>
        <w:rPr/>
        <w:t>córneas</w:t>
      </w:r>
      <w:r>
        <w:rPr>
          <w:spacing w:val="-7"/>
        </w:rPr>
        <w:t> </w:t>
      </w:r>
      <w:r>
        <w:rPr/>
        <w:t>de</w:t>
      </w:r>
      <w:r>
        <w:rPr>
          <w:spacing w:val="-12"/>
        </w:rPr>
        <w:t> </w:t>
      </w:r>
      <w:r>
        <w:rPr/>
        <w:t>terneros</w:t>
      </w:r>
      <w:r>
        <w:rPr>
          <w:spacing w:val="-8"/>
        </w:rPr>
        <w:t> </w:t>
      </w:r>
      <w:r>
        <w:rPr/>
        <w:t>criados</w:t>
      </w:r>
      <w:r>
        <w:rPr>
          <w:spacing w:val="-5"/>
        </w:rPr>
        <w:t> </w:t>
      </w:r>
      <w:r>
        <w:rPr/>
        <w:t>en</w:t>
      </w:r>
      <w:r>
        <w:rPr>
          <w:spacing w:val="-8"/>
        </w:rPr>
        <w:t> </w:t>
      </w:r>
      <w:r>
        <w:rPr/>
        <w:t>sistemas</w:t>
      </w:r>
      <w:r>
        <w:rPr>
          <w:spacing w:val="-3"/>
        </w:rPr>
        <w:t> </w:t>
      </w:r>
      <w:r>
        <w:rPr/>
        <w:t>de</w:t>
      </w:r>
      <w:r>
        <w:rPr>
          <w:spacing w:val="-12"/>
        </w:rPr>
        <w:t> </w:t>
      </w:r>
      <w:r>
        <w:rPr/>
        <w:t>producción</w:t>
      </w:r>
      <w:r>
        <w:rPr>
          <w:spacing w:val="-7"/>
        </w:rPr>
        <w:t> </w:t>
      </w:r>
      <w:r>
        <w:rPr/>
        <w:t>lechera</w:t>
      </w:r>
      <w:r>
        <w:rPr>
          <w:spacing w:val="-1"/>
        </w:rPr>
        <w:t> </w:t>
      </w:r>
      <w:r>
        <w:rPr/>
        <w:t>y</w:t>
      </w:r>
      <w:r>
        <w:rPr>
          <w:spacing w:val="-13"/>
        </w:rPr>
        <w:t> </w:t>
      </w:r>
      <w:r>
        <w:rPr/>
        <w:t>de</w:t>
      </w:r>
      <w:r>
        <w:rPr>
          <w:spacing w:val="-12"/>
        </w:rPr>
        <w:t> </w:t>
      </w:r>
      <w:r>
        <w:rPr/>
        <w:t>carne al momento del desmoche, se encontró que el diámetro y la altura de las yemas córneas</w:t>
      </w:r>
      <w:r>
        <w:rPr>
          <w:spacing w:val="-8"/>
        </w:rPr>
        <w:t> </w:t>
      </w:r>
      <w:r>
        <w:rPr/>
        <w:t>variaban</w:t>
      </w:r>
      <w:r>
        <w:rPr>
          <w:spacing w:val="-10"/>
        </w:rPr>
        <w:t> </w:t>
      </w:r>
      <w:r>
        <w:rPr/>
        <w:t>considerablemente</w:t>
      </w:r>
      <w:r>
        <w:rPr>
          <w:spacing w:val="-8"/>
        </w:rPr>
        <w:t> </w:t>
      </w:r>
      <w:r>
        <w:rPr/>
        <w:t>entre</w:t>
      </w:r>
      <w:r>
        <w:rPr>
          <w:spacing w:val="-14"/>
        </w:rPr>
        <w:t> </w:t>
      </w:r>
      <w:r>
        <w:rPr/>
        <w:t>las</w:t>
      </w:r>
      <w:r>
        <w:rPr>
          <w:spacing w:val="-11"/>
        </w:rPr>
        <w:t> </w:t>
      </w:r>
      <w:r>
        <w:rPr/>
        <w:t>diferentes</w:t>
      </w:r>
      <w:r>
        <w:rPr>
          <w:spacing w:val="-6"/>
        </w:rPr>
        <w:t> </w:t>
      </w:r>
      <w:r>
        <w:rPr/>
        <w:t>razas,</w:t>
      </w:r>
      <w:r>
        <w:rPr>
          <w:spacing w:val="-10"/>
        </w:rPr>
        <w:t> </w:t>
      </w:r>
      <w:r>
        <w:rPr/>
        <w:t>lo</w:t>
      </w:r>
      <w:r>
        <w:rPr>
          <w:spacing w:val="-11"/>
        </w:rPr>
        <w:t> </w:t>
      </w:r>
      <w:r>
        <w:rPr/>
        <w:t>que</w:t>
      </w:r>
      <w:r>
        <w:rPr>
          <w:spacing w:val="-14"/>
        </w:rPr>
        <w:t> </w:t>
      </w:r>
      <w:r>
        <w:rPr/>
        <w:t>sugiere</w:t>
      </w:r>
      <w:r>
        <w:rPr>
          <w:spacing w:val="-13"/>
        </w:rPr>
        <w:t> </w:t>
      </w:r>
      <w:r>
        <w:rPr/>
        <w:t>que</w:t>
      </w:r>
      <w:r>
        <w:rPr>
          <w:spacing w:val="-12"/>
        </w:rPr>
        <w:t> </w:t>
      </w:r>
      <w:r>
        <w:rPr/>
        <w:t>la mayoría de esta variación no se explicaba por la edad. Los resultados también indicaron</w:t>
      </w:r>
      <w:r>
        <w:rPr>
          <w:spacing w:val="-10"/>
        </w:rPr>
        <w:t> </w:t>
      </w:r>
      <w:r>
        <w:rPr/>
        <w:t>que</w:t>
      </w:r>
      <w:r>
        <w:rPr>
          <w:spacing w:val="-10"/>
        </w:rPr>
        <w:t> </w:t>
      </w:r>
      <w:r>
        <w:rPr/>
        <w:t>la</w:t>
      </w:r>
      <w:r>
        <w:rPr>
          <w:spacing w:val="-3"/>
        </w:rPr>
        <w:t> </w:t>
      </w:r>
      <w:r>
        <w:rPr/>
        <w:t>asociación</w:t>
      </w:r>
      <w:r>
        <w:rPr>
          <w:spacing w:val="-6"/>
        </w:rPr>
        <w:t> </w:t>
      </w:r>
      <w:r>
        <w:rPr/>
        <w:t>entre</w:t>
      </w:r>
      <w:r>
        <w:rPr>
          <w:spacing w:val="-11"/>
        </w:rPr>
        <w:t> </w:t>
      </w:r>
      <w:r>
        <w:rPr/>
        <w:t>la</w:t>
      </w:r>
      <w:r>
        <w:rPr>
          <w:spacing w:val="-8"/>
        </w:rPr>
        <w:t> </w:t>
      </w:r>
      <w:r>
        <w:rPr/>
        <w:t>edad y</w:t>
      </w:r>
      <w:r>
        <w:rPr>
          <w:spacing w:val="-14"/>
        </w:rPr>
        <w:t> </w:t>
      </w:r>
      <w:r>
        <w:rPr/>
        <w:t>el</w:t>
      </w:r>
      <w:r>
        <w:rPr>
          <w:spacing w:val="-7"/>
        </w:rPr>
        <w:t> </w:t>
      </w:r>
      <w:r>
        <w:rPr/>
        <w:t>tamaño</w:t>
      </w:r>
      <w:r>
        <w:rPr>
          <w:spacing w:val="-7"/>
        </w:rPr>
        <w:t> </w:t>
      </w:r>
      <w:r>
        <w:rPr/>
        <w:t>de</w:t>
      </w:r>
      <w:r>
        <w:rPr>
          <w:spacing w:val="-11"/>
        </w:rPr>
        <w:t> </w:t>
      </w:r>
      <w:r>
        <w:rPr/>
        <w:t>las yemas</w:t>
      </w:r>
      <w:r>
        <w:rPr>
          <w:spacing w:val="-9"/>
        </w:rPr>
        <w:t> </w:t>
      </w:r>
      <w:r>
        <w:rPr/>
        <w:t>córneas</w:t>
      </w:r>
      <w:r>
        <w:rPr>
          <w:spacing w:val="-4"/>
        </w:rPr>
        <w:t> </w:t>
      </w:r>
      <w:r>
        <w:rPr/>
        <w:t>era</w:t>
      </w:r>
      <w:r>
        <w:rPr>
          <w:spacing w:val="-11"/>
        </w:rPr>
        <w:t> </w:t>
      </w:r>
      <w:r>
        <w:rPr/>
        <w:t>muy débil en terneros criados tanto en sistemas lecheros como de carne. (Marquette </w:t>
      </w:r>
      <w:r>
        <w:rPr>
          <w:i/>
        </w:rPr>
        <w:t>et al., </w:t>
      </w:r>
      <w:r>
        <w:rPr/>
        <w:t>2021).</w:t>
      </w:r>
    </w:p>
    <w:p>
      <w:pPr>
        <w:pStyle w:val="BodyText"/>
        <w:spacing w:line="360" w:lineRule="auto" w:before="240"/>
        <w:ind w:right="843"/>
        <w:jc w:val="both"/>
      </w:pPr>
      <w:r>
        <w:rPr/>
        <w:t>Se</w:t>
      </w:r>
      <w:r>
        <w:rPr>
          <w:spacing w:val="-15"/>
        </w:rPr>
        <w:t> </w:t>
      </w:r>
      <w:r>
        <w:rPr/>
        <w:t>observó</w:t>
      </w:r>
      <w:r>
        <w:rPr>
          <w:spacing w:val="-15"/>
        </w:rPr>
        <w:t> </w:t>
      </w:r>
      <w:r>
        <w:rPr/>
        <w:t>que</w:t>
      </w:r>
      <w:r>
        <w:rPr>
          <w:spacing w:val="-15"/>
        </w:rPr>
        <w:t> </w:t>
      </w:r>
      <w:r>
        <w:rPr/>
        <w:t>el</w:t>
      </w:r>
      <w:r>
        <w:rPr>
          <w:spacing w:val="-15"/>
        </w:rPr>
        <w:t> </w:t>
      </w:r>
      <w:r>
        <w:rPr/>
        <w:t>tamaño</w:t>
      </w:r>
      <w:r>
        <w:rPr>
          <w:spacing w:val="-15"/>
        </w:rPr>
        <w:t> </w:t>
      </w:r>
      <w:r>
        <w:rPr/>
        <w:t>de</w:t>
      </w:r>
      <w:r>
        <w:rPr>
          <w:spacing w:val="-15"/>
        </w:rPr>
        <w:t> </w:t>
      </w:r>
      <w:r>
        <w:rPr/>
        <w:t>las</w:t>
      </w:r>
      <w:r>
        <w:rPr>
          <w:spacing w:val="-15"/>
        </w:rPr>
        <w:t> </w:t>
      </w:r>
      <w:r>
        <w:rPr/>
        <w:t>yemas</w:t>
      </w:r>
      <w:r>
        <w:rPr>
          <w:spacing w:val="-15"/>
        </w:rPr>
        <w:t> </w:t>
      </w:r>
      <w:r>
        <w:rPr/>
        <w:t>córneas,</w:t>
      </w:r>
      <w:r>
        <w:rPr>
          <w:spacing w:val="-15"/>
        </w:rPr>
        <w:t> </w:t>
      </w:r>
      <w:r>
        <w:rPr/>
        <w:t>tanto</w:t>
      </w:r>
      <w:r>
        <w:rPr>
          <w:spacing w:val="-15"/>
        </w:rPr>
        <w:t> </w:t>
      </w:r>
      <w:r>
        <w:rPr/>
        <w:t>en</w:t>
      </w:r>
      <w:r>
        <w:rPr>
          <w:spacing w:val="-15"/>
        </w:rPr>
        <w:t> </w:t>
      </w:r>
      <w:r>
        <w:rPr/>
        <w:t>términos</w:t>
      </w:r>
      <w:r>
        <w:rPr>
          <w:spacing w:val="-15"/>
        </w:rPr>
        <w:t> </w:t>
      </w:r>
      <w:r>
        <w:rPr/>
        <w:t>de</w:t>
      </w:r>
      <w:r>
        <w:rPr>
          <w:spacing w:val="-15"/>
        </w:rPr>
        <w:t> </w:t>
      </w:r>
      <w:r>
        <w:rPr/>
        <w:t>diámetro</w:t>
      </w:r>
      <w:r>
        <w:rPr>
          <w:spacing w:val="-15"/>
        </w:rPr>
        <w:t> </w:t>
      </w:r>
      <w:r>
        <w:rPr/>
        <w:t>como de altura, era mayor en los terneros criados en sistemas lecheros en comparación con los criados en sistemas de carne en el momento del desmoche. Además, los terneros machos criados en sistemas de carne tenían yemas córneas de mayor tamaño en comparación con las hembras en el momento del desmoche (Reedman, </w:t>
      </w:r>
      <w:r>
        <w:rPr>
          <w:i/>
        </w:rPr>
        <w:t>et al</w:t>
      </w:r>
      <w:r>
        <w:rPr/>
        <w:t>., 2022).</w:t>
      </w:r>
    </w:p>
    <w:p>
      <w:pPr>
        <w:pStyle w:val="BodyText"/>
        <w:spacing w:line="360" w:lineRule="auto" w:before="240"/>
        <w:ind w:right="845"/>
        <w:jc w:val="both"/>
      </w:pPr>
      <w:r>
        <w:rPr/>
        <w:t>las terneras criadas en sistemas de carne, podría atribuirse al sexo de la cría. Se encontró</w:t>
      </w:r>
      <w:r>
        <w:rPr>
          <w:spacing w:val="-4"/>
        </w:rPr>
        <w:t> </w:t>
      </w:r>
      <w:r>
        <w:rPr/>
        <w:t>que</w:t>
      </w:r>
      <w:r>
        <w:rPr>
          <w:spacing w:val="-6"/>
        </w:rPr>
        <w:t> </w:t>
      </w:r>
      <w:r>
        <w:rPr/>
        <w:t>los</w:t>
      </w:r>
      <w:r>
        <w:rPr>
          <w:spacing w:val="-3"/>
        </w:rPr>
        <w:t> </w:t>
      </w:r>
      <w:r>
        <w:rPr/>
        <w:t>terneros</w:t>
      </w:r>
      <w:r>
        <w:rPr>
          <w:spacing w:val="-1"/>
        </w:rPr>
        <w:t> </w:t>
      </w:r>
      <w:r>
        <w:rPr/>
        <w:t>machos</w:t>
      </w:r>
      <w:r>
        <w:rPr>
          <w:spacing w:val="-3"/>
        </w:rPr>
        <w:t> </w:t>
      </w:r>
      <w:r>
        <w:rPr/>
        <w:t>criados</w:t>
      </w:r>
      <w:r>
        <w:rPr>
          <w:spacing w:val="-3"/>
        </w:rPr>
        <w:t> </w:t>
      </w:r>
      <w:r>
        <w:rPr/>
        <w:t>en</w:t>
      </w:r>
      <w:r>
        <w:rPr>
          <w:spacing w:val="-3"/>
        </w:rPr>
        <w:t> </w:t>
      </w:r>
      <w:r>
        <w:rPr/>
        <w:t>sistemas</w:t>
      </w:r>
      <w:r>
        <w:rPr>
          <w:spacing w:val="-3"/>
        </w:rPr>
        <w:t> </w:t>
      </w:r>
      <w:r>
        <w:rPr/>
        <w:t>de</w:t>
      </w:r>
      <w:r>
        <w:rPr>
          <w:spacing w:val="-7"/>
        </w:rPr>
        <w:t> </w:t>
      </w:r>
      <w:r>
        <w:rPr/>
        <w:t>carne</w:t>
      </w:r>
      <w:r>
        <w:rPr>
          <w:spacing w:val="-4"/>
        </w:rPr>
        <w:t> </w:t>
      </w:r>
      <w:r>
        <w:rPr/>
        <w:t>tenían</w:t>
      </w:r>
      <w:r>
        <w:rPr>
          <w:spacing w:val="-3"/>
        </w:rPr>
        <w:t> </w:t>
      </w:r>
      <w:r>
        <w:rPr/>
        <w:t>una altura</w:t>
      </w:r>
      <w:r>
        <w:rPr>
          <w:spacing w:val="-7"/>
        </w:rPr>
        <w:t> </w:t>
      </w:r>
      <w:r>
        <w:rPr/>
        <w:t>de yemas</w:t>
      </w:r>
      <w:r>
        <w:rPr>
          <w:spacing w:val="-5"/>
        </w:rPr>
        <w:t> </w:t>
      </w:r>
      <w:r>
        <w:rPr/>
        <w:t>córneas</w:t>
      </w:r>
      <w:r>
        <w:rPr>
          <w:spacing w:val="-7"/>
        </w:rPr>
        <w:t> </w:t>
      </w:r>
      <w:r>
        <w:rPr/>
        <w:t>un</w:t>
      </w:r>
      <w:r>
        <w:rPr>
          <w:spacing w:val="-6"/>
        </w:rPr>
        <w:t> </w:t>
      </w:r>
      <w:r>
        <w:rPr/>
        <w:t>29,1%</w:t>
      </w:r>
      <w:r>
        <w:rPr>
          <w:spacing w:val="-7"/>
        </w:rPr>
        <w:t> </w:t>
      </w:r>
      <w:r>
        <w:rPr/>
        <w:t>mayor y</w:t>
      </w:r>
      <w:r>
        <w:rPr>
          <w:spacing w:val="-15"/>
        </w:rPr>
        <w:t> </w:t>
      </w:r>
      <w:r>
        <w:rPr/>
        <w:t>un</w:t>
      </w:r>
      <w:r>
        <w:rPr>
          <w:spacing w:val="-5"/>
        </w:rPr>
        <w:t> </w:t>
      </w:r>
      <w:r>
        <w:rPr/>
        <w:t>diámetro</w:t>
      </w:r>
      <w:r>
        <w:rPr>
          <w:spacing w:val="-6"/>
        </w:rPr>
        <w:t> </w:t>
      </w:r>
      <w:r>
        <w:rPr/>
        <w:t>un</w:t>
      </w:r>
      <w:r>
        <w:rPr>
          <w:spacing w:val="-6"/>
        </w:rPr>
        <w:t> </w:t>
      </w:r>
      <w:r>
        <w:rPr/>
        <w:t>8,8%</w:t>
      </w:r>
      <w:r>
        <w:rPr>
          <w:spacing w:val="-9"/>
        </w:rPr>
        <w:t> </w:t>
      </w:r>
      <w:r>
        <w:rPr/>
        <w:t>mayor</w:t>
      </w:r>
      <w:r>
        <w:rPr>
          <w:spacing w:val="-6"/>
        </w:rPr>
        <w:t> </w:t>
      </w:r>
      <w:r>
        <w:rPr/>
        <w:t>en</w:t>
      </w:r>
      <w:r>
        <w:rPr>
          <w:spacing w:val="-6"/>
        </w:rPr>
        <w:t> </w:t>
      </w:r>
      <w:r>
        <w:rPr/>
        <w:t>comparación</w:t>
      </w:r>
      <w:r>
        <w:rPr>
          <w:spacing w:val="-5"/>
        </w:rPr>
        <w:t> </w:t>
      </w:r>
      <w:r>
        <w:rPr/>
        <w:t>con las</w:t>
      </w:r>
      <w:r>
        <w:rPr>
          <w:spacing w:val="-8"/>
        </w:rPr>
        <w:t> </w:t>
      </w:r>
      <w:r>
        <w:rPr/>
        <w:t>terneras</w:t>
      </w:r>
      <w:r>
        <w:rPr>
          <w:spacing w:val="-5"/>
        </w:rPr>
        <w:t> </w:t>
      </w:r>
      <w:r>
        <w:rPr/>
        <w:t>criadas</w:t>
      </w:r>
      <w:r>
        <w:rPr>
          <w:spacing w:val="-5"/>
        </w:rPr>
        <w:t> </w:t>
      </w:r>
      <w:r>
        <w:rPr/>
        <w:t>en</w:t>
      </w:r>
      <w:r>
        <w:rPr>
          <w:spacing w:val="-8"/>
        </w:rPr>
        <w:t> </w:t>
      </w:r>
      <w:r>
        <w:rPr/>
        <w:t>los</w:t>
      </w:r>
      <w:r>
        <w:rPr>
          <w:spacing w:val="-3"/>
        </w:rPr>
        <w:t> </w:t>
      </w:r>
      <w:r>
        <w:rPr/>
        <w:t>mismos</w:t>
      </w:r>
      <w:r>
        <w:rPr>
          <w:spacing w:val="-7"/>
        </w:rPr>
        <w:t> </w:t>
      </w:r>
      <w:r>
        <w:rPr/>
        <w:t>sistemas</w:t>
      </w:r>
      <w:r>
        <w:rPr>
          <w:spacing w:val="-7"/>
        </w:rPr>
        <w:t> </w:t>
      </w:r>
      <w:r>
        <w:rPr/>
        <w:t>en</w:t>
      </w:r>
      <w:r>
        <w:rPr>
          <w:spacing w:val="-8"/>
        </w:rPr>
        <w:t> </w:t>
      </w:r>
      <w:r>
        <w:rPr/>
        <w:t>el</w:t>
      </w:r>
      <w:r>
        <w:rPr>
          <w:spacing w:val="-8"/>
        </w:rPr>
        <w:t> </w:t>
      </w:r>
      <w:r>
        <w:rPr/>
        <w:t>momento</w:t>
      </w:r>
      <w:r>
        <w:rPr>
          <w:spacing w:val="-7"/>
        </w:rPr>
        <w:t> </w:t>
      </w:r>
      <w:r>
        <w:rPr/>
        <w:t>del</w:t>
      </w:r>
      <w:r>
        <w:rPr>
          <w:spacing w:val="-5"/>
        </w:rPr>
        <w:t> </w:t>
      </w:r>
      <w:r>
        <w:rPr/>
        <w:t>descorne,</w:t>
      </w:r>
      <w:r>
        <w:rPr>
          <w:spacing w:val="-6"/>
        </w:rPr>
        <w:t> </w:t>
      </w:r>
      <w:r>
        <w:rPr/>
        <w:t>por</w:t>
      </w:r>
      <w:r>
        <w:rPr>
          <w:spacing w:val="-4"/>
        </w:rPr>
        <w:t> </w:t>
      </w:r>
      <w:r>
        <w:rPr/>
        <w:t>lo</w:t>
      </w:r>
      <w:r>
        <w:rPr>
          <w:spacing w:val="-6"/>
        </w:rPr>
        <w:t> </w:t>
      </w:r>
      <w:r>
        <w:rPr/>
        <w:t>que este hallazgo no es inesperado para los terneros machos, ya que existe un acuerdo general en que el principal beneficio evolutivo de que los machos tengan cuernos más grandes que las hembras se relaciona con la competencia intrasexual por las parejas. Los hallazgos sugieren que los terneros deben ser descornados cuando el desarrollo del cuerno aún está en la etapa de yema y cuando la yema es lo suficientemente grande como para ser fácilmente palpable o visible, pero no demasiado grande como para que el desmoche pueda provocar un traumatismo en el tejido. Este enfoque podría minimizar el dolor y reducir el riesgo de complicaciones durante el procedimiento de descorne (Marquette </w:t>
      </w:r>
      <w:r>
        <w:rPr>
          <w:i/>
        </w:rPr>
        <w:t>et al., </w:t>
      </w:r>
      <w:r>
        <w:rPr/>
        <w:t>2021).</w:t>
      </w:r>
    </w:p>
    <w:p>
      <w:pPr>
        <w:pStyle w:val="Heading2"/>
        <w:numPr>
          <w:ilvl w:val="1"/>
          <w:numId w:val="9"/>
        </w:numPr>
        <w:tabs>
          <w:tab w:pos="1701" w:val="left" w:leader="none"/>
        </w:tabs>
        <w:spacing w:line="240" w:lineRule="auto" w:before="241" w:after="0"/>
        <w:ind w:left="1701" w:right="0" w:hanging="566"/>
        <w:jc w:val="left"/>
      </w:pPr>
      <w:bookmarkStart w:name="_bookmark22" w:id="23"/>
      <w:bookmarkEnd w:id="23"/>
      <w:r>
        <w:rPr>
          <w:b w:val="0"/>
        </w:rPr>
      </w:r>
      <w:r>
        <w:rPr/>
        <w:t>Manejo</w:t>
      </w:r>
      <w:r>
        <w:rPr>
          <w:spacing w:val="-2"/>
        </w:rPr>
        <w:t> </w:t>
      </w:r>
      <w:r>
        <w:rPr/>
        <w:t>del</w:t>
      </w:r>
      <w:r>
        <w:rPr>
          <w:spacing w:val="-1"/>
        </w:rPr>
        <w:t> </w:t>
      </w:r>
      <w:r>
        <w:rPr/>
        <w:t>dolor</w:t>
      </w:r>
      <w:r>
        <w:rPr>
          <w:spacing w:val="-2"/>
        </w:rPr>
        <w:t> </w:t>
      </w:r>
      <w:r>
        <w:rPr/>
        <w:t>en</w:t>
      </w:r>
      <w:r>
        <w:rPr>
          <w:spacing w:val="-2"/>
        </w:rPr>
        <w:t> descorne</w:t>
      </w:r>
    </w:p>
    <w:p>
      <w:pPr>
        <w:pStyle w:val="BodyText"/>
        <w:spacing w:before="103"/>
        <w:ind w:left="0"/>
        <w:rPr>
          <w:b/>
        </w:rPr>
      </w:pPr>
    </w:p>
    <w:p>
      <w:pPr>
        <w:pStyle w:val="Heading2"/>
        <w:numPr>
          <w:ilvl w:val="2"/>
          <w:numId w:val="9"/>
        </w:numPr>
        <w:tabs>
          <w:tab w:pos="1855" w:val="left" w:leader="none"/>
        </w:tabs>
        <w:spacing w:line="240" w:lineRule="auto" w:before="0" w:after="0"/>
        <w:ind w:left="1855" w:right="0" w:hanging="720"/>
        <w:jc w:val="left"/>
      </w:pPr>
      <w:bookmarkStart w:name="_bookmark23" w:id="24"/>
      <w:bookmarkEnd w:id="24"/>
      <w:r>
        <w:rPr>
          <w:b w:val="0"/>
        </w:rPr>
      </w:r>
      <w:r>
        <w:rPr>
          <w:spacing w:val="-2"/>
        </w:rPr>
        <w:t>Generalidades</w:t>
      </w:r>
    </w:p>
    <w:p>
      <w:pPr>
        <w:pStyle w:val="BodyText"/>
        <w:spacing w:before="100"/>
        <w:ind w:left="0"/>
        <w:rPr>
          <w:b/>
        </w:rPr>
      </w:pPr>
    </w:p>
    <w:p>
      <w:pPr>
        <w:pStyle w:val="BodyText"/>
        <w:spacing w:before="1"/>
        <w:jc w:val="both"/>
      </w:pPr>
      <w:r>
        <w:rPr/>
        <w:t>En</w:t>
      </w:r>
      <w:r>
        <w:rPr>
          <w:spacing w:val="39"/>
        </w:rPr>
        <w:t> </w:t>
      </w:r>
      <w:r>
        <w:rPr/>
        <w:t>bovinos,</w:t>
      </w:r>
      <w:r>
        <w:rPr>
          <w:spacing w:val="39"/>
        </w:rPr>
        <w:t> </w:t>
      </w:r>
      <w:r>
        <w:rPr/>
        <w:t>los</w:t>
      </w:r>
      <w:r>
        <w:rPr>
          <w:spacing w:val="37"/>
        </w:rPr>
        <w:t> </w:t>
      </w:r>
      <w:r>
        <w:rPr/>
        <w:t>cuernos</w:t>
      </w:r>
      <w:r>
        <w:rPr>
          <w:spacing w:val="41"/>
        </w:rPr>
        <w:t> </w:t>
      </w:r>
      <w:r>
        <w:rPr/>
        <w:t>se</w:t>
      </w:r>
      <w:r>
        <w:rPr>
          <w:spacing w:val="38"/>
        </w:rPr>
        <w:t> </w:t>
      </w:r>
      <w:r>
        <w:rPr/>
        <w:t>desarrollan</w:t>
      </w:r>
      <w:r>
        <w:rPr>
          <w:spacing w:val="39"/>
        </w:rPr>
        <w:t> </w:t>
      </w:r>
      <w:r>
        <w:rPr/>
        <w:t>a</w:t>
      </w:r>
      <w:r>
        <w:rPr>
          <w:spacing w:val="38"/>
        </w:rPr>
        <w:t> </w:t>
      </w:r>
      <w:r>
        <w:rPr/>
        <w:t>partir</w:t>
      </w:r>
      <w:r>
        <w:rPr>
          <w:spacing w:val="41"/>
        </w:rPr>
        <w:t> </w:t>
      </w:r>
      <w:r>
        <w:rPr/>
        <w:t>de</w:t>
      </w:r>
      <w:r>
        <w:rPr>
          <w:spacing w:val="38"/>
        </w:rPr>
        <w:t> </w:t>
      </w:r>
      <w:r>
        <w:rPr/>
        <w:t>tejidos</w:t>
      </w:r>
      <w:r>
        <w:rPr>
          <w:spacing w:val="40"/>
        </w:rPr>
        <w:t> </w:t>
      </w:r>
      <w:r>
        <w:rPr/>
        <w:t>flotantes</w:t>
      </w:r>
      <w:r>
        <w:rPr>
          <w:spacing w:val="39"/>
        </w:rPr>
        <w:t> </w:t>
      </w:r>
      <w:r>
        <w:rPr/>
        <w:t>o</w:t>
      </w:r>
      <w:r>
        <w:rPr>
          <w:spacing w:val="39"/>
        </w:rPr>
        <w:t> </w:t>
      </w:r>
      <w:r>
        <w:rPr/>
        <w:t>brotes</w:t>
      </w:r>
      <w:r>
        <w:rPr>
          <w:spacing w:val="39"/>
        </w:rPr>
        <w:t> </w:t>
      </w:r>
      <w:r>
        <w:rPr>
          <w:spacing w:val="-5"/>
        </w:rPr>
        <w:t>de</w:t>
      </w:r>
    </w:p>
    <w:p>
      <w:pPr>
        <w:pStyle w:val="BodyText"/>
        <w:spacing w:after="0"/>
        <w:jc w:val="both"/>
        <w:sectPr>
          <w:pgSz w:w="11900" w:h="16860"/>
          <w:pgMar w:header="0" w:footer="1084" w:top="1620" w:bottom="1280" w:left="1133" w:right="850"/>
        </w:sectPr>
      </w:pPr>
    </w:p>
    <w:p>
      <w:pPr>
        <w:pStyle w:val="BodyText"/>
        <w:spacing w:line="360" w:lineRule="auto" w:before="70"/>
        <w:ind w:right="845"/>
        <w:jc w:val="both"/>
      </w:pPr>
      <w:r>
        <w:rPr/>
        <w:t>cuerno,</w:t>
      </w:r>
      <w:r>
        <w:rPr>
          <w:spacing w:val="-15"/>
        </w:rPr>
        <w:t> </w:t>
      </w:r>
      <w:r>
        <w:rPr/>
        <w:t>conocidos</w:t>
      </w:r>
      <w:r>
        <w:rPr>
          <w:spacing w:val="-15"/>
        </w:rPr>
        <w:t> </w:t>
      </w:r>
      <w:r>
        <w:rPr/>
        <w:t>como</w:t>
      </w:r>
      <w:r>
        <w:rPr>
          <w:spacing w:val="-15"/>
        </w:rPr>
        <w:t> </w:t>
      </w:r>
      <w:r>
        <w:rPr/>
        <w:t>"botón</w:t>
      </w:r>
      <w:r>
        <w:rPr>
          <w:spacing w:val="-15"/>
        </w:rPr>
        <w:t> </w:t>
      </w:r>
      <w:r>
        <w:rPr/>
        <w:t>cornual",</w:t>
      </w:r>
      <w:r>
        <w:rPr>
          <w:spacing w:val="-15"/>
        </w:rPr>
        <w:t> </w:t>
      </w:r>
      <w:r>
        <w:rPr/>
        <w:t>que</w:t>
      </w:r>
      <w:r>
        <w:rPr>
          <w:spacing w:val="-15"/>
        </w:rPr>
        <w:t> </w:t>
      </w:r>
      <w:r>
        <w:rPr/>
        <w:t>emergen</w:t>
      </w:r>
      <w:r>
        <w:rPr>
          <w:spacing w:val="-15"/>
        </w:rPr>
        <w:t> </w:t>
      </w:r>
      <w:r>
        <w:rPr/>
        <w:t>en</w:t>
      </w:r>
      <w:r>
        <w:rPr>
          <w:spacing w:val="-15"/>
        </w:rPr>
        <w:t> </w:t>
      </w:r>
      <w:r>
        <w:rPr/>
        <w:t>la</w:t>
      </w:r>
      <w:r>
        <w:rPr>
          <w:spacing w:val="-15"/>
        </w:rPr>
        <w:t> </w:t>
      </w:r>
      <w:r>
        <w:rPr/>
        <w:t>piel</w:t>
      </w:r>
      <w:r>
        <w:rPr>
          <w:spacing w:val="-15"/>
        </w:rPr>
        <w:t> </w:t>
      </w:r>
      <w:r>
        <w:rPr/>
        <w:t>de</w:t>
      </w:r>
      <w:r>
        <w:rPr>
          <w:spacing w:val="-15"/>
        </w:rPr>
        <w:t> </w:t>
      </w:r>
      <w:r>
        <w:rPr/>
        <w:t>la</w:t>
      </w:r>
      <w:r>
        <w:rPr>
          <w:spacing w:val="-15"/>
        </w:rPr>
        <w:t> </w:t>
      </w:r>
      <w:r>
        <w:rPr/>
        <w:t>región</w:t>
      </w:r>
      <w:r>
        <w:rPr>
          <w:spacing w:val="-15"/>
        </w:rPr>
        <w:t> </w:t>
      </w:r>
      <w:r>
        <w:rPr/>
        <w:t>frontal de la cabeza poco después del nacimiento, conforme el animal crece, alrededor de los dos</w:t>
      </w:r>
      <w:r>
        <w:rPr>
          <w:spacing w:val="-1"/>
        </w:rPr>
        <w:t> </w:t>
      </w:r>
      <w:r>
        <w:rPr/>
        <w:t>meses de</w:t>
      </w:r>
      <w:r>
        <w:rPr>
          <w:spacing w:val="-4"/>
        </w:rPr>
        <w:t> </w:t>
      </w:r>
      <w:r>
        <w:rPr/>
        <w:t>vida,</w:t>
      </w:r>
      <w:r>
        <w:rPr>
          <w:spacing w:val="-1"/>
        </w:rPr>
        <w:t> </w:t>
      </w:r>
      <w:r>
        <w:rPr/>
        <w:t>el</w:t>
      </w:r>
      <w:r>
        <w:rPr>
          <w:spacing w:val="-1"/>
        </w:rPr>
        <w:t> </w:t>
      </w:r>
      <w:r>
        <w:rPr/>
        <w:t>botón</w:t>
      </w:r>
      <w:r>
        <w:rPr>
          <w:spacing w:val="-1"/>
        </w:rPr>
        <w:t> </w:t>
      </w:r>
      <w:r>
        <w:rPr/>
        <w:t>del</w:t>
      </w:r>
      <w:r>
        <w:rPr>
          <w:spacing w:val="-1"/>
        </w:rPr>
        <w:t> </w:t>
      </w:r>
      <w:r>
        <w:rPr/>
        <w:t>cuerno</w:t>
      </w:r>
      <w:r>
        <w:rPr>
          <w:spacing w:val="-4"/>
        </w:rPr>
        <w:t> </w:t>
      </w:r>
      <w:r>
        <w:rPr/>
        <w:t>se</w:t>
      </w:r>
      <w:r>
        <w:rPr>
          <w:spacing w:val="-2"/>
        </w:rPr>
        <w:t> </w:t>
      </w:r>
      <w:r>
        <w:rPr/>
        <w:t>conecta</w:t>
      </w:r>
      <w:r>
        <w:rPr>
          <w:spacing w:val="-4"/>
        </w:rPr>
        <w:t> </w:t>
      </w:r>
      <w:r>
        <w:rPr/>
        <w:t>al</w:t>
      </w:r>
      <w:r>
        <w:rPr>
          <w:spacing w:val="-1"/>
        </w:rPr>
        <w:t> </w:t>
      </w:r>
      <w:r>
        <w:rPr/>
        <w:t>periostio del</w:t>
      </w:r>
      <w:r>
        <w:rPr>
          <w:spacing w:val="-1"/>
        </w:rPr>
        <w:t> </w:t>
      </w:r>
      <w:r>
        <w:rPr/>
        <w:t>hueso frontal del cráneo y comienza a crecer como una extensión de este (Adcock &amp; Tucker, </w:t>
      </w:r>
      <w:r>
        <w:rPr>
          <w:spacing w:val="-2"/>
        </w:rPr>
        <w:t>2022).</w:t>
      </w:r>
    </w:p>
    <w:p>
      <w:pPr>
        <w:pStyle w:val="BodyText"/>
        <w:spacing w:line="360" w:lineRule="auto" w:before="239"/>
        <w:ind w:right="842"/>
        <w:jc w:val="both"/>
      </w:pPr>
      <w:r>
        <w:rPr/>
        <w:t>La intervención quirúrgica de eliminar los botones cornuales antes de que se unan al hueso frontal se conoce como "desbotonamiento", mientras que la eliminación en</w:t>
      </w:r>
      <w:r>
        <w:rPr>
          <w:spacing w:val="-4"/>
        </w:rPr>
        <w:t> </w:t>
      </w:r>
      <w:r>
        <w:rPr/>
        <w:t>etapas</w:t>
      </w:r>
      <w:r>
        <w:rPr>
          <w:spacing w:val="-4"/>
        </w:rPr>
        <w:t> </w:t>
      </w:r>
      <w:r>
        <w:rPr/>
        <w:t>posteriores</w:t>
      </w:r>
      <w:r>
        <w:rPr>
          <w:spacing w:val="-4"/>
        </w:rPr>
        <w:t> </w:t>
      </w:r>
      <w:r>
        <w:rPr/>
        <w:t>se</w:t>
      </w:r>
      <w:r>
        <w:rPr>
          <w:spacing w:val="-5"/>
        </w:rPr>
        <w:t> </w:t>
      </w:r>
      <w:r>
        <w:rPr/>
        <w:t>llama</w:t>
      </w:r>
      <w:r>
        <w:rPr>
          <w:spacing w:val="-4"/>
        </w:rPr>
        <w:t> </w:t>
      </w:r>
      <w:r>
        <w:rPr/>
        <w:t>"descorne".</w:t>
      </w:r>
      <w:r>
        <w:rPr>
          <w:spacing w:val="-2"/>
        </w:rPr>
        <w:t> </w:t>
      </w:r>
      <w:r>
        <w:rPr/>
        <w:t>Ambos</w:t>
      </w:r>
      <w:r>
        <w:rPr>
          <w:spacing w:val="-3"/>
        </w:rPr>
        <w:t> </w:t>
      </w:r>
      <w:r>
        <w:rPr/>
        <w:t>procedimientos</w:t>
      </w:r>
      <w:r>
        <w:rPr>
          <w:spacing w:val="-2"/>
        </w:rPr>
        <w:t> </w:t>
      </w:r>
      <w:r>
        <w:rPr/>
        <w:t>generan estrés y dolor en los animales, por lo que la medicina veterinaria se ha centrado en reducir estos efectos en beneficio del bienestar animal. Varios países han establecido legislaciones relacionadas con el cuidado durante el desbotonamiento/descorne de los animales (Martins, et al., 2025)</w:t>
      </w:r>
    </w:p>
    <w:p>
      <w:pPr>
        <w:pStyle w:val="BodyText"/>
        <w:spacing w:line="360" w:lineRule="auto" w:before="242"/>
        <w:ind w:right="842"/>
        <w:jc w:val="both"/>
      </w:pPr>
      <w:r>
        <w:rPr/>
        <w:t>Según el "Código Sanitario para los Animales Terrestres" (OIE, 2016), se establecen pautas mundialmente reconocidas para garantizar el bienestar de los animales. Estas incluyen que los animales deben estar libres de temor, angustia, molestias</w:t>
      </w:r>
      <w:r>
        <w:rPr>
          <w:spacing w:val="-9"/>
        </w:rPr>
        <w:t> </w:t>
      </w:r>
      <w:r>
        <w:rPr/>
        <w:t>físicas y</w:t>
      </w:r>
      <w:r>
        <w:rPr>
          <w:spacing w:val="-15"/>
        </w:rPr>
        <w:t> </w:t>
      </w:r>
      <w:r>
        <w:rPr/>
        <w:t>térmicas,</w:t>
      </w:r>
      <w:r>
        <w:rPr>
          <w:spacing w:val="-5"/>
        </w:rPr>
        <w:t> </w:t>
      </w:r>
      <w:r>
        <w:rPr/>
        <w:t>así</w:t>
      </w:r>
      <w:r>
        <w:rPr>
          <w:spacing w:val="-3"/>
        </w:rPr>
        <w:t> </w:t>
      </w:r>
      <w:r>
        <w:rPr/>
        <w:t>como</w:t>
      </w:r>
      <w:r>
        <w:rPr>
          <w:spacing w:val="-7"/>
        </w:rPr>
        <w:t> </w:t>
      </w:r>
      <w:r>
        <w:rPr/>
        <w:t>libres</w:t>
      </w:r>
      <w:r>
        <w:rPr>
          <w:spacing w:val="-5"/>
        </w:rPr>
        <w:t> </w:t>
      </w:r>
      <w:r>
        <w:rPr/>
        <w:t>de</w:t>
      </w:r>
      <w:r>
        <w:rPr>
          <w:spacing w:val="-12"/>
        </w:rPr>
        <w:t> </w:t>
      </w:r>
      <w:r>
        <w:rPr/>
        <w:t>dolor,</w:t>
      </w:r>
      <w:r>
        <w:rPr>
          <w:spacing w:val="-11"/>
        </w:rPr>
        <w:t> </w:t>
      </w:r>
      <w:r>
        <w:rPr/>
        <w:t>lesiones y</w:t>
      </w:r>
      <w:r>
        <w:rPr>
          <w:spacing w:val="-15"/>
        </w:rPr>
        <w:t> </w:t>
      </w:r>
      <w:r>
        <w:rPr/>
        <w:t>enfermedades.</w:t>
      </w:r>
      <w:r>
        <w:rPr>
          <w:spacing w:val="-5"/>
        </w:rPr>
        <w:t> </w:t>
      </w:r>
      <w:r>
        <w:rPr/>
        <w:t>Por lo</w:t>
      </w:r>
      <w:r>
        <w:rPr>
          <w:spacing w:val="-8"/>
        </w:rPr>
        <w:t> </w:t>
      </w:r>
      <w:r>
        <w:rPr/>
        <w:t>tanto,</w:t>
      </w:r>
      <w:r>
        <w:rPr>
          <w:spacing w:val="-8"/>
        </w:rPr>
        <w:t> </w:t>
      </w:r>
      <w:r>
        <w:rPr/>
        <w:t>es</w:t>
      </w:r>
      <w:r>
        <w:rPr>
          <w:spacing w:val="-8"/>
        </w:rPr>
        <w:t> </w:t>
      </w:r>
      <w:r>
        <w:rPr/>
        <w:t>fundamental</w:t>
      </w:r>
      <w:r>
        <w:rPr>
          <w:spacing w:val="-7"/>
        </w:rPr>
        <w:t> </w:t>
      </w:r>
      <w:r>
        <w:rPr/>
        <w:t>implementar</w:t>
      </w:r>
      <w:r>
        <w:rPr>
          <w:spacing w:val="-10"/>
        </w:rPr>
        <w:t> </w:t>
      </w:r>
      <w:r>
        <w:rPr/>
        <w:t>prácticas</w:t>
      </w:r>
      <w:r>
        <w:rPr>
          <w:spacing w:val="-7"/>
        </w:rPr>
        <w:t> </w:t>
      </w:r>
      <w:r>
        <w:rPr/>
        <w:t>adecuadas</w:t>
      </w:r>
      <w:r>
        <w:rPr>
          <w:spacing w:val="-7"/>
        </w:rPr>
        <w:t> </w:t>
      </w:r>
      <w:r>
        <w:rPr/>
        <w:t>de</w:t>
      </w:r>
      <w:r>
        <w:rPr>
          <w:spacing w:val="-11"/>
        </w:rPr>
        <w:t> </w:t>
      </w:r>
      <w:r>
        <w:rPr/>
        <w:t>manejo</w:t>
      </w:r>
      <w:r>
        <w:rPr>
          <w:spacing w:val="-7"/>
        </w:rPr>
        <w:t> </w:t>
      </w:r>
      <w:r>
        <w:rPr/>
        <w:t>del</w:t>
      </w:r>
      <w:r>
        <w:rPr>
          <w:spacing w:val="-8"/>
        </w:rPr>
        <w:t> </w:t>
      </w:r>
      <w:r>
        <w:rPr/>
        <w:t>dolor</w:t>
      </w:r>
      <w:r>
        <w:rPr>
          <w:spacing w:val="-10"/>
        </w:rPr>
        <w:t> </w:t>
      </w:r>
      <w:r>
        <w:rPr/>
        <w:t>para garantizar su bienestar. Tras el descornado, es común observar niveles altos de corticosteroides en la circulación, los cuales indican alteraciones en el eje hipotálamo-pituitario-adrenal (Prior </w:t>
      </w:r>
      <w:r>
        <w:rPr>
          <w:i/>
        </w:rPr>
        <w:t>et al</w:t>
      </w:r>
      <w:r>
        <w:rPr/>
        <w:t>., 2023).</w:t>
      </w:r>
    </w:p>
    <w:p>
      <w:pPr>
        <w:pStyle w:val="BodyText"/>
        <w:spacing w:line="360" w:lineRule="auto" w:before="239"/>
        <w:ind w:right="846"/>
        <w:jc w:val="both"/>
      </w:pPr>
      <w:r>
        <w:rPr/>
        <w:t>Los terneros muestran sensibilidad al dolor durante el procedimiento y al estar físicamente restringidos. Aunque se administre anestesia local durante el descornado, todavía se requiere contención física, y la diferencia en la respuesta conductual entre los terneros tratados y no tratados puede ser tan sutil que los observadores encuentren difícil determinar si se logró un bloqueo nervioso completo. Además, los terneros deben ser sujetados durante la administración del anestésico local y durante el descornado, lo que resulta en estrés asociado con la contención en dos momentos, y aun así es posible que no reciban un bloqueo nervioso completo, complicando o aumentando los niveles de cortisol en sangre (Saraceni </w:t>
      </w:r>
      <w:r>
        <w:rPr>
          <w:i/>
        </w:rPr>
        <w:t>et al</w:t>
      </w:r>
      <w:r>
        <w:rPr/>
        <w:t>., 2021).</w:t>
      </w:r>
    </w:p>
    <w:p>
      <w:pPr>
        <w:pStyle w:val="BodyText"/>
        <w:spacing w:after="0" w:line="360" w:lineRule="auto"/>
        <w:jc w:val="both"/>
        <w:sectPr>
          <w:pgSz w:w="11900" w:h="16860"/>
          <w:pgMar w:header="0" w:footer="1084" w:top="1620" w:bottom="1280" w:left="1133" w:right="850"/>
        </w:sectPr>
      </w:pPr>
    </w:p>
    <w:p>
      <w:pPr>
        <w:pStyle w:val="Heading2"/>
        <w:numPr>
          <w:ilvl w:val="2"/>
          <w:numId w:val="9"/>
        </w:numPr>
        <w:tabs>
          <w:tab w:pos="1843" w:val="left" w:leader="none"/>
        </w:tabs>
        <w:spacing w:line="240" w:lineRule="auto" w:before="70" w:after="0"/>
        <w:ind w:left="1843" w:right="0" w:hanging="708"/>
        <w:jc w:val="left"/>
      </w:pPr>
      <w:bookmarkStart w:name="_bookmark24" w:id="25"/>
      <w:bookmarkEnd w:id="25"/>
      <w:r>
        <w:rPr>
          <w:b w:val="0"/>
        </w:rPr>
      </w:r>
      <w:r>
        <w:rPr/>
        <w:t>Medicamentos</w:t>
      </w:r>
      <w:r>
        <w:rPr>
          <w:spacing w:val="-8"/>
        </w:rPr>
        <w:t> </w:t>
      </w:r>
      <w:r>
        <w:rPr/>
        <w:t>usados</w:t>
      </w:r>
      <w:r>
        <w:rPr>
          <w:spacing w:val="-4"/>
        </w:rPr>
        <w:t> </w:t>
      </w:r>
      <w:r>
        <w:rPr/>
        <w:t>para</w:t>
      </w:r>
      <w:r>
        <w:rPr>
          <w:spacing w:val="-4"/>
        </w:rPr>
        <w:t> </w:t>
      </w:r>
      <w:r>
        <w:rPr/>
        <w:t>el manejo</w:t>
      </w:r>
      <w:r>
        <w:rPr>
          <w:spacing w:val="-3"/>
        </w:rPr>
        <w:t> </w:t>
      </w:r>
      <w:r>
        <w:rPr/>
        <w:t>del</w:t>
      </w:r>
      <w:r>
        <w:rPr>
          <w:spacing w:val="-4"/>
        </w:rPr>
        <w:t> </w:t>
      </w:r>
      <w:r>
        <w:rPr/>
        <w:t>dolor</w:t>
      </w:r>
      <w:r>
        <w:rPr>
          <w:spacing w:val="-3"/>
        </w:rPr>
        <w:t> </w:t>
      </w:r>
      <w:r>
        <w:rPr/>
        <w:t>del </w:t>
      </w:r>
      <w:r>
        <w:rPr>
          <w:spacing w:val="-2"/>
        </w:rPr>
        <w:t>descorne</w:t>
      </w:r>
    </w:p>
    <w:p>
      <w:pPr>
        <w:pStyle w:val="BodyText"/>
        <w:spacing w:before="101"/>
        <w:ind w:left="0"/>
        <w:rPr>
          <w:b/>
        </w:rPr>
      </w:pPr>
    </w:p>
    <w:p>
      <w:pPr>
        <w:pStyle w:val="BodyText"/>
        <w:spacing w:line="360" w:lineRule="auto"/>
        <w:ind w:right="845"/>
        <w:jc w:val="both"/>
      </w:pPr>
      <w:r>
        <w:rPr/>
        <w:t>Para prevenir el dolor en el ganado, se pueden emplear diferentes enfoques como la anestesia general, la anestesia local y/o la analgesia sistémica. Sin embargo, la aplicación de anestesia general en un gran número de bovinos en las granjas no es práctica. Por ello, los anestésicos locales (principalmente lidocaína) y los analgésicos antiinflamatorios no esteroideos (AINEs) son los fármacos más comúnmente utilizados para minimizar el dolor en el ganado (Schoiswohl </w:t>
      </w:r>
      <w:r>
        <w:rPr>
          <w:i/>
        </w:rPr>
        <w:t>et al</w:t>
      </w:r>
      <w:r>
        <w:rPr/>
        <w:t>., </w:t>
      </w:r>
      <w:r>
        <w:rPr>
          <w:spacing w:val="-2"/>
        </w:rPr>
        <w:t>2022).</w:t>
      </w:r>
    </w:p>
    <w:p>
      <w:pPr>
        <w:pStyle w:val="BodyText"/>
        <w:spacing w:line="360" w:lineRule="auto" w:before="242"/>
        <w:ind w:right="845"/>
        <w:jc w:val="both"/>
      </w:pPr>
      <w:r>
        <w:rPr/>
        <w:t>Los anestésicos locales proporcionan alivio del dolor durante las primeras 2 a 4 horas después del descornado, dependiendo del tipo utilizado. El Código Canadiense de Prácticas para el Ganado Lechero recomienda su uso en este procedimiento.</w:t>
      </w:r>
      <w:r>
        <w:rPr>
          <w:spacing w:val="-6"/>
        </w:rPr>
        <w:t> </w:t>
      </w:r>
      <w:r>
        <w:rPr/>
        <w:t>Sin</w:t>
      </w:r>
      <w:r>
        <w:rPr>
          <w:spacing w:val="-4"/>
        </w:rPr>
        <w:t> </w:t>
      </w:r>
      <w:r>
        <w:rPr/>
        <w:t>embargo,</w:t>
      </w:r>
      <w:r>
        <w:rPr>
          <w:spacing w:val="-4"/>
        </w:rPr>
        <w:t> </w:t>
      </w:r>
      <w:r>
        <w:rPr/>
        <w:t>hay</w:t>
      </w:r>
      <w:r>
        <w:rPr>
          <w:spacing w:val="-11"/>
        </w:rPr>
        <w:t> </w:t>
      </w:r>
      <w:r>
        <w:rPr/>
        <w:t>evidencia</w:t>
      </w:r>
      <w:r>
        <w:rPr>
          <w:spacing w:val="-4"/>
        </w:rPr>
        <w:t> </w:t>
      </w:r>
      <w:r>
        <w:rPr/>
        <w:t>que</w:t>
      </w:r>
      <w:r>
        <w:rPr>
          <w:spacing w:val="-8"/>
        </w:rPr>
        <w:t> </w:t>
      </w:r>
      <w:r>
        <w:rPr/>
        <w:t>sugiere</w:t>
      </w:r>
      <w:r>
        <w:rPr>
          <w:spacing w:val="-7"/>
        </w:rPr>
        <w:t> </w:t>
      </w:r>
      <w:r>
        <w:rPr/>
        <w:t>que</w:t>
      </w:r>
      <w:r>
        <w:rPr>
          <w:spacing w:val="-8"/>
        </w:rPr>
        <w:t> </w:t>
      </w:r>
      <w:r>
        <w:rPr/>
        <w:t>los</w:t>
      </w:r>
      <w:r>
        <w:rPr>
          <w:spacing w:val="-1"/>
        </w:rPr>
        <w:t> </w:t>
      </w:r>
      <w:r>
        <w:rPr/>
        <w:t>anestésicos locales pueden retrasar en lugar de aliviar el dolor asociado con el descornado, ya que se ha</w:t>
      </w:r>
      <w:r>
        <w:rPr>
          <w:spacing w:val="-13"/>
        </w:rPr>
        <w:t> </w:t>
      </w:r>
      <w:r>
        <w:rPr/>
        <w:t>observado</w:t>
      </w:r>
      <w:r>
        <w:rPr>
          <w:spacing w:val="-10"/>
        </w:rPr>
        <w:t> </w:t>
      </w:r>
      <w:r>
        <w:rPr/>
        <w:t>un</w:t>
      </w:r>
      <w:r>
        <w:rPr>
          <w:spacing w:val="-8"/>
        </w:rPr>
        <w:t> </w:t>
      </w:r>
      <w:r>
        <w:rPr/>
        <w:t>aumento</w:t>
      </w:r>
      <w:r>
        <w:rPr>
          <w:spacing w:val="-12"/>
        </w:rPr>
        <w:t> </w:t>
      </w:r>
      <w:r>
        <w:rPr/>
        <w:t>brusco</w:t>
      </w:r>
      <w:r>
        <w:rPr>
          <w:spacing w:val="-8"/>
        </w:rPr>
        <w:t> </w:t>
      </w:r>
      <w:r>
        <w:rPr/>
        <w:t>en</w:t>
      </w:r>
      <w:r>
        <w:rPr>
          <w:spacing w:val="-11"/>
        </w:rPr>
        <w:t> </w:t>
      </w:r>
      <w:r>
        <w:rPr/>
        <w:t>los</w:t>
      </w:r>
      <w:r>
        <w:rPr>
          <w:spacing w:val="-10"/>
        </w:rPr>
        <w:t> </w:t>
      </w:r>
      <w:r>
        <w:rPr/>
        <w:t>niveles</w:t>
      </w:r>
      <w:r>
        <w:rPr>
          <w:spacing w:val="-8"/>
        </w:rPr>
        <w:t> </w:t>
      </w:r>
      <w:r>
        <w:rPr/>
        <w:t>de</w:t>
      </w:r>
      <w:r>
        <w:rPr>
          <w:spacing w:val="-7"/>
        </w:rPr>
        <w:t> </w:t>
      </w:r>
      <w:r>
        <w:rPr/>
        <w:t>cortisol</w:t>
      </w:r>
      <w:r>
        <w:rPr>
          <w:spacing w:val="-10"/>
        </w:rPr>
        <w:t> </w:t>
      </w:r>
      <w:r>
        <w:rPr/>
        <w:t>una</w:t>
      </w:r>
      <w:r>
        <w:rPr>
          <w:spacing w:val="-12"/>
        </w:rPr>
        <w:t> </w:t>
      </w:r>
      <w:r>
        <w:rPr/>
        <w:t>vez</w:t>
      </w:r>
      <w:r>
        <w:rPr>
          <w:spacing w:val="-9"/>
        </w:rPr>
        <w:t> </w:t>
      </w:r>
      <w:r>
        <w:rPr/>
        <w:t>que</w:t>
      </w:r>
      <w:r>
        <w:rPr>
          <w:spacing w:val="-9"/>
        </w:rPr>
        <w:t> </w:t>
      </w:r>
      <w:r>
        <w:rPr/>
        <w:t>el</w:t>
      </w:r>
      <w:r>
        <w:rPr>
          <w:spacing w:val="-8"/>
        </w:rPr>
        <w:t> </w:t>
      </w:r>
      <w:r>
        <w:rPr/>
        <w:t>efecto</w:t>
      </w:r>
      <w:r>
        <w:rPr>
          <w:spacing w:val="-10"/>
        </w:rPr>
        <w:t> </w:t>
      </w:r>
      <w:r>
        <w:rPr/>
        <w:t>del anestésico local desaparece (Marquettea </w:t>
      </w:r>
      <w:r>
        <w:rPr>
          <w:i/>
        </w:rPr>
        <w:t>et al</w:t>
      </w:r>
      <w:r>
        <w:rPr/>
        <w:t>., 2023).</w:t>
      </w:r>
    </w:p>
    <w:p>
      <w:pPr>
        <w:pStyle w:val="BodyText"/>
        <w:spacing w:line="360" w:lineRule="auto" w:before="240"/>
        <w:ind w:right="842"/>
        <w:jc w:val="both"/>
      </w:pPr>
      <w:r>
        <w:rPr/>
        <w:t>Se ha reportado que el uso conjunto de un anestésico local y un fármaco antiinflamatorio no esteroideo (AINE) puede reducir la manifestación del dolor relacionado</w:t>
      </w:r>
      <w:r>
        <w:rPr>
          <w:spacing w:val="-3"/>
        </w:rPr>
        <w:t> </w:t>
      </w:r>
      <w:r>
        <w:rPr/>
        <w:t>con</w:t>
      </w:r>
      <w:r>
        <w:rPr>
          <w:spacing w:val="-8"/>
        </w:rPr>
        <w:t> </w:t>
      </w:r>
      <w:r>
        <w:rPr/>
        <w:t>el</w:t>
      </w:r>
      <w:r>
        <w:rPr>
          <w:spacing w:val="-7"/>
        </w:rPr>
        <w:t> </w:t>
      </w:r>
      <w:r>
        <w:rPr/>
        <w:t>descornado.</w:t>
      </w:r>
      <w:r>
        <w:rPr>
          <w:spacing w:val="-3"/>
        </w:rPr>
        <w:t> </w:t>
      </w:r>
      <w:r>
        <w:rPr/>
        <w:t>Investigaciones</w:t>
      </w:r>
      <w:r>
        <w:rPr>
          <w:spacing w:val="-7"/>
        </w:rPr>
        <w:t> </w:t>
      </w:r>
      <w:r>
        <w:rPr/>
        <w:t>han</w:t>
      </w:r>
      <w:r>
        <w:rPr>
          <w:spacing w:val="-8"/>
        </w:rPr>
        <w:t> </w:t>
      </w:r>
      <w:r>
        <w:rPr/>
        <w:t>señalado</w:t>
      </w:r>
      <w:r>
        <w:rPr>
          <w:spacing w:val="-8"/>
        </w:rPr>
        <w:t> </w:t>
      </w:r>
      <w:r>
        <w:rPr/>
        <w:t>que</w:t>
      </w:r>
      <w:r>
        <w:rPr>
          <w:spacing w:val="-10"/>
        </w:rPr>
        <w:t> </w:t>
      </w:r>
      <w:r>
        <w:rPr/>
        <w:t>la</w:t>
      </w:r>
      <w:r>
        <w:rPr>
          <w:spacing w:val="-9"/>
        </w:rPr>
        <w:t> </w:t>
      </w:r>
      <w:r>
        <w:rPr/>
        <w:t>administración de un fármaco antiinflamatorio no esteroideo (AINE) como el ketoprofeno y el salicilato</w:t>
      </w:r>
      <w:r>
        <w:rPr>
          <w:spacing w:val="-6"/>
        </w:rPr>
        <w:t> </w:t>
      </w:r>
      <w:r>
        <w:rPr/>
        <w:t>de</w:t>
      </w:r>
      <w:r>
        <w:rPr>
          <w:spacing w:val="-6"/>
        </w:rPr>
        <w:t> </w:t>
      </w:r>
      <w:r>
        <w:rPr/>
        <w:t>sodio</w:t>
      </w:r>
      <w:r>
        <w:rPr>
          <w:spacing w:val="-6"/>
        </w:rPr>
        <w:t> </w:t>
      </w:r>
      <w:r>
        <w:rPr/>
        <w:t>puede</w:t>
      </w:r>
      <w:r>
        <w:rPr>
          <w:spacing w:val="-12"/>
        </w:rPr>
        <w:t> </w:t>
      </w:r>
      <w:r>
        <w:rPr/>
        <w:t>reducir</w:t>
      </w:r>
      <w:r>
        <w:rPr>
          <w:spacing w:val="-6"/>
        </w:rPr>
        <w:t> </w:t>
      </w:r>
      <w:r>
        <w:rPr/>
        <w:t>las</w:t>
      </w:r>
      <w:r>
        <w:rPr>
          <w:spacing w:val="-6"/>
        </w:rPr>
        <w:t> </w:t>
      </w:r>
      <w:r>
        <w:rPr/>
        <w:t>respuestas</w:t>
      </w:r>
      <w:r>
        <w:rPr>
          <w:spacing w:val="-5"/>
        </w:rPr>
        <w:t> </w:t>
      </w:r>
      <w:r>
        <w:rPr/>
        <w:t>al</w:t>
      </w:r>
      <w:r>
        <w:rPr>
          <w:spacing w:val="-5"/>
        </w:rPr>
        <w:t> </w:t>
      </w:r>
      <w:r>
        <w:rPr/>
        <w:t>dolor</w:t>
      </w:r>
      <w:r>
        <w:rPr>
          <w:spacing w:val="-6"/>
        </w:rPr>
        <w:t> </w:t>
      </w:r>
      <w:r>
        <w:rPr/>
        <w:t>asociado</w:t>
      </w:r>
      <w:r>
        <w:rPr>
          <w:spacing w:val="-6"/>
        </w:rPr>
        <w:t> </w:t>
      </w:r>
      <w:r>
        <w:rPr/>
        <w:t>con</w:t>
      </w:r>
      <w:r>
        <w:rPr>
          <w:spacing w:val="-6"/>
        </w:rPr>
        <w:t> </w:t>
      </w:r>
      <w:r>
        <w:rPr/>
        <w:t>el</w:t>
      </w:r>
      <w:r>
        <w:rPr>
          <w:spacing w:val="-5"/>
        </w:rPr>
        <w:t> </w:t>
      </w:r>
      <w:r>
        <w:rPr/>
        <w:t>descornado mediante hierro caliente en terneras lecheras jóvenes. Otros estudios han descubierto que la administración de Flunixin Meglumine mejora la respuesta fisiológica al estrés asociado con el descornado después de una inyección intramuscular o intravenosa (Knauer </w:t>
      </w:r>
      <w:r>
        <w:rPr>
          <w:i/>
        </w:rPr>
        <w:t>et al</w:t>
      </w:r>
      <w:r>
        <w:rPr/>
        <w:t>., 2023).</w:t>
      </w:r>
    </w:p>
    <w:p>
      <w:pPr>
        <w:pStyle w:val="Heading2"/>
        <w:numPr>
          <w:ilvl w:val="2"/>
          <w:numId w:val="9"/>
        </w:numPr>
        <w:tabs>
          <w:tab w:pos="1855" w:val="left" w:leader="none"/>
        </w:tabs>
        <w:spacing w:line="240" w:lineRule="auto" w:before="239" w:after="0"/>
        <w:ind w:left="1855" w:right="0" w:hanging="720"/>
        <w:jc w:val="left"/>
      </w:pPr>
      <w:bookmarkStart w:name="_bookmark25" w:id="26"/>
      <w:bookmarkEnd w:id="26"/>
      <w:r>
        <w:rPr>
          <w:b w:val="0"/>
        </w:rPr>
      </w:r>
      <w:r>
        <w:rPr/>
        <w:t>Anestésicos</w:t>
      </w:r>
      <w:r>
        <w:rPr>
          <w:spacing w:val="-1"/>
        </w:rPr>
        <w:t> </w:t>
      </w:r>
      <w:r>
        <w:rPr/>
        <w:t>locales</w:t>
      </w:r>
      <w:r>
        <w:rPr>
          <w:spacing w:val="-1"/>
        </w:rPr>
        <w:t> </w:t>
      </w:r>
      <w:r>
        <w:rPr/>
        <w:t>utilizados en</w:t>
      </w:r>
      <w:r>
        <w:rPr>
          <w:spacing w:val="-1"/>
        </w:rPr>
        <w:t> </w:t>
      </w:r>
      <w:r>
        <w:rPr>
          <w:spacing w:val="-2"/>
        </w:rPr>
        <w:t>descorne</w:t>
      </w:r>
    </w:p>
    <w:p>
      <w:pPr>
        <w:pStyle w:val="BodyText"/>
        <w:spacing w:before="104"/>
        <w:ind w:left="0"/>
        <w:rPr>
          <w:b/>
        </w:rPr>
      </w:pPr>
    </w:p>
    <w:p>
      <w:pPr>
        <w:pStyle w:val="BodyText"/>
        <w:spacing w:line="360" w:lineRule="auto"/>
        <w:ind w:right="846"/>
        <w:jc w:val="both"/>
      </w:pPr>
      <w:r>
        <w:rPr>
          <w:color w:val="0D0D0D"/>
        </w:rPr>
        <w:t>La</w:t>
      </w:r>
      <w:r>
        <w:rPr>
          <w:color w:val="0D0D0D"/>
          <w:spacing w:val="-2"/>
        </w:rPr>
        <w:t> </w:t>
      </w:r>
      <w:r>
        <w:rPr>
          <w:color w:val="0D0D0D"/>
        </w:rPr>
        <w:t>lidocaína</w:t>
      </w:r>
      <w:r>
        <w:rPr>
          <w:color w:val="0D0D0D"/>
          <w:spacing w:val="-1"/>
        </w:rPr>
        <w:t> </w:t>
      </w:r>
      <w:r>
        <w:rPr>
          <w:color w:val="0D0D0D"/>
        </w:rPr>
        <w:t>es</w:t>
      </w:r>
      <w:r>
        <w:rPr>
          <w:color w:val="0D0D0D"/>
          <w:spacing w:val="-1"/>
        </w:rPr>
        <w:t> </w:t>
      </w:r>
      <w:r>
        <w:rPr>
          <w:color w:val="0D0D0D"/>
        </w:rPr>
        <w:t>el</w:t>
      </w:r>
      <w:r>
        <w:rPr>
          <w:color w:val="0D0D0D"/>
          <w:spacing w:val="-1"/>
        </w:rPr>
        <w:t> </w:t>
      </w:r>
      <w:r>
        <w:rPr>
          <w:color w:val="0D0D0D"/>
        </w:rPr>
        <w:t>anestésico</w:t>
      </w:r>
      <w:r>
        <w:rPr>
          <w:color w:val="0D0D0D"/>
          <w:spacing w:val="-3"/>
        </w:rPr>
        <w:t> </w:t>
      </w:r>
      <w:r>
        <w:rPr>
          <w:color w:val="0D0D0D"/>
        </w:rPr>
        <w:t>local</w:t>
      </w:r>
      <w:r>
        <w:rPr>
          <w:color w:val="0D0D0D"/>
          <w:spacing w:val="-3"/>
        </w:rPr>
        <w:t> </w:t>
      </w:r>
      <w:r>
        <w:rPr>
          <w:color w:val="0D0D0D"/>
        </w:rPr>
        <w:t>más</w:t>
      </w:r>
      <w:r>
        <w:rPr>
          <w:color w:val="0D0D0D"/>
          <w:spacing w:val="-1"/>
        </w:rPr>
        <w:t> </w:t>
      </w:r>
      <w:r>
        <w:rPr>
          <w:color w:val="0D0D0D"/>
        </w:rPr>
        <w:t>comúnmente</w:t>
      </w:r>
      <w:r>
        <w:rPr>
          <w:color w:val="0D0D0D"/>
          <w:spacing w:val="-3"/>
        </w:rPr>
        <w:t> </w:t>
      </w:r>
      <w:r>
        <w:rPr>
          <w:color w:val="0D0D0D"/>
        </w:rPr>
        <w:t>utilizado,</w:t>
      </w:r>
      <w:r>
        <w:rPr>
          <w:color w:val="0D0D0D"/>
          <w:spacing w:val="-2"/>
        </w:rPr>
        <w:t> </w:t>
      </w:r>
      <w:r>
        <w:rPr>
          <w:color w:val="0D0D0D"/>
        </w:rPr>
        <w:t>pero</w:t>
      </w:r>
      <w:r>
        <w:rPr>
          <w:color w:val="0D0D0D"/>
          <w:spacing w:val="-4"/>
        </w:rPr>
        <w:t> </w:t>
      </w:r>
      <w:r>
        <w:rPr>
          <w:color w:val="0D0D0D"/>
        </w:rPr>
        <w:t>su</w:t>
      </w:r>
      <w:r>
        <w:rPr>
          <w:color w:val="0D0D0D"/>
          <w:spacing w:val="-1"/>
        </w:rPr>
        <w:t> </w:t>
      </w:r>
      <w:r>
        <w:rPr>
          <w:color w:val="0D0D0D"/>
        </w:rPr>
        <w:t>efecto</w:t>
      </w:r>
      <w:r>
        <w:rPr>
          <w:color w:val="0D0D0D"/>
          <w:spacing w:val="-3"/>
        </w:rPr>
        <w:t> </w:t>
      </w:r>
      <w:r>
        <w:rPr>
          <w:color w:val="0D0D0D"/>
        </w:rPr>
        <w:t>es</w:t>
      </w:r>
      <w:r>
        <w:rPr>
          <w:color w:val="0D0D0D"/>
          <w:spacing w:val="-3"/>
        </w:rPr>
        <w:t> </w:t>
      </w:r>
      <w:r>
        <w:rPr>
          <w:color w:val="0D0D0D"/>
        </w:rPr>
        <w:t>de corta</w:t>
      </w:r>
      <w:r>
        <w:rPr>
          <w:color w:val="0D0D0D"/>
          <w:spacing w:val="-7"/>
        </w:rPr>
        <w:t> </w:t>
      </w:r>
      <w:r>
        <w:rPr>
          <w:color w:val="0D0D0D"/>
        </w:rPr>
        <w:t>duración.</w:t>
      </w:r>
      <w:r>
        <w:rPr>
          <w:color w:val="0D0D0D"/>
          <w:spacing w:val="-4"/>
        </w:rPr>
        <w:t> </w:t>
      </w:r>
      <w:r>
        <w:rPr>
          <w:color w:val="0D0D0D"/>
        </w:rPr>
        <w:t>Por</w:t>
      </w:r>
      <w:r>
        <w:rPr>
          <w:color w:val="0D0D0D"/>
          <w:spacing w:val="-6"/>
        </w:rPr>
        <w:t> </w:t>
      </w:r>
      <w:r>
        <w:rPr>
          <w:color w:val="0D0D0D"/>
        </w:rPr>
        <w:t>otro</w:t>
      </w:r>
      <w:r>
        <w:rPr>
          <w:color w:val="0D0D0D"/>
          <w:spacing w:val="-6"/>
        </w:rPr>
        <w:t> </w:t>
      </w:r>
      <w:r>
        <w:rPr>
          <w:color w:val="0D0D0D"/>
        </w:rPr>
        <w:t>lado,</w:t>
      </w:r>
      <w:r>
        <w:rPr>
          <w:color w:val="0D0D0D"/>
          <w:spacing w:val="-6"/>
        </w:rPr>
        <w:t> </w:t>
      </w:r>
      <w:r>
        <w:rPr>
          <w:color w:val="0D0D0D"/>
        </w:rPr>
        <w:t>la</w:t>
      </w:r>
      <w:r>
        <w:rPr>
          <w:color w:val="0D0D0D"/>
          <w:spacing w:val="-7"/>
        </w:rPr>
        <w:t> </w:t>
      </w:r>
      <w:r>
        <w:rPr>
          <w:color w:val="0D0D0D"/>
        </w:rPr>
        <w:t>bupivacaína</w:t>
      </w:r>
      <w:r>
        <w:rPr>
          <w:color w:val="0D0D0D"/>
          <w:spacing w:val="-6"/>
        </w:rPr>
        <w:t> </w:t>
      </w:r>
      <w:r>
        <w:rPr>
          <w:color w:val="0D0D0D"/>
        </w:rPr>
        <w:t>tiene</w:t>
      </w:r>
      <w:r>
        <w:rPr>
          <w:color w:val="0D0D0D"/>
          <w:spacing w:val="-2"/>
        </w:rPr>
        <w:t> </w:t>
      </w:r>
      <w:r>
        <w:rPr>
          <w:color w:val="0D0D0D"/>
        </w:rPr>
        <w:t>una</w:t>
      </w:r>
      <w:r>
        <w:rPr>
          <w:color w:val="0D0D0D"/>
          <w:spacing w:val="-9"/>
        </w:rPr>
        <w:t> </w:t>
      </w:r>
      <w:r>
        <w:rPr>
          <w:color w:val="0D0D0D"/>
        </w:rPr>
        <w:t>acción</w:t>
      </w:r>
      <w:r>
        <w:rPr>
          <w:color w:val="0D0D0D"/>
          <w:spacing w:val="-2"/>
        </w:rPr>
        <w:t> </w:t>
      </w:r>
      <w:r>
        <w:rPr>
          <w:color w:val="0D0D0D"/>
        </w:rPr>
        <w:t>más</w:t>
      </w:r>
      <w:r>
        <w:rPr>
          <w:color w:val="0D0D0D"/>
          <w:spacing w:val="-6"/>
        </w:rPr>
        <w:t> </w:t>
      </w:r>
      <w:r>
        <w:rPr>
          <w:color w:val="0D0D0D"/>
        </w:rPr>
        <w:t>prolongada</w:t>
      </w:r>
      <w:r>
        <w:rPr>
          <w:color w:val="0D0D0D"/>
          <w:spacing w:val="-9"/>
        </w:rPr>
        <w:t> </w:t>
      </w:r>
      <w:r>
        <w:rPr>
          <w:color w:val="0D0D0D"/>
        </w:rPr>
        <w:t>pero un inicio más lento en comparación con la lidocaína. Se ha encontrado que la administración</w:t>
      </w:r>
      <w:r>
        <w:rPr>
          <w:color w:val="0D0D0D"/>
          <w:spacing w:val="16"/>
        </w:rPr>
        <w:t> </w:t>
      </w:r>
      <w:r>
        <w:rPr>
          <w:color w:val="0D0D0D"/>
        </w:rPr>
        <w:t>combinada</w:t>
      </w:r>
      <w:r>
        <w:rPr>
          <w:color w:val="0D0D0D"/>
          <w:spacing w:val="15"/>
        </w:rPr>
        <w:t> </w:t>
      </w:r>
      <w:r>
        <w:rPr>
          <w:color w:val="0D0D0D"/>
        </w:rPr>
        <w:t>de</w:t>
      </w:r>
      <w:r>
        <w:rPr>
          <w:color w:val="0D0D0D"/>
          <w:spacing w:val="14"/>
        </w:rPr>
        <w:t> </w:t>
      </w:r>
      <w:r>
        <w:rPr>
          <w:color w:val="0D0D0D"/>
        </w:rPr>
        <w:t>lidocaína</w:t>
      </w:r>
      <w:r>
        <w:rPr>
          <w:color w:val="0D0D0D"/>
          <w:spacing w:val="20"/>
        </w:rPr>
        <w:t> </w:t>
      </w:r>
      <w:r>
        <w:rPr>
          <w:color w:val="0D0D0D"/>
        </w:rPr>
        <w:t>y</w:t>
      </w:r>
      <w:r>
        <w:rPr>
          <w:color w:val="0D0D0D"/>
          <w:spacing w:val="11"/>
        </w:rPr>
        <w:t> </w:t>
      </w:r>
      <w:r>
        <w:rPr>
          <w:color w:val="0D0D0D"/>
        </w:rPr>
        <w:t>bupivacaína</w:t>
      </w:r>
      <w:r>
        <w:rPr>
          <w:color w:val="0D0D0D"/>
          <w:spacing w:val="15"/>
        </w:rPr>
        <w:t> </w:t>
      </w:r>
      <w:r>
        <w:rPr>
          <w:color w:val="0D0D0D"/>
        </w:rPr>
        <w:t>produce</w:t>
      </w:r>
      <w:r>
        <w:rPr>
          <w:color w:val="0D0D0D"/>
          <w:spacing w:val="15"/>
        </w:rPr>
        <w:t> </w:t>
      </w:r>
      <w:r>
        <w:rPr>
          <w:color w:val="0D0D0D"/>
        </w:rPr>
        <w:t>un</w:t>
      </w:r>
      <w:r>
        <w:rPr>
          <w:color w:val="0D0D0D"/>
          <w:spacing w:val="15"/>
        </w:rPr>
        <w:t> </w:t>
      </w:r>
      <w:r>
        <w:rPr>
          <w:color w:val="0D0D0D"/>
        </w:rPr>
        <w:t>inicio</w:t>
      </w:r>
      <w:r>
        <w:rPr>
          <w:color w:val="0D0D0D"/>
          <w:spacing w:val="19"/>
        </w:rPr>
        <w:t> </w:t>
      </w:r>
      <w:r>
        <w:rPr>
          <w:color w:val="0D0D0D"/>
        </w:rPr>
        <w:t>rápido</w:t>
      </w:r>
      <w:r>
        <w:rPr>
          <w:color w:val="0D0D0D"/>
          <w:spacing w:val="19"/>
        </w:rPr>
        <w:t> </w:t>
      </w:r>
      <w:r>
        <w:rPr>
          <w:color w:val="0D0D0D"/>
          <w:spacing w:val="-10"/>
        </w:rPr>
        <w:t>y</w:t>
      </w:r>
    </w:p>
    <w:p>
      <w:pPr>
        <w:pStyle w:val="BodyText"/>
        <w:spacing w:after="0" w:line="360" w:lineRule="auto"/>
        <w:jc w:val="both"/>
        <w:sectPr>
          <w:pgSz w:w="11900" w:h="16860"/>
          <w:pgMar w:header="0" w:footer="1084" w:top="1620" w:bottom="1280" w:left="1133" w:right="850"/>
        </w:sectPr>
      </w:pPr>
    </w:p>
    <w:p>
      <w:pPr>
        <w:pStyle w:val="BodyText"/>
        <w:spacing w:before="70"/>
        <w:jc w:val="both"/>
      </w:pPr>
      <w:r>
        <w:rPr>
          <w:color w:val="0D0D0D"/>
        </w:rPr>
        <w:t>una</w:t>
      </w:r>
      <w:r>
        <w:rPr>
          <w:color w:val="0D0D0D"/>
          <w:spacing w:val="-2"/>
        </w:rPr>
        <w:t> </w:t>
      </w:r>
      <w:r>
        <w:rPr>
          <w:color w:val="0D0D0D"/>
        </w:rPr>
        <w:t>duración prolongada</w:t>
      </w:r>
      <w:r>
        <w:rPr>
          <w:color w:val="0D0D0D"/>
          <w:spacing w:val="1"/>
        </w:rPr>
        <w:t> </w:t>
      </w:r>
      <w:r>
        <w:rPr>
          <w:color w:val="0D0D0D"/>
        </w:rPr>
        <w:t>de</w:t>
      </w:r>
      <w:r>
        <w:rPr>
          <w:color w:val="0D0D0D"/>
          <w:spacing w:val="-1"/>
        </w:rPr>
        <w:t> </w:t>
      </w:r>
      <w:r>
        <w:rPr>
          <w:color w:val="0D0D0D"/>
        </w:rPr>
        <w:t>la</w:t>
      </w:r>
      <w:r>
        <w:rPr>
          <w:color w:val="0D0D0D"/>
          <w:spacing w:val="-1"/>
        </w:rPr>
        <w:t> </w:t>
      </w:r>
      <w:r>
        <w:rPr>
          <w:color w:val="0D0D0D"/>
        </w:rPr>
        <w:t>acción (</w:t>
      </w:r>
      <w:r>
        <w:rPr/>
        <w:t>Martin </w:t>
      </w:r>
      <w:r>
        <w:rPr>
          <w:i/>
        </w:rPr>
        <w:t>et al</w:t>
      </w:r>
      <w:r>
        <w:rPr/>
        <w:t>, </w:t>
      </w:r>
      <w:r>
        <w:rPr>
          <w:spacing w:val="-2"/>
        </w:rPr>
        <w:t>2022)</w:t>
      </w:r>
      <w:r>
        <w:rPr>
          <w:color w:val="0D0D0D"/>
          <w:spacing w:val="-2"/>
        </w:rPr>
        <w:t>.</w:t>
      </w:r>
    </w:p>
    <w:p>
      <w:pPr>
        <w:pStyle w:val="BodyText"/>
        <w:spacing w:before="101"/>
        <w:ind w:left="0"/>
      </w:pPr>
    </w:p>
    <w:p>
      <w:pPr>
        <w:pStyle w:val="BodyText"/>
        <w:spacing w:line="360" w:lineRule="auto"/>
        <w:ind w:right="843"/>
        <w:jc w:val="both"/>
      </w:pPr>
      <w:r>
        <w:rPr/>
        <w:t>La aplicación de un bloqueo nervioso cornual prácticamente elimina el comportamiento</w:t>
      </w:r>
      <w:r>
        <w:rPr>
          <w:spacing w:val="-10"/>
        </w:rPr>
        <w:t> </w:t>
      </w:r>
      <w:r>
        <w:rPr/>
        <w:t>de</w:t>
      </w:r>
      <w:r>
        <w:rPr>
          <w:spacing w:val="-12"/>
        </w:rPr>
        <w:t> </w:t>
      </w:r>
      <w:r>
        <w:rPr/>
        <w:t>escape</w:t>
      </w:r>
      <w:r>
        <w:rPr>
          <w:spacing w:val="-13"/>
        </w:rPr>
        <w:t> </w:t>
      </w:r>
      <w:r>
        <w:rPr/>
        <w:t>de</w:t>
      </w:r>
      <w:r>
        <w:rPr>
          <w:spacing w:val="-12"/>
        </w:rPr>
        <w:t> </w:t>
      </w:r>
      <w:r>
        <w:rPr/>
        <w:t>los</w:t>
      </w:r>
      <w:r>
        <w:rPr>
          <w:spacing w:val="-11"/>
        </w:rPr>
        <w:t> </w:t>
      </w:r>
      <w:r>
        <w:rPr/>
        <w:t>terneros</w:t>
      </w:r>
      <w:r>
        <w:rPr>
          <w:spacing w:val="-11"/>
        </w:rPr>
        <w:t> </w:t>
      </w:r>
      <w:r>
        <w:rPr/>
        <w:t>durante</w:t>
      </w:r>
      <w:r>
        <w:rPr>
          <w:spacing w:val="-7"/>
        </w:rPr>
        <w:t> </w:t>
      </w:r>
      <w:r>
        <w:rPr/>
        <w:t>el</w:t>
      </w:r>
      <w:r>
        <w:rPr>
          <w:spacing w:val="-11"/>
        </w:rPr>
        <w:t> </w:t>
      </w:r>
      <w:r>
        <w:rPr/>
        <w:t>proceso</w:t>
      </w:r>
      <w:r>
        <w:rPr>
          <w:spacing w:val="-11"/>
        </w:rPr>
        <w:t> </w:t>
      </w:r>
      <w:r>
        <w:rPr/>
        <w:t>de</w:t>
      </w:r>
      <w:r>
        <w:rPr>
          <w:spacing w:val="-11"/>
        </w:rPr>
        <w:t> </w:t>
      </w:r>
      <w:r>
        <w:rPr/>
        <w:t>desmoche.</w:t>
      </w:r>
      <w:r>
        <w:rPr>
          <w:spacing w:val="-9"/>
        </w:rPr>
        <w:t> </w:t>
      </w:r>
      <w:r>
        <w:rPr/>
        <w:t>Cuando se administra lidocaína 15-20 minutos antes de la amputación del cuerno, este bloqueo</w:t>
      </w:r>
      <w:r>
        <w:rPr>
          <w:spacing w:val="-12"/>
        </w:rPr>
        <w:t> </w:t>
      </w:r>
      <w:r>
        <w:rPr/>
        <w:t>cornual</w:t>
      </w:r>
      <w:r>
        <w:rPr>
          <w:spacing w:val="-8"/>
        </w:rPr>
        <w:t> </w:t>
      </w:r>
      <w:r>
        <w:rPr/>
        <w:t>prácticamente</w:t>
      </w:r>
      <w:r>
        <w:rPr>
          <w:spacing w:val="-12"/>
        </w:rPr>
        <w:t> </w:t>
      </w:r>
      <w:r>
        <w:rPr/>
        <w:t>elimina</w:t>
      </w:r>
      <w:r>
        <w:rPr>
          <w:spacing w:val="-12"/>
        </w:rPr>
        <w:t> </w:t>
      </w:r>
      <w:r>
        <w:rPr/>
        <w:t>la</w:t>
      </w:r>
      <w:r>
        <w:rPr>
          <w:spacing w:val="-10"/>
        </w:rPr>
        <w:t> </w:t>
      </w:r>
      <w:r>
        <w:rPr/>
        <w:t>respuesta</w:t>
      </w:r>
      <w:r>
        <w:rPr>
          <w:spacing w:val="-12"/>
        </w:rPr>
        <w:t> </w:t>
      </w:r>
      <w:r>
        <w:rPr/>
        <w:t>de</w:t>
      </w:r>
      <w:r>
        <w:rPr>
          <w:spacing w:val="-10"/>
        </w:rPr>
        <w:t> </w:t>
      </w:r>
      <w:r>
        <w:rPr/>
        <w:t>cortisol</w:t>
      </w:r>
      <w:r>
        <w:rPr>
          <w:spacing w:val="-8"/>
        </w:rPr>
        <w:t> </w:t>
      </w:r>
      <w:r>
        <w:rPr/>
        <w:t>durante</w:t>
      </w:r>
      <w:r>
        <w:rPr>
          <w:spacing w:val="-10"/>
        </w:rPr>
        <w:t> </w:t>
      </w:r>
      <w:r>
        <w:rPr/>
        <w:t>las</w:t>
      </w:r>
      <w:r>
        <w:rPr>
          <w:spacing w:val="-12"/>
        </w:rPr>
        <w:t> </w:t>
      </w:r>
      <w:r>
        <w:rPr/>
        <w:t>primeras 2</w:t>
      </w:r>
      <w:r>
        <w:rPr>
          <w:spacing w:val="-15"/>
        </w:rPr>
        <w:t> </w:t>
      </w:r>
      <w:r>
        <w:rPr/>
        <w:t>horas</w:t>
      </w:r>
      <w:r>
        <w:rPr>
          <w:spacing w:val="-15"/>
        </w:rPr>
        <w:t> </w:t>
      </w:r>
      <w:r>
        <w:rPr/>
        <w:t>después</w:t>
      </w:r>
      <w:r>
        <w:rPr>
          <w:spacing w:val="-15"/>
        </w:rPr>
        <w:t> </w:t>
      </w:r>
      <w:r>
        <w:rPr/>
        <w:t>del</w:t>
      </w:r>
      <w:r>
        <w:rPr>
          <w:spacing w:val="-15"/>
        </w:rPr>
        <w:t> </w:t>
      </w:r>
      <w:r>
        <w:rPr/>
        <w:t>desmoche.</w:t>
      </w:r>
      <w:r>
        <w:rPr>
          <w:spacing w:val="-15"/>
        </w:rPr>
        <w:t> </w:t>
      </w:r>
      <w:r>
        <w:rPr/>
        <w:t>Durante</w:t>
      </w:r>
      <w:r>
        <w:rPr>
          <w:spacing w:val="-15"/>
        </w:rPr>
        <w:t> </w:t>
      </w:r>
      <w:r>
        <w:rPr/>
        <w:t>este</w:t>
      </w:r>
      <w:r>
        <w:rPr>
          <w:spacing w:val="-15"/>
        </w:rPr>
        <w:t> </w:t>
      </w:r>
      <w:r>
        <w:rPr/>
        <w:t>período,</w:t>
      </w:r>
      <w:r>
        <w:rPr>
          <w:spacing w:val="-15"/>
        </w:rPr>
        <w:t> </w:t>
      </w:r>
      <w:r>
        <w:rPr/>
        <w:t>las</w:t>
      </w:r>
      <w:r>
        <w:rPr>
          <w:spacing w:val="-15"/>
        </w:rPr>
        <w:t> </w:t>
      </w:r>
      <w:r>
        <w:rPr/>
        <w:t>concentraciones</w:t>
      </w:r>
      <w:r>
        <w:rPr>
          <w:spacing w:val="-15"/>
        </w:rPr>
        <w:t> </w:t>
      </w:r>
      <w:r>
        <w:rPr/>
        <w:t>de</w:t>
      </w:r>
      <w:r>
        <w:rPr>
          <w:spacing w:val="-15"/>
        </w:rPr>
        <w:t> </w:t>
      </w:r>
      <w:r>
        <w:rPr/>
        <w:t>cortisol en plasma en terneros</w:t>
      </w:r>
      <w:r>
        <w:rPr>
          <w:spacing w:val="-1"/>
        </w:rPr>
        <w:t> </w:t>
      </w:r>
      <w:r>
        <w:rPr/>
        <w:t>desmochados y</w:t>
      </w:r>
      <w:r>
        <w:rPr>
          <w:spacing w:val="-7"/>
        </w:rPr>
        <w:t> </w:t>
      </w:r>
      <w:r>
        <w:rPr/>
        <w:t>en el grupo de</w:t>
      </w:r>
      <w:r>
        <w:rPr>
          <w:spacing w:val="-1"/>
        </w:rPr>
        <w:t> </w:t>
      </w:r>
      <w:r>
        <w:rPr/>
        <w:t>control son comparables.</w:t>
      </w:r>
      <w:r>
        <w:rPr>
          <w:spacing w:val="-1"/>
        </w:rPr>
        <w:t> </w:t>
      </w:r>
      <w:r>
        <w:rPr/>
        <w:t>Sin embargo, una vez que cesa el efecto de la lidocaína, se produce un marcado aumento en las concentraciones de cortisol en plasma que persiste durante aproximadamente 6 horas. Por lo tanto, la lidocaína prácticamente elimina el malestar inducido por el dolor durante las primeras 2 horas posteriores a la amputación del cuerno. No obstante, cuando el bloqueo nervioso desaparece, los terneros</w:t>
      </w:r>
      <w:r>
        <w:rPr>
          <w:spacing w:val="-15"/>
        </w:rPr>
        <w:t> </w:t>
      </w:r>
      <w:r>
        <w:rPr/>
        <w:t>experimentan</w:t>
      </w:r>
      <w:r>
        <w:rPr>
          <w:spacing w:val="-14"/>
        </w:rPr>
        <w:t> </w:t>
      </w:r>
      <w:r>
        <w:rPr/>
        <w:t>algún</w:t>
      </w:r>
      <w:r>
        <w:rPr>
          <w:spacing w:val="-13"/>
        </w:rPr>
        <w:t> </w:t>
      </w:r>
      <w:r>
        <w:rPr/>
        <w:t>grado</w:t>
      </w:r>
      <w:r>
        <w:rPr>
          <w:spacing w:val="-15"/>
        </w:rPr>
        <w:t> </w:t>
      </w:r>
      <w:r>
        <w:rPr/>
        <w:t>de</w:t>
      </w:r>
      <w:r>
        <w:rPr>
          <w:spacing w:val="-15"/>
        </w:rPr>
        <w:t> </w:t>
      </w:r>
      <w:r>
        <w:rPr/>
        <w:t>dolor</w:t>
      </w:r>
      <w:r>
        <w:rPr>
          <w:spacing w:val="-15"/>
        </w:rPr>
        <w:t> </w:t>
      </w:r>
      <w:r>
        <w:rPr/>
        <w:t>durante</w:t>
      </w:r>
      <w:r>
        <w:rPr>
          <w:spacing w:val="-15"/>
        </w:rPr>
        <w:t> </w:t>
      </w:r>
      <w:r>
        <w:rPr/>
        <w:t>al</w:t>
      </w:r>
      <w:r>
        <w:rPr>
          <w:spacing w:val="-15"/>
        </w:rPr>
        <w:t> </w:t>
      </w:r>
      <w:r>
        <w:rPr/>
        <w:t>menos</w:t>
      </w:r>
      <w:r>
        <w:rPr>
          <w:spacing w:val="-15"/>
        </w:rPr>
        <w:t> </w:t>
      </w:r>
      <w:r>
        <w:rPr/>
        <w:t>6</w:t>
      </w:r>
      <w:r>
        <w:rPr>
          <w:spacing w:val="-15"/>
        </w:rPr>
        <w:t> </w:t>
      </w:r>
      <w:r>
        <w:rPr/>
        <w:t>horas.</w:t>
      </w:r>
      <w:r>
        <w:rPr>
          <w:spacing w:val="-15"/>
        </w:rPr>
        <w:t> </w:t>
      </w:r>
      <w:r>
        <w:rPr/>
        <w:t>Este</w:t>
      </w:r>
      <w:r>
        <w:rPr>
          <w:spacing w:val="-13"/>
        </w:rPr>
        <w:t> </w:t>
      </w:r>
      <w:r>
        <w:rPr/>
        <w:t>aumento retardado en el cortisol probablemente indica otra etapa en la experiencia del desmoche, relacionada con el dolor inflamatorio (Dyke </w:t>
      </w:r>
      <w:r>
        <w:rPr>
          <w:i/>
        </w:rPr>
        <w:t>et al</w:t>
      </w:r>
      <w:r>
        <w:rPr/>
        <w:t>., 2021).</w:t>
      </w:r>
    </w:p>
    <w:p>
      <w:pPr>
        <w:pStyle w:val="BodyText"/>
        <w:spacing w:line="360" w:lineRule="auto" w:before="242"/>
        <w:ind w:right="845"/>
        <w:jc w:val="both"/>
      </w:pPr>
      <w:r>
        <w:rPr/>
        <w:t>La bupivacaína es</w:t>
      </w:r>
      <w:r>
        <w:rPr>
          <w:spacing w:val="-1"/>
        </w:rPr>
        <w:t> </w:t>
      </w:r>
      <w:r>
        <w:rPr/>
        <w:t>un</w:t>
      </w:r>
      <w:r>
        <w:rPr>
          <w:spacing w:val="-1"/>
        </w:rPr>
        <w:t> </w:t>
      </w:r>
      <w:r>
        <w:rPr/>
        <w:t>anestésico local</w:t>
      </w:r>
      <w:r>
        <w:rPr>
          <w:spacing w:val="-1"/>
        </w:rPr>
        <w:t> </w:t>
      </w:r>
      <w:r>
        <w:rPr/>
        <w:t>con una</w:t>
      </w:r>
      <w:r>
        <w:rPr>
          <w:spacing w:val="-1"/>
        </w:rPr>
        <w:t> </w:t>
      </w:r>
      <w:r>
        <w:rPr/>
        <w:t>duración</w:t>
      </w:r>
      <w:r>
        <w:rPr>
          <w:spacing w:val="-1"/>
        </w:rPr>
        <w:t> </w:t>
      </w:r>
      <w:r>
        <w:rPr/>
        <w:t>prolongada de acción,</w:t>
      </w:r>
      <w:r>
        <w:rPr>
          <w:spacing w:val="-1"/>
        </w:rPr>
        <w:t> </w:t>
      </w:r>
      <w:r>
        <w:rPr/>
        <w:t>que generalmente comienza a surtir efecto entre 20 y 30 minutos después de su administración y</w:t>
      </w:r>
      <w:r>
        <w:rPr>
          <w:spacing w:val="-9"/>
        </w:rPr>
        <w:t> </w:t>
      </w:r>
      <w:r>
        <w:rPr/>
        <w:t>puede durar hasta 8 horas. Su capacidad para proporcionar alivio prolongado del dolor la hace una opción atractiva para procedimientos que requieren</w:t>
      </w:r>
      <w:r>
        <w:rPr>
          <w:spacing w:val="-3"/>
        </w:rPr>
        <w:t> </w:t>
      </w:r>
      <w:r>
        <w:rPr/>
        <w:t>una</w:t>
      </w:r>
      <w:r>
        <w:rPr>
          <w:spacing w:val="-1"/>
        </w:rPr>
        <w:t> </w:t>
      </w:r>
      <w:r>
        <w:rPr/>
        <w:t>analgesia</w:t>
      </w:r>
      <w:r>
        <w:rPr>
          <w:spacing w:val="-4"/>
        </w:rPr>
        <w:t> </w:t>
      </w:r>
      <w:r>
        <w:rPr/>
        <w:t>prolongada.</w:t>
      </w:r>
      <w:r>
        <w:rPr>
          <w:spacing w:val="-2"/>
        </w:rPr>
        <w:t> </w:t>
      </w:r>
      <w:r>
        <w:rPr/>
        <w:t>Cuando la</w:t>
      </w:r>
      <w:r>
        <w:rPr>
          <w:spacing w:val="-4"/>
        </w:rPr>
        <w:t> </w:t>
      </w:r>
      <w:r>
        <w:rPr/>
        <w:t>duración</w:t>
      </w:r>
      <w:r>
        <w:rPr>
          <w:spacing w:val="-3"/>
        </w:rPr>
        <w:t> </w:t>
      </w:r>
      <w:r>
        <w:rPr/>
        <w:t>de</w:t>
      </w:r>
      <w:r>
        <w:rPr>
          <w:spacing w:val="-4"/>
        </w:rPr>
        <w:t> </w:t>
      </w:r>
      <w:r>
        <w:rPr/>
        <w:t>la</w:t>
      </w:r>
      <w:r>
        <w:rPr>
          <w:spacing w:val="-4"/>
        </w:rPr>
        <w:t> </w:t>
      </w:r>
      <w:r>
        <w:rPr/>
        <w:t>anestesia</w:t>
      </w:r>
      <w:r>
        <w:rPr>
          <w:spacing w:val="-1"/>
        </w:rPr>
        <w:t> </w:t>
      </w:r>
      <w:r>
        <w:rPr/>
        <w:t>local</w:t>
      </w:r>
      <w:r>
        <w:rPr>
          <w:spacing w:val="-3"/>
        </w:rPr>
        <w:t> </w:t>
      </w:r>
      <w:r>
        <w:rPr/>
        <w:t>es</w:t>
      </w:r>
      <w:r>
        <w:rPr>
          <w:spacing w:val="-3"/>
        </w:rPr>
        <w:t> </w:t>
      </w:r>
      <w:r>
        <w:rPr/>
        <w:t>de 2 horas (con lidocaína), 4 horas (con bupivacaína), 6 horas (con lidocaína seguida de</w:t>
      </w:r>
      <w:r>
        <w:rPr>
          <w:spacing w:val="-15"/>
        </w:rPr>
        <w:t> </w:t>
      </w:r>
      <w:r>
        <w:rPr/>
        <w:t>bupivacaína)</w:t>
      </w:r>
      <w:r>
        <w:rPr>
          <w:spacing w:val="-15"/>
        </w:rPr>
        <w:t> </w:t>
      </w:r>
      <w:r>
        <w:rPr/>
        <w:t>o</w:t>
      </w:r>
      <w:r>
        <w:rPr>
          <w:spacing w:val="-15"/>
        </w:rPr>
        <w:t> </w:t>
      </w:r>
      <w:r>
        <w:rPr/>
        <w:t>8</w:t>
      </w:r>
      <w:r>
        <w:rPr>
          <w:spacing w:val="-15"/>
        </w:rPr>
        <w:t> </w:t>
      </w:r>
      <w:r>
        <w:rPr/>
        <w:t>horas</w:t>
      </w:r>
      <w:r>
        <w:rPr>
          <w:spacing w:val="-14"/>
        </w:rPr>
        <w:t> </w:t>
      </w:r>
      <w:r>
        <w:rPr/>
        <w:t>(con</w:t>
      </w:r>
      <w:r>
        <w:rPr>
          <w:spacing w:val="-15"/>
        </w:rPr>
        <w:t> </w:t>
      </w:r>
      <w:r>
        <w:rPr/>
        <w:t>bupivacaína</w:t>
      </w:r>
      <w:r>
        <w:rPr>
          <w:spacing w:val="-13"/>
        </w:rPr>
        <w:t> </w:t>
      </w:r>
      <w:r>
        <w:rPr/>
        <w:t>administrada</w:t>
      </w:r>
      <w:r>
        <w:rPr>
          <w:spacing w:val="-15"/>
        </w:rPr>
        <w:t> </w:t>
      </w:r>
      <w:r>
        <w:rPr/>
        <w:t>dos</w:t>
      </w:r>
      <w:r>
        <w:rPr>
          <w:spacing w:val="-15"/>
        </w:rPr>
        <w:t> </w:t>
      </w:r>
      <w:r>
        <w:rPr/>
        <w:t>veces),</w:t>
      </w:r>
      <w:r>
        <w:rPr>
          <w:spacing w:val="-15"/>
        </w:rPr>
        <w:t> </w:t>
      </w:r>
      <w:r>
        <w:rPr/>
        <w:t>se</w:t>
      </w:r>
      <w:r>
        <w:rPr>
          <w:spacing w:val="-14"/>
        </w:rPr>
        <w:t> </w:t>
      </w:r>
      <w:r>
        <w:rPr/>
        <w:t>observa</w:t>
      </w:r>
      <w:r>
        <w:rPr>
          <w:spacing w:val="-15"/>
        </w:rPr>
        <w:t> </w:t>
      </w:r>
      <w:r>
        <w:rPr/>
        <w:t>una virtual</w:t>
      </w:r>
      <w:r>
        <w:rPr>
          <w:spacing w:val="-7"/>
        </w:rPr>
        <w:t> </w:t>
      </w:r>
      <w:r>
        <w:rPr/>
        <w:t>eliminación</w:t>
      </w:r>
      <w:r>
        <w:rPr>
          <w:spacing w:val="-4"/>
        </w:rPr>
        <w:t> </w:t>
      </w:r>
      <w:r>
        <w:rPr/>
        <w:t>de</w:t>
      </w:r>
      <w:r>
        <w:rPr>
          <w:spacing w:val="-9"/>
        </w:rPr>
        <w:t> </w:t>
      </w:r>
      <w:r>
        <w:rPr/>
        <w:t>la</w:t>
      </w:r>
      <w:r>
        <w:rPr>
          <w:spacing w:val="-3"/>
        </w:rPr>
        <w:t> </w:t>
      </w:r>
      <w:r>
        <w:rPr/>
        <w:t>respuesta</w:t>
      </w:r>
      <w:r>
        <w:rPr>
          <w:spacing w:val="-6"/>
        </w:rPr>
        <w:t> </w:t>
      </w:r>
      <w:r>
        <w:rPr/>
        <w:t>de</w:t>
      </w:r>
      <w:r>
        <w:rPr>
          <w:spacing w:val="-8"/>
        </w:rPr>
        <w:t> </w:t>
      </w:r>
      <w:r>
        <w:rPr/>
        <w:t>cortisol</w:t>
      </w:r>
      <w:r>
        <w:rPr>
          <w:spacing w:val="-4"/>
        </w:rPr>
        <w:t> </w:t>
      </w:r>
      <w:r>
        <w:rPr/>
        <w:t>al</w:t>
      </w:r>
      <w:r>
        <w:rPr>
          <w:spacing w:val="-5"/>
        </w:rPr>
        <w:t> </w:t>
      </w:r>
      <w:r>
        <w:rPr/>
        <w:t>descornado</w:t>
      </w:r>
      <w:r>
        <w:rPr>
          <w:spacing w:val="-3"/>
        </w:rPr>
        <w:t> </w:t>
      </w:r>
      <w:r>
        <w:rPr/>
        <w:t>durante</w:t>
      </w:r>
      <w:r>
        <w:rPr>
          <w:spacing w:val="-8"/>
        </w:rPr>
        <w:t> </w:t>
      </w:r>
      <w:r>
        <w:rPr/>
        <w:t>estos</w:t>
      </w:r>
      <w:r>
        <w:rPr>
          <w:spacing w:val="-1"/>
        </w:rPr>
        <w:t> </w:t>
      </w:r>
      <w:r>
        <w:rPr/>
        <w:t>períodos de bloqueo nervioso. Sin embargo, el efecto general de la respuesta de cortisol al descornado, es decir, el área bajo la curva de cortisol, no se ve afectado. Por lo tanto,</w:t>
      </w:r>
      <w:r>
        <w:rPr>
          <w:spacing w:val="-15"/>
        </w:rPr>
        <w:t> </w:t>
      </w:r>
      <w:r>
        <w:rPr/>
        <w:t>según</w:t>
      </w:r>
      <w:r>
        <w:rPr>
          <w:spacing w:val="-15"/>
        </w:rPr>
        <w:t> </w:t>
      </w:r>
      <w:r>
        <w:rPr/>
        <w:t>los</w:t>
      </w:r>
      <w:r>
        <w:rPr>
          <w:spacing w:val="-15"/>
        </w:rPr>
        <w:t> </w:t>
      </w:r>
      <w:r>
        <w:rPr/>
        <w:t>cambios</w:t>
      </w:r>
      <w:r>
        <w:rPr>
          <w:spacing w:val="-15"/>
        </w:rPr>
        <w:t> </w:t>
      </w:r>
      <w:r>
        <w:rPr/>
        <w:t>en</w:t>
      </w:r>
      <w:r>
        <w:rPr>
          <w:spacing w:val="-15"/>
        </w:rPr>
        <w:t> </w:t>
      </w:r>
      <w:r>
        <w:rPr/>
        <w:t>las</w:t>
      </w:r>
      <w:r>
        <w:rPr>
          <w:spacing w:val="-15"/>
        </w:rPr>
        <w:t> </w:t>
      </w:r>
      <w:r>
        <w:rPr/>
        <w:t>concentraciones</w:t>
      </w:r>
      <w:r>
        <w:rPr>
          <w:spacing w:val="-15"/>
        </w:rPr>
        <w:t> </w:t>
      </w:r>
      <w:r>
        <w:rPr/>
        <w:t>de</w:t>
      </w:r>
      <w:r>
        <w:rPr>
          <w:spacing w:val="-15"/>
        </w:rPr>
        <w:t> </w:t>
      </w:r>
      <w:r>
        <w:rPr/>
        <w:t>cortisol,</w:t>
      </w:r>
      <w:r>
        <w:rPr>
          <w:spacing w:val="-15"/>
        </w:rPr>
        <w:t> </w:t>
      </w:r>
      <w:r>
        <w:rPr/>
        <w:t>la</w:t>
      </w:r>
      <w:r>
        <w:rPr>
          <w:spacing w:val="-15"/>
        </w:rPr>
        <w:t> </w:t>
      </w:r>
      <w:r>
        <w:rPr/>
        <w:t>anestesia</w:t>
      </w:r>
      <w:r>
        <w:rPr>
          <w:spacing w:val="-15"/>
        </w:rPr>
        <w:t> </w:t>
      </w:r>
      <w:r>
        <w:rPr/>
        <w:t>local</w:t>
      </w:r>
      <w:r>
        <w:rPr>
          <w:spacing w:val="-15"/>
        </w:rPr>
        <w:t> </w:t>
      </w:r>
      <w:r>
        <w:rPr/>
        <w:t>retrasa la aparición del malestar inducido por el dolor causado por la amputación del cuerno, pero no reduce su magnitud global (Martin </w:t>
      </w:r>
      <w:r>
        <w:rPr>
          <w:i/>
        </w:rPr>
        <w:t>et al</w:t>
      </w:r>
      <w:r>
        <w:rPr/>
        <w:t>., 2022).</w:t>
      </w:r>
    </w:p>
    <w:p>
      <w:pPr>
        <w:pStyle w:val="Heading2"/>
        <w:numPr>
          <w:ilvl w:val="2"/>
          <w:numId w:val="9"/>
        </w:numPr>
        <w:tabs>
          <w:tab w:pos="2412" w:val="left" w:leader="none"/>
        </w:tabs>
        <w:spacing w:line="240" w:lineRule="auto" w:before="240" w:after="0"/>
        <w:ind w:left="2412" w:right="0" w:hanging="1277"/>
        <w:jc w:val="left"/>
      </w:pPr>
      <w:bookmarkStart w:name="_bookmark26" w:id="27"/>
      <w:bookmarkEnd w:id="27"/>
      <w:r>
        <w:rPr>
          <w:b w:val="0"/>
        </w:rPr>
      </w:r>
      <w:r>
        <w:rPr/>
        <w:t>Antiinflamatorios</w:t>
      </w:r>
      <w:r>
        <w:rPr>
          <w:spacing w:val="-4"/>
        </w:rPr>
        <w:t> </w:t>
      </w:r>
      <w:r>
        <w:rPr/>
        <w:t>utilizados</w:t>
      </w:r>
      <w:r>
        <w:rPr>
          <w:spacing w:val="-3"/>
        </w:rPr>
        <w:t> </w:t>
      </w:r>
      <w:r>
        <w:rPr/>
        <w:t>en</w:t>
      </w:r>
      <w:r>
        <w:rPr>
          <w:spacing w:val="-2"/>
        </w:rPr>
        <w:t> descornes</w:t>
      </w:r>
    </w:p>
    <w:p>
      <w:pPr>
        <w:pStyle w:val="BodyText"/>
        <w:spacing w:before="103"/>
        <w:ind w:left="0"/>
        <w:rPr>
          <w:b/>
        </w:rPr>
      </w:pPr>
    </w:p>
    <w:p>
      <w:pPr>
        <w:pStyle w:val="BodyText"/>
        <w:jc w:val="both"/>
      </w:pPr>
      <w:r>
        <w:rPr/>
        <w:t>Los</w:t>
      </w:r>
      <w:r>
        <w:rPr>
          <w:spacing w:val="66"/>
          <w:w w:val="150"/>
        </w:rPr>
        <w:t> </w:t>
      </w:r>
      <w:r>
        <w:rPr/>
        <w:t>antiinflamatorios</w:t>
      </w:r>
      <w:r>
        <w:rPr>
          <w:spacing w:val="69"/>
          <w:w w:val="150"/>
        </w:rPr>
        <w:t> </w:t>
      </w:r>
      <w:r>
        <w:rPr/>
        <w:t>no</w:t>
      </w:r>
      <w:r>
        <w:rPr>
          <w:spacing w:val="68"/>
          <w:w w:val="150"/>
        </w:rPr>
        <w:t> </w:t>
      </w:r>
      <w:r>
        <w:rPr/>
        <w:t>esteroideos</w:t>
      </w:r>
      <w:r>
        <w:rPr>
          <w:spacing w:val="68"/>
          <w:w w:val="150"/>
        </w:rPr>
        <w:t> </w:t>
      </w:r>
      <w:r>
        <w:rPr/>
        <w:t>(AINEs)</w:t>
      </w:r>
      <w:r>
        <w:rPr>
          <w:spacing w:val="70"/>
          <w:w w:val="150"/>
        </w:rPr>
        <w:t> </w:t>
      </w:r>
      <w:r>
        <w:rPr/>
        <w:t>ejercen</w:t>
      </w:r>
      <w:r>
        <w:rPr>
          <w:spacing w:val="68"/>
          <w:w w:val="150"/>
        </w:rPr>
        <w:t> </w:t>
      </w:r>
      <w:r>
        <w:rPr/>
        <w:t>su</w:t>
      </w:r>
      <w:r>
        <w:rPr>
          <w:spacing w:val="68"/>
          <w:w w:val="150"/>
        </w:rPr>
        <w:t> </w:t>
      </w:r>
      <w:r>
        <w:rPr/>
        <w:t>efecto</w:t>
      </w:r>
      <w:r>
        <w:rPr>
          <w:spacing w:val="69"/>
          <w:w w:val="150"/>
        </w:rPr>
        <w:t> </w:t>
      </w:r>
      <w:r>
        <w:rPr>
          <w:spacing w:val="-2"/>
        </w:rPr>
        <w:t>analgésico</w:t>
      </w:r>
    </w:p>
    <w:p>
      <w:pPr>
        <w:pStyle w:val="BodyText"/>
        <w:spacing w:after="0"/>
        <w:jc w:val="both"/>
        <w:sectPr>
          <w:pgSz w:w="11900" w:h="16860"/>
          <w:pgMar w:header="0" w:footer="1084" w:top="1620" w:bottom="1280" w:left="1133" w:right="850"/>
        </w:sectPr>
      </w:pPr>
    </w:p>
    <w:p>
      <w:pPr>
        <w:pStyle w:val="BodyText"/>
        <w:spacing w:line="360" w:lineRule="auto" w:before="70"/>
        <w:ind w:right="844"/>
        <w:jc w:val="both"/>
      </w:pPr>
      <w:r>
        <w:rPr/>
        <w:t>principalmente</w:t>
      </w:r>
      <w:r>
        <w:rPr>
          <w:spacing w:val="-4"/>
        </w:rPr>
        <w:t> </w:t>
      </w:r>
      <w:r>
        <w:rPr/>
        <w:t>a</w:t>
      </w:r>
      <w:r>
        <w:rPr>
          <w:spacing w:val="-4"/>
        </w:rPr>
        <w:t> </w:t>
      </w:r>
      <w:r>
        <w:rPr/>
        <w:t>través</w:t>
      </w:r>
      <w:r>
        <w:rPr>
          <w:spacing w:val="-3"/>
        </w:rPr>
        <w:t> </w:t>
      </w:r>
      <w:r>
        <w:rPr/>
        <w:t>de</w:t>
      </w:r>
      <w:r>
        <w:rPr>
          <w:spacing w:val="-7"/>
        </w:rPr>
        <w:t> </w:t>
      </w:r>
      <w:r>
        <w:rPr/>
        <w:t>su</w:t>
      </w:r>
      <w:r>
        <w:rPr>
          <w:spacing w:val="-1"/>
        </w:rPr>
        <w:t> </w:t>
      </w:r>
      <w:r>
        <w:rPr/>
        <w:t>acción antiinflamatoria,</w:t>
      </w:r>
      <w:r>
        <w:rPr>
          <w:spacing w:val="-4"/>
        </w:rPr>
        <w:t> </w:t>
      </w:r>
      <w:r>
        <w:rPr/>
        <w:t>la</w:t>
      </w:r>
      <w:r>
        <w:rPr>
          <w:spacing w:val="-4"/>
        </w:rPr>
        <w:t> </w:t>
      </w:r>
      <w:r>
        <w:rPr/>
        <w:t>cual</w:t>
      </w:r>
      <w:r>
        <w:rPr>
          <w:spacing w:val="-2"/>
        </w:rPr>
        <w:t> </w:t>
      </w:r>
      <w:r>
        <w:rPr/>
        <w:t>impide</w:t>
      </w:r>
      <w:r>
        <w:rPr>
          <w:spacing w:val="-6"/>
        </w:rPr>
        <w:t> </w:t>
      </w:r>
      <w:r>
        <w:rPr/>
        <w:t>la</w:t>
      </w:r>
      <w:r>
        <w:rPr>
          <w:spacing w:val="-2"/>
        </w:rPr>
        <w:t> </w:t>
      </w:r>
      <w:r>
        <w:rPr/>
        <w:t>producción de prostaglandinas y la estimulación de los nociceptores asociados en los tejidos lesionados. Además de estas acciones periféricas, algunos AINEs pueden tener efectos analgésicos centrales. Estos efectos varían según el fármaco específico y pueden</w:t>
      </w:r>
      <w:r>
        <w:rPr>
          <w:spacing w:val="-11"/>
        </w:rPr>
        <w:t> </w:t>
      </w:r>
      <w:r>
        <w:rPr/>
        <w:t>incluir</w:t>
      </w:r>
      <w:r>
        <w:rPr>
          <w:spacing w:val="-10"/>
        </w:rPr>
        <w:t> </w:t>
      </w:r>
      <w:r>
        <w:rPr/>
        <w:t>la</w:t>
      </w:r>
      <w:r>
        <w:rPr>
          <w:spacing w:val="-9"/>
        </w:rPr>
        <w:t> </w:t>
      </w:r>
      <w:r>
        <w:rPr/>
        <w:t>inhibición</w:t>
      </w:r>
      <w:r>
        <w:rPr>
          <w:spacing w:val="-13"/>
        </w:rPr>
        <w:t> </w:t>
      </w:r>
      <w:r>
        <w:rPr/>
        <w:t>de</w:t>
      </w:r>
      <w:r>
        <w:rPr>
          <w:spacing w:val="-12"/>
        </w:rPr>
        <w:t> </w:t>
      </w:r>
      <w:r>
        <w:rPr/>
        <w:t>la</w:t>
      </w:r>
      <w:r>
        <w:rPr>
          <w:spacing w:val="-12"/>
        </w:rPr>
        <w:t> </w:t>
      </w:r>
      <w:r>
        <w:rPr/>
        <w:t>síntesis</w:t>
      </w:r>
      <w:r>
        <w:rPr>
          <w:spacing w:val="-9"/>
        </w:rPr>
        <w:t> </w:t>
      </w:r>
      <w:r>
        <w:rPr/>
        <w:t>de</w:t>
      </w:r>
      <w:r>
        <w:rPr>
          <w:spacing w:val="-9"/>
        </w:rPr>
        <w:t> </w:t>
      </w:r>
      <w:r>
        <w:rPr/>
        <w:t>neurotransmisores</w:t>
      </w:r>
      <w:r>
        <w:rPr>
          <w:spacing w:val="-9"/>
        </w:rPr>
        <w:t> </w:t>
      </w:r>
      <w:r>
        <w:rPr/>
        <w:t>en</w:t>
      </w:r>
      <w:r>
        <w:rPr>
          <w:spacing w:val="-8"/>
        </w:rPr>
        <w:t> </w:t>
      </w:r>
      <w:r>
        <w:rPr/>
        <w:t>las</w:t>
      </w:r>
      <w:r>
        <w:rPr>
          <w:spacing w:val="-11"/>
        </w:rPr>
        <w:t> </w:t>
      </w:r>
      <w:r>
        <w:rPr/>
        <w:t>vías</w:t>
      </w:r>
      <w:r>
        <w:rPr>
          <w:spacing w:val="-8"/>
        </w:rPr>
        <w:t> </w:t>
      </w:r>
      <w:r>
        <w:rPr/>
        <w:t>centrales del</w:t>
      </w:r>
      <w:r>
        <w:rPr>
          <w:spacing w:val="-6"/>
        </w:rPr>
        <w:t> </w:t>
      </w:r>
      <w:r>
        <w:rPr/>
        <w:t>dolor,</w:t>
      </w:r>
      <w:r>
        <w:rPr>
          <w:spacing w:val="-5"/>
        </w:rPr>
        <w:t> </w:t>
      </w:r>
      <w:r>
        <w:rPr/>
        <w:t>el</w:t>
      </w:r>
      <w:r>
        <w:rPr>
          <w:spacing w:val="-4"/>
        </w:rPr>
        <w:t> </w:t>
      </w:r>
      <w:r>
        <w:rPr/>
        <w:t>aumento</w:t>
      </w:r>
      <w:r>
        <w:rPr>
          <w:spacing w:val="-5"/>
        </w:rPr>
        <w:t> </w:t>
      </w:r>
      <w:r>
        <w:rPr/>
        <w:t>de</w:t>
      </w:r>
      <w:r>
        <w:rPr>
          <w:spacing w:val="-8"/>
        </w:rPr>
        <w:t> </w:t>
      </w:r>
      <w:r>
        <w:rPr/>
        <w:t>los</w:t>
      </w:r>
      <w:r>
        <w:rPr>
          <w:spacing w:val="-7"/>
        </w:rPr>
        <w:t> </w:t>
      </w:r>
      <w:r>
        <w:rPr/>
        <w:t>potenciales</w:t>
      </w:r>
      <w:r>
        <w:rPr>
          <w:spacing w:val="-6"/>
        </w:rPr>
        <w:t> </w:t>
      </w:r>
      <w:r>
        <w:rPr/>
        <w:t>de</w:t>
      </w:r>
      <w:r>
        <w:rPr>
          <w:spacing w:val="-8"/>
        </w:rPr>
        <w:t> </w:t>
      </w:r>
      <w:r>
        <w:rPr/>
        <w:t>la</w:t>
      </w:r>
      <w:r>
        <w:rPr>
          <w:spacing w:val="-6"/>
        </w:rPr>
        <w:t> </w:t>
      </w:r>
      <w:r>
        <w:rPr/>
        <w:t>membrana</w:t>
      </w:r>
      <w:r>
        <w:rPr>
          <w:spacing w:val="-8"/>
        </w:rPr>
        <w:t> </w:t>
      </w:r>
      <w:r>
        <w:rPr/>
        <w:t>nerviosa y</w:t>
      </w:r>
      <w:r>
        <w:rPr>
          <w:spacing w:val="-15"/>
        </w:rPr>
        <w:t> </w:t>
      </w:r>
      <w:r>
        <w:rPr/>
        <w:t>la</w:t>
      </w:r>
      <w:r>
        <w:rPr>
          <w:spacing w:val="-3"/>
        </w:rPr>
        <w:t> </w:t>
      </w:r>
      <w:r>
        <w:rPr/>
        <w:t>reducción</w:t>
      </w:r>
      <w:r>
        <w:rPr>
          <w:spacing w:val="-4"/>
        </w:rPr>
        <w:t> </w:t>
      </w:r>
      <w:r>
        <w:rPr/>
        <w:t>de la producción sináptica (Scerri, </w:t>
      </w:r>
      <w:r>
        <w:rPr>
          <w:i/>
        </w:rPr>
        <w:t>et al</w:t>
      </w:r>
      <w:r>
        <w:rPr/>
        <w:t>., 2025).</w:t>
      </w:r>
    </w:p>
    <w:p>
      <w:pPr>
        <w:pStyle w:val="BodyText"/>
        <w:spacing w:line="360" w:lineRule="auto" w:before="240"/>
        <w:ind w:right="845"/>
        <w:jc w:val="both"/>
      </w:pPr>
      <w:r>
        <w:rPr/>
        <w:t>En la actualidad, no hay ningún fármaco antiinflamatorio no esteroideo (AINE) aprobado</w:t>
      </w:r>
      <w:r>
        <w:rPr>
          <w:spacing w:val="-7"/>
        </w:rPr>
        <w:t> </w:t>
      </w:r>
      <w:r>
        <w:rPr/>
        <w:t>por</w:t>
      </w:r>
      <w:r>
        <w:rPr>
          <w:spacing w:val="-7"/>
        </w:rPr>
        <w:t> </w:t>
      </w:r>
      <w:r>
        <w:rPr/>
        <w:t>la</w:t>
      </w:r>
      <w:r>
        <w:rPr>
          <w:spacing w:val="-3"/>
        </w:rPr>
        <w:t> </w:t>
      </w:r>
      <w:r>
        <w:rPr/>
        <w:t>FDA y</w:t>
      </w:r>
      <w:r>
        <w:rPr>
          <w:spacing w:val="-11"/>
        </w:rPr>
        <w:t> </w:t>
      </w:r>
      <w:r>
        <w:rPr/>
        <w:t>etiquetado</w:t>
      </w:r>
      <w:r>
        <w:rPr>
          <w:spacing w:val="-7"/>
        </w:rPr>
        <w:t> </w:t>
      </w:r>
      <w:r>
        <w:rPr/>
        <w:t>específicamente</w:t>
      </w:r>
      <w:r>
        <w:rPr>
          <w:spacing w:val="-4"/>
        </w:rPr>
        <w:t> </w:t>
      </w:r>
      <w:r>
        <w:rPr/>
        <w:t>para</w:t>
      </w:r>
      <w:r>
        <w:rPr>
          <w:spacing w:val="-6"/>
        </w:rPr>
        <w:t> </w:t>
      </w:r>
      <w:r>
        <w:rPr/>
        <w:t>el</w:t>
      </w:r>
      <w:r>
        <w:rPr>
          <w:spacing w:val="-6"/>
        </w:rPr>
        <w:t> </w:t>
      </w:r>
      <w:r>
        <w:rPr/>
        <w:t>tratamiento</w:t>
      </w:r>
      <w:r>
        <w:rPr>
          <w:spacing w:val="-6"/>
        </w:rPr>
        <w:t> </w:t>
      </w:r>
      <w:r>
        <w:rPr/>
        <w:t>del</w:t>
      </w:r>
      <w:r>
        <w:rPr>
          <w:spacing w:val="-6"/>
        </w:rPr>
        <w:t> </w:t>
      </w:r>
      <w:r>
        <w:rPr/>
        <w:t>dolor</w:t>
      </w:r>
      <w:r>
        <w:rPr>
          <w:spacing w:val="-7"/>
        </w:rPr>
        <w:t> </w:t>
      </w:r>
      <w:r>
        <w:rPr/>
        <w:t>en animales destinados al consumo en los Estados Unidos. Investigaciones han señalado que la administración de un fármaco antiinflamatorio no esteroideo (AINE)</w:t>
      </w:r>
      <w:r>
        <w:rPr>
          <w:spacing w:val="-2"/>
        </w:rPr>
        <w:t> </w:t>
      </w:r>
      <w:r>
        <w:rPr/>
        <w:t>como</w:t>
      </w:r>
      <w:r>
        <w:rPr>
          <w:spacing w:val="-5"/>
        </w:rPr>
        <w:t> </w:t>
      </w:r>
      <w:r>
        <w:rPr/>
        <w:t>el</w:t>
      </w:r>
      <w:r>
        <w:rPr>
          <w:spacing w:val="-5"/>
        </w:rPr>
        <w:t> </w:t>
      </w:r>
      <w:r>
        <w:rPr/>
        <w:t>ketoprofeno</w:t>
      </w:r>
      <w:r>
        <w:rPr>
          <w:spacing w:val="-1"/>
        </w:rPr>
        <w:t> </w:t>
      </w:r>
      <w:r>
        <w:rPr/>
        <w:t>y</w:t>
      </w:r>
      <w:r>
        <w:rPr>
          <w:spacing w:val="-11"/>
        </w:rPr>
        <w:t> </w:t>
      </w:r>
      <w:r>
        <w:rPr/>
        <w:t>el</w:t>
      </w:r>
      <w:r>
        <w:rPr>
          <w:spacing w:val="-5"/>
        </w:rPr>
        <w:t> </w:t>
      </w:r>
      <w:r>
        <w:rPr/>
        <w:t>salicilato</w:t>
      </w:r>
      <w:r>
        <w:rPr>
          <w:spacing w:val="-2"/>
        </w:rPr>
        <w:t> </w:t>
      </w:r>
      <w:r>
        <w:rPr/>
        <w:t>de</w:t>
      </w:r>
      <w:r>
        <w:rPr>
          <w:spacing w:val="-9"/>
        </w:rPr>
        <w:t> </w:t>
      </w:r>
      <w:r>
        <w:rPr/>
        <w:t>sodio</w:t>
      </w:r>
      <w:r>
        <w:rPr>
          <w:spacing w:val="-8"/>
        </w:rPr>
        <w:t> </w:t>
      </w:r>
      <w:r>
        <w:rPr/>
        <w:t>puede</w:t>
      </w:r>
      <w:r>
        <w:rPr>
          <w:spacing w:val="-7"/>
        </w:rPr>
        <w:t> </w:t>
      </w:r>
      <w:r>
        <w:rPr/>
        <w:t>reducir</w:t>
      </w:r>
      <w:r>
        <w:rPr>
          <w:spacing w:val="-5"/>
        </w:rPr>
        <w:t> </w:t>
      </w:r>
      <w:r>
        <w:rPr/>
        <w:t>las</w:t>
      </w:r>
      <w:r>
        <w:rPr>
          <w:spacing w:val="-6"/>
        </w:rPr>
        <w:t> </w:t>
      </w:r>
      <w:r>
        <w:rPr/>
        <w:t>respuestas</w:t>
      </w:r>
      <w:r>
        <w:rPr>
          <w:spacing w:val="-8"/>
        </w:rPr>
        <w:t> </w:t>
      </w:r>
      <w:r>
        <w:rPr/>
        <w:t>al dolor asociado con el descornado mediante hierro caliente en terneras lecheras jóvenes. La capacidad del ketoprofeno para prevenir la activación de la respuesta de</w:t>
      </w:r>
      <w:r>
        <w:rPr>
          <w:spacing w:val="-7"/>
        </w:rPr>
        <w:t> </w:t>
      </w:r>
      <w:r>
        <w:rPr/>
        <w:t>cortisol</w:t>
      </w:r>
      <w:r>
        <w:rPr>
          <w:spacing w:val="-2"/>
        </w:rPr>
        <w:t> </w:t>
      </w:r>
      <w:r>
        <w:rPr/>
        <w:t>asociada</w:t>
      </w:r>
      <w:r>
        <w:rPr>
          <w:spacing w:val="-4"/>
        </w:rPr>
        <w:t> </w:t>
      </w:r>
      <w:r>
        <w:rPr/>
        <w:t>con</w:t>
      </w:r>
      <w:r>
        <w:rPr>
          <w:spacing w:val="-1"/>
        </w:rPr>
        <w:t> </w:t>
      </w:r>
      <w:r>
        <w:rPr/>
        <w:t>el</w:t>
      </w:r>
      <w:r>
        <w:rPr>
          <w:spacing w:val="-3"/>
        </w:rPr>
        <w:t> </w:t>
      </w:r>
      <w:r>
        <w:rPr/>
        <w:t>dolor</w:t>
      </w:r>
      <w:r>
        <w:rPr>
          <w:spacing w:val="-6"/>
        </w:rPr>
        <w:t> </w:t>
      </w:r>
      <w:r>
        <w:rPr/>
        <w:t>inducido</w:t>
      </w:r>
      <w:r>
        <w:rPr>
          <w:spacing w:val="-5"/>
        </w:rPr>
        <w:t> </w:t>
      </w:r>
      <w:r>
        <w:rPr/>
        <w:t>por</w:t>
      </w:r>
      <w:r>
        <w:rPr>
          <w:spacing w:val="-7"/>
        </w:rPr>
        <w:t> </w:t>
      </w:r>
      <w:r>
        <w:rPr/>
        <w:t>la</w:t>
      </w:r>
      <w:r>
        <w:rPr>
          <w:spacing w:val="-4"/>
        </w:rPr>
        <w:t> </w:t>
      </w:r>
      <w:r>
        <w:rPr/>
        <w:t>inflamación</w:t>
      </w:r>
      <w:r>
        <w:rPr>
          <w:spacing w:val="-2"/>
        </w:rPr>
        <w:t> </w:t>
      </w:r>
      <w:r>
        <w:rPr/>
        <w:t>puede</w:t>
      </w:r>
      <w:r>
        <w:rPr>
          <w:spacing w:val="-4"/>
        </w:rPr>
        <w:t> </w:t>
      </w:r>
      <w:r>
        <w:rPr/>
        <w:t>atribuirse</w:t>
      </w:r>
      <w:r>
        <w:rPr>
          <w:spacing w:val="-7"/>
        </w:rPr>
        <w:t> </w:t>
      </w:r>
      <w:r>
        <w:rPr/>
        <w:t>a</w:t>
      </w:r>
      <w:r>
        <w:rPr>
          <w:spacing w:val="-4"/>
        </w:rPr>
        <w:t> </w:t>
      </w:r>
      <w:r>
        <w:rPr/>
        <w:t>sus efectos periféricos, centrales o ambos (Qi , </w:t>
      </w:r>
      <w:r>
        <w:rPr>
          <w:i/>
        </w:rPr>
        <w:t>et al.</w:t>
      </w:r>
      <w:r>
        <w:rPr/>
        <w:t>, 2023)</w:t>
      </w:r>
    </w:p>
    <w:p>
      <w:pPr>
        <w:pStyle w:val="BodyText"/>
        <w:spacing w:line="360" w:lineRule="auto" w:before="242"/>
        <w:ind w:right="845"/>
        <w:jc w:val="both"/>
      </w:pPr>
      <w:r>
        <w:rPr/>
        <w:t>Otros</w:t>
      </w:r>
      <w:r>
        <w:rPr>
          <w:spacing w:val="-12"/>
        </w:rPr>
        <w:t> </w:t>
      </w:r>
      <w:r>
        <w:rPr/>
        <w:t>estudios</w:t>
      </w:r>
      <w:r>
        <w:rPr>
          <w:spacing w:val="-11"/>
        </w:rPr>
        <w:t> </w:t>
      </w:r>
      <w:r>
        <w:rPr/>
        <w:t>han</w:t>
      </w:r>
      <w:r>
        <w:rPr>
          <w:spacing w:val="-12"/>
        </w:rPr>
        <w:t> </w:t>
      </w:r>
      <w:r>
        <w:rPr/>
        <w:t>demostrado</w:t>
      </w:r>
      <w:r>
        <w:rPr>
          <w:spacing w:val="-12"/>
        </w:rPr>
        <w:t> </w:t>
      </w:r>
      <w:r>
        <w:rPr/>
        <w:t>que</w:t>
      </w:r>
      <w:r>
        <w:rPr>
          <w:spacing w:val="-13"/>
        </w:rPr>
        <w:t> </w:t>
      </w:r>
      <w:r>
        <w:rPr/>
        <w:t>la</w:t>
      </w:r>
      <w:r>
        <w:rPr>
          <w:spacing w:val="-12"/>
        </w:rPr>
        <w:t> </w:t>
      </w:r>
      <w:r>
        <w:rPr/>
        <w:t>administración</w:t>
      </w:r>
      <w:r>
        <w:rPr>
          <w:spacing w:val="-12"/>
        </w:rPr>
        <w:t> </w:t>
      </w:r>
      <w:r>
        <w:rPr/>
        <w:t>de</w:t>
      </w:r>
      <w:r>
        <w:rPr>
          <w:spacing w:val="-10"/>
        </w:rPr>
        <w:t> </w:t>
      </w:r>
      <w:r>
        <w:rPr/>
        <w:t>objetiv</w:t>
      </w:r>
      <w:r>
        <w:rPr>
          <w:spacing w:val="-10"/>
        </w:rPr>
        <w:t> </w:t>
      </w:r>
      <w:r>
        <w:rPr/>
        <w:t>mejora</w:t>
      </w:r>
      <w:r>
        <w:rPr>
          <w:spacing w:val="-13"/>
        </w:rPr>
        <w:t> </w:t>
      </w:r>
      <w:r>
        <w:rPr/>
        <w:t>la</w:t>
      </w:r>
      <w:r>
        <w:rPr>
          <w:spacing w:val="-12"/>
        </w:rPr>
        <w:t> </w:t>
      </w:r>
      <w:r>
        <w:rPr/>
        <w:t>respuesta fisiológica al estrés asociada con el descornado después de su administración por vía intramuscular o intravenosa. El Flunixin Meglumine es un fármaco antiinflamatorio no esteroideo (AINE) se une preferentemente a las enzimas ciclooxigenasa-2 en el ganado. Aunque el Flunixin Meglumine ha sido aprobado para su uso en bovinos en países europeos y en Canadá, como una dosis única intravenosa o subcutánea de 0,5 mg/kg, actualmente no está aprobado para su uso en bovinos en los Estados Unidos ambos (Roder, </w:t>
      </w:r>
      <w:r>
        <w:rPr>
          <w:i/>
        </w:rPr>
        <w:t>et al</w:t>
      </w:r>
      <w:r>
        <w:rPr/>
        <w:t>., 2020).</w:t>
      </w:r>
    </w:p>
    <w:p>
      <w:pPr>
        <w:pStyle w:val="Heading2"/>
        <w:numPr>
          <w:ilvl w:val="1"/>
          <w:numId w:val="9"/>
        </w:numPr>
        <w:tabs>
          <w:tab w:pos="1701" w:val="left" w:leader="none"/>
        </w:tabs>
        <w:spacing w:line="240" w:lineRule="auto" w:before="238" w:after="0"/>
        <w:ind w:left="1701" w:right="0" w:hanging="566"/>
        <w:jc w:val="left"/>
      </w:pPr>
      <w:bookmarkStart w:name="_bookmark27" w:id="28"/>
      <w:bookmarkEnd w:id="28"/>
      <w:r>
        <w:rPr>
          <w:b w:val="0"/>
        </w:rPr>
      </w:r>
      <w:r>
        <w:rPr/>
        <w:t>Analgesia</w:t>
      </w:r>
      <w:r>
        <w:rPr>
          <w:spacing w:val="-3"/>
        </w:rPr>
        <w:t> </w:t>
      </w:r>
      <w:r>
        <w:rPr/>
        <w:t>multimodal</w:t>
      </w:r>
      <w:r>
        <w:rPr>
          <w:spacing w:val="-4"/>
        </w:rPr>
        <w:t> </w:t>
      </w:r>
      <w:r>
        <w:rPr/>
        <w:t>en</w:t>
      </w:r>
      <w:r>
        <w:rPr>
          <w:spacing w:val="-2"/>
        </w:rPr>
        <w:t> descorne</w:t>
      </w:r>
    </w:p>
    <w:p>
      <w:pPr>
        <w:pStyle w:val="BodyText"/>
        <w:spacing w:before="104"/>
        <w:ind w:left="0"/>
        <w:rPr>
          <w:b/>
        </w:rPr>
      </w:pPr>
    </w:p>
    <w:p>
      <w:pPr>
        <w:pStyle w:val="BodyText"/>
        <w:spacing w:line="360" w:lineRule="auto"/>
        <w:ind w:right="845"/>
        <w:jc w:val="both"/>
      </w:pPr>
      <w:r>
        <w:rPr/>
        <w:t>Se recomienda un enfoque multimodal que incluya el uso de anestésicos locales y antiinflamatorios</w:t>
      </w:r>
      <w:r>
        <w:rPr>
          <w:spacing w:val="-15"/>
        </w:rPr>
        <w:t> </w:t>
      </w:r>
      <w:r>
        <w:rPr/>
        <w:t>no</w:t>
      </w:r>
      <w:r>
        <w:rPr>
          <w:spacing w:val="-15"/>
        </w:rPr>
        <w:t> </w:t>
      </w:r>
      <w:r>
        <w:rPr/>
        <w:t>esteroideos</w:t>
      </w:r>
      <w:r>
        <w:rPr>
          <w:spacing w:val="-15"/>
        </w:rPr>
        <w:t> </w:t>
      </w:r>
      <w:r>
        <w:rPr/>
        <w:t>(AINEs)</w:t>
      </w:r>
      <w:r>
        <w:rPr>
          <w:spacing w:val="-15"/>
        </w:rPr>
        <w:t> </w:t>
      </w:r>
      <w:r>
        <w:rPr/>
        <w:t>como</w:t>
      </w:r>
      <w:r>
        <w:rPr>
          <w:spacing w:val="-15"/>
        </w:rPr>
        <w:t> </w:t>
      </w:r>
      <w:r>
        <w:rPr/>
        <w:t>el</w:t>
      </w:r>
      <w:r>
        <w:rPr>
          <w:spacing w:val="-15"/>
        </w:rPr>
        <w:t> </w:t>
      </w:r>
      <w:r>
        <w:rPr/>
        <w:t>método</w:t>
      </w:r>
      <w:r>
        <w:rPr>
          <w:spacing w:val="-15"/>
        </w:rPr>
        <w:t> </w:t>
      </w:r>
      <w:r>
        <w:rPr/>
        <w:t>más</w:t>
      </w:r>
      <w:r>
        <w:rPr>
          <w:spacing w:val="-15"/>
        </w:rPr>
        <w:t> </w:t>
      </w:r>
      <w:r>
        <w:rPr/>
        <w:t>efectivo</w:t>
      </w:r>
      <w:r>
        <w:rPr>
          <w:spacing w:val="-15"/>
        </w:rPr>
        <w:t> </w:t>
      </w:r>
      <w:r>
        <w:rPr/>
        <w:t>para</w:t>
      </w:r>
      <w:r>
        <w:rPr>
          <w:spacing w:val="-15"/>
        </w:rPr>
        <w:t> </w:t>
      </w:r>
      <w:r>
        <w:rPr/>
        <w:t>reducir el dolor en el ganado después del descornado. En muchos casos, una solución que proporcione un alivio rápido y prolongado del dolor es la más adecuada. La lidocaína,</w:t>
      </w:r>
      <w:r>
        <w:rPr>
          <w:spacing w:val="1"/>
        </w:rPr>
        <w:t> </w:t>
      </w:r>
      <w:r>
        <w:rPr/>
        <w:t>un</w:t>
      </w:r>
      <w:r>
        <w:rPr>
          <w:spacing w:val="3"/>
        </w:rPr>
        <w:t> </w:t>
      </w:r>
      <w:r>
        <w:rPr/>
        <w:t>anestésico</w:t>
      </w:r>
      <w:r>
        <w:rPr>
          <w:spacing w:val="3"/>
        </w:rPr>
        <w:t> </w:t>
      </w:r>
      <w:r>
        <w:rPr/>
        <w:t>local</w:t>
      </w:r>
      <w:r>
        <w:rPr>
          <w:spacing w:val="4"/>
        </w:rPr>
        <w:t> </w:t>
      </w:r>
      <w:r>
        <w:rPr/>
        <w:t>de</w:t>
      </w:r>
      <w:r>
        <w:rPr>
          <w:spacing w:val="5"/>
        </w:rPr>
        <w:t> </w:t>
      </w:r>
      <w:r>
        <w:rPr/>
        <w:t>aminoamida</w:t>
      </w:r>
      <w:r>
        <w:rPr>
          <w:spacing w:val="3"/>
        </w:rPr>
        <w:t> </w:t>
      </w:r>
      <w:r>
        <w:rPr/>
        <w:t>ampliamente</w:t>
      </w:r>
      <w:r>
        <w:rPr>
          <w:spacing w:val="2"/>
        </w:rPr>
        <w:t> </w:t>
      </w:r>
      <w:r>
        <w:rPr/>
        <w:t>utilizado</w:t>
      </w:r>
      <w:r>
        <w:rPr>
          <w:spacing w:val="3"/>
        </w:rPr>
        <w:t> </w:t>
      </w:r>
      <w:r>
        <w:rPr/>
        <w:t>en</w:t>
      </w:r>
      <w:r>
        <w:rPr>
          <w:spacing w:val="3"/>
        </w:rPr>
        <w:t> </w:t>
      </w:r>
      <w:r>
        <w:rPr/>
        <w:t>la</w:t>
      </w:r>
      <w:r>
        <w:rPr>
          <w:spacing w:val="4"/>
        </w:rPr>
        <w:t> </w:t>
      </w:r>
      <w:r>
        <w:rPr>
          <w:spacing w:val="-2"/>
        </w:rPr>
        <w:t>práctica</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44"/>
        <w:jc w:val="both"/>
        <w:rPr>
          <w:rFonts w:ascii="Calibri" w:hAnsi="Calibri"/>
        </w:rPr>
      </w:pPr>
      <w:r>
        <w:rPr/>
        <w:t>veterinaria,</w:t>
      </w:r>
      <w:r>
        <w:rPr>
          <w:spacing w:val="-3"/>
        </w:rPr>
        <w:t> </w:t>
      </w:r>
      <w:r>
        <w:rPr/>
        <w:t>tiene</w:t>
      </w:r>
      <w:r>
        <w:rPr>
          <w:spacing w:val="-3"/>
        </w:rPr>
        <w:t> </w:t>
      </w:r>
      <w:r>
        <w:rPr/>
        <w:t>una</w:t>
      </w:r>
      <w:r>
        <w:rPr>
          <w:spacing w:val="-4"/>
        </w:rPr>
        <w:t> </w:t>
      </w:r>
      <w:r>
        <w:rPr/>
        <w:t>duración</w:t>
      </w:r>
      <w:r>
        <w:rPr>
          <w:spacing w:val="-3"/>
        </w:rPr>
        <w:t> </w:t>
      </w:r>
      <w:r>
        <w:rPr/>
        <w:t>de</w:t>
      </w:r>
      <w:r>
        <w:rPr>
          <w:spacing w:val="-2"/>
        </w:rPr>
        <w:t> </w:t>
      </w:r>
      <w:r>
        <w:rPr/>
        <w:t>acción</w:t>
      </w:r>
      <w:r>
        <w:rPr>
          <w:spacing w:val="-2"/>
        </w:rPr>
        <w:t> </w:t>
      </w:r>
      <w:r>
        <w:rPr/>
        <w:t>limitada (20</w:t>
      </w:r>
      <w:r>
        <w:rPr>
          <w:spacing w:val="-4"/>
        </w:rPr>
        <w:t> </w:t>
      </w:r>
      <w:r>
        <w:rPr/>
        <w:t>a</w:t>
      </w:r>
      <w:r>
        <w:rPr>
          <w:spacing w:val="-7"/>
        </w:rPr>
        <w:t> </w:t>
      </w:r>
      <w:r>
        <w:rPr/>
        <w:t>40</w:t>
      </w:r>
      <w:r>
        <w:rPr>
          <w:spacing w:val="-3"/>
        </w:rPr>
        <w:t> </w:t>
      </w:r>
      <w:r>
        <w:rPr/>
        <w:t>minutos).</w:t>
      </w:r>
      <w:r>
        <w:rPr>
          <w:spacing w:val="-3"/>
        </w:rPr>
        <w:t> </w:t>
      </w:r>
      <w:r>
        <w:rPr/>
        <w:t>Por</w:t>
      </w:r>
      <w:r>
        <w:rPr>
          <w:spacing w:val="-4"/>
        </w:rPr>
        <w:t> </w:t>
      </w:r>
      <w:r>
        <w:rPr/>
        <w:t>otro</w:t>
      </w:r>
      <w:r>
        <w:rPr>
          <w:spacing w:val="-3"/>
        </w:rPr>
        <w:t> </w:t>
      </w:r>
      <w:r>
        <w:rPr/>
        <w:t>lado, la bupivacaína, que es una de las aminoamidas más potentes y de acción prolongada, con un valor de pKa más alto que la lidocaína, tiene una duración de acción más prolongada (5 a 8 horas), pero se cree que su inicio de acción es más lento (30 minutos) (Knauer </w:t>
      </w:r>
      <w:r>
        <w:rPr>
          <w:i/>
        </w:rPr>
        <w:t>et al</w:t>
      </w:r>
      <w:r>
        <w:rPr/>
        <w:t>., 2023)</w:t>
      </w:r>
      <w:r>
        <w:rPr>
          <w:rFonts w:ascii="Calibri" w:hAnsi="Calibri"/>
        </w:rPr>
        <w:t>.</w:t>
      </w:r>
    </w:p>
    <w:p>
      <w:pPr>
        <w:pStyle w:val="BodyText"/>
        <w:spacing w:line="360" w:lineRule="auto" w:before="240"/>
        <w:ind w:right="845"/>
        <w:jc w:val="both"/>
      </w:pPr>
      <w:r>
        <w:rPr/>
        <w:t>La</w:t>
      </w:r>
      <w:r>
        <w:rPr>
          <w:spacing w:val="-10"/>
        </w:rPr>
        <w:t> </w:t>
      </w:r>
      <w:r>
        <w:rPr/>
        <w:t>aplicación</w:t>
      </w:r>
      <w:r>
        <w:rPr>
          <w:spacing w:val="-5"/>
        </w:rPr>
        <w:t> </w:t>
      </w:r>
      <w:r>
        <w:rPr/>
        <w:t>de</w:t>
      </w:r>
      <w:r>
        <w:rPr>
          <w:spacing w:val="-7"/>
        </w:rPr>
        <w:t> </w:t>
      </w:r>
      <w:r>
        <w:rPr/>
        <w:t>bupivacaína</w:t>
      </w:r>
      <w:r>
        <w:rPr>
          <w:spacing w:val="-11"/>
        </w:rPr>
        <w:t> </w:t>
      </w:r>
      <w:r>
        <w:rPr/>
        <w:t>20</w:t>
      </w:r>
      <w:r>
        <w:rPr>
          <w:spacing w:val="-6"/>
        </w:rPr>
        <w:t> </w:t>
      </w:r>
      <w:r>
        <w:rPr/>
        <w:t>minutos</w:t>
      </w:r>
      <w:r>
        <w:rPr>
          <w:spacing w:val="-5"/>
        </w:rPr>
        <w:t> </w:t>
      </w:r>
      <w:r>
        <w:rPr/>
        <w:t>antes</w:t>
      </w:r>
      <w:r>
        <w:rPr>
          <w:spacing w:val="-11"/>
        </w:rPr>
        <w:t> </w:t>
      </w:r>
      <w:r>
        <w:rPr/>
        <w:t>del</w:t>
      </w:r>
      <w:r>
        <w:rPr>
          <w:spacing w:val="-5"/>
        </w:rPr>
        <w:t> </w:t>
      </w:r>
      <w:r>
        <w:rPr/>
        <w:t>descornado y</w:t>
      </w:r>
      <w:r>
        <w:rPr>
          <w:spacing w:val="-15"/>
        </w:rPr>
        <w:t> </w:t>
      </w:r>
      <w:r>
        <w:rPr/>
        <w:t>una</w:t>
      </w:r>
      <w:r>
        <w:rPr>
          <w:spacing w:val="-9"/>
        </w:rPr>
        <w:t> </w:t>
      </w:r>
      <w:r>
        <w:rPr/>
        <w:t>segunda</w:t>
      </w:r>
      <w:r>
        <w:rPr>
          <w:spacing w:val="-11"/>
        </w:rPr>
        <w:t> </w:t>
      </w:r>
      <w:r>
        <w:rPr/>
        <w:t>dosis 4</w:t>
      </w:r>
      <w:r>
        <w:rPr>
          <w:spacing w:val="-13"/>
        </w:rPr>
        <w:t> </w:t>
      </w:r>
      <w:r>
        <w:rPr/>
        <w:t>horas</w:t>
      </w:r>
      <w:r>
        <w:rPr>
          <w:spacing w:val="-10"/>
        </w:rPr>
        <w:t> </w:t>
      </w:r>
      <w:r>
        <w:rPr/>
        <w:t>después</w:t>
      </w:r>
      <w:r>
        <w:rPr>
          <w:spacing w:val="-12"/>
        </w:rPr>
        <w:t> </w:t>
      </w:r>
      <w:r>
        <w:rPr/>
        <w:t>del</w:t>
      </w:r>
      <w:r>
        <w:rPr>
          <w:spacing w:val="-12"/>
        </w:rPr>
        <w:t> </w:t>
      </w:r>
      <w:r>
        <w:rPr/>
        <w:t>procedimiento,</w:t>
      </w:r>
      <w:r>
        <w:rPr>
          <w:spacing w:val="-9"/>
        </w:rPr>
        <w:t> </w:t>
      </w:r>
      <w:r>
        <w:rPr/>
        <w:t>evita</w:t>
      </w:r>
      <w:r>
        <w:rPr>
          <w:spacing w:val="-13"/>
        </w:rPr>
        <w:t> </w:t>
      </w:r>
      <w:r>
        <w:rPr/>
        <w:t>la</w:t>
      </w:r>
      <w:r>
        <w:rPr>
          <w:spacing w:val="-12"/>
        </w:rPr>
        <w:t> </w:t>
      </w:r>
      <w:r>
        <w:rPr/>
        <w:t>respuesta</w:t>
      </w:r>
      <w:r>
        <w:rPr>
          <w:spacing w:val="-13"/>
        </w:rPr>
        <w:t> </w:t>
      </w:r>
      <w:r>
        <w:rPr/>
        <w:t>de</w:t>
      </w:r>
      <w:r>
        <w:rPr>
          <w:spacing w:val="-13"/>
        </w:rPr>
        <w:t> </w:t>
      </w:r>
      <w:r>
        <w:rPr/>
        <w:t>cortisol</w:t>
      </w:r>
      <w:r>
        <w:rPr>
          <w:spacing w:val="-11"/>
        </w:rPr>
        <w:t> </w:t>
      </w:r>
      <w:r>
        <w:rPr/>
        <w:t>durante</w:t>
      </w:r>
      <w:r>
        <w:rPr>
          <w:spacing w:val="-13"/>
        </w:rPr>
        <w:t> </w:t>
      </w:r>
      <w:r>
        <w:rPr/>
        <w:t>un</w:t>
      </w:r>
      <w:r>
        <w:rPr>
          <w:spacing w:val="-13"/>
        </w:rPr>
        <w:t> </w:t>
      </w:r>
      <w:r>
        <w:rPr/>
        <w:t>período de 8 horas. Sin embargo, es importante considerar la viabilidad de administrar un anestésico local en dos ocasiones. En 2016, se aprobó una nueva formulación liposomal de bupivacaína de liberación prolongada para perros, y en 2018 para gatos. La</w:t>
      </w:r>
      <w:r>
        <w:rPr>
          <w:spacing w:val="-1"/>
        </w:rPr>
        <w:t> </w:t>
      </w:r>
      <w:r>
        <w:rPr/>
        <w:t>administración de esta</w:t>
      </w:r>
      <w:r>
        <w:rPr>
          <w:spacing w:val="-1"/>
        </w:rPr>
        <w:t> </w:t>
      </w:r>
      <w:r>
        <w:rPr/>
        <w:t>formulación antes</w:t>
      </w:r>
      <w:r>
        <w:rPr>
          <w:spacing w:val="-1"/>
        </w:rPr>
        <w:t> </w:t>
      </w:r>
      <w:r>
        <w:rPr/>
        <w:t>de la</w:t>
      </w:r>
      <w:r>
        <w:rPr>
          <w:spacing w:val="-1"/>
        </w:rPr>
        <w:t> </w:t>
      </w:r>
      <w:r>
        <w:rPr/>
        <w:t>cirugía</w:t>
      </w:r>
      <w:r>
        <w:rPr>
          <w:spacing w:val="-1"/>
        </w:rPr>
        <w:t> </w:t>
      </w:r>
      <w:r>
        <w:rPr/>
        <w:t>proporciona hasta 72 horas de control del dolor (Roder, </w:t>
      </w:r>
      <w:r>
        <w:rPr>
          <w:i/>
        </w:rPr>
        <w:t>et al</w:t>
      </w:r>
      <w:r>
        <w:rPr/>
        <w:t>., 2020)</w:t>
      </w:r>
    </w:p>
    <w:p>
      <w:pPr>
        <w:pStyle w:val="BodyText"/>
        <w:spacing w:line="360" w:lineRule="auto" w:before="240"/>
        <w:ind w:right="842"/>
        <w:jc w:val="both"/>
      </w:pPr>
      <w:r>
        <w:rPr/>
        <w:t>El Flunixin Meglumine es un fármaco antiinflamatorio no esteroideo (AINE) que actúa</w:t>
      </w:r>
      <w:r>
        <w:rPr>
          <w:spacing w:val="-4"/>
        </w:rPr>
        <w:t> </w:t>
      </w:r>
      <w:r>
        <w:rPr/>
        <w:t>preferentemente</w:t>
      </w:r>
      <w:r>
        <w:rPr>
          <w:spacing w:val="-4"/>
        </w:rPr>
        <w:t> </w:t>
      </w:r>
      <w:r>
        <w:rPr/>
        <w:t>sobre</w:t>
      </w:r>
      <w:r>
        <w:rPr>
          <w:spacing w:val="-6"/>
        </w:rPr>
        <w:t> </w:t>
      </w:r>
      <w:r>
        <w:rPr/>
        <w:t>la</w:t>
      </w:r>
      <w:r>
        <w:rPr>
          <w:spacing w:val="-4"/>
        </w:rPr>
        <w:t> </w:t>
      </w:r>
      <w:r>
        <w:rPr/>
        <w:t>ciclooxigenasa-2,</w:t>
      </w:r>
      <w:r>
        <w:rPr>
          <w:spacing w:val="-4"/>
        </w:rPr>
        <w:t> </w:t>
      </w:r>
      <w:r>
        <w:rPr/>
        <w:t>lo</w:t>
      </w:r>
      <w:r>
        <w:rPr>
          <w:spacing w:val="-4"/>
        </w:rPr>
        <w:t> </w:t>
      </w:r>
      <w:r>
        <w:rPr/>
        <w:t>que</w:t>
      </w:r>
      <w:r>
        <w:rPr>
          <w:spacing w:val="-5"/>
        </w:rPr>
        <w:t> </w:t>
      </w:r>
      <w:r>
        <w:rPr/>
        <w:t>lo</w:t>
      </w:r>
      <w:r>
        <w:rPr>
          <w:spacing w:val="-4"/>
        </w:rPr>
        <w:t> </w:t>
      </w:r>
      <w:r>
        <w:rPr/>
        <w:t>convierte</w:t>
      </w:r>
      <w:r>
        <w:rPr>
          <w:spacing w:val="-6"/>
        </w:rPr>
        <w:t> </w:t>
      </w:r>
      <w:r>
        <w:rPr/>
        <w:t>en</w:t>
      </w:r>
      <w:r>
        <w:rPr>
          <w:spacing w:val="-4"/>
        </w:rPr>
        <w:t> </w:t>
      </w:r>
      <w:r>
        <w:rPr/>
        <w:t>una</w:t>
      </w:r>
      <w:r>
        <w:rPr>
          <w:spacing w:val="-5"/>
        </w:rPr>
        <w:t> </w:t>
      </w:r>
      <w:r>
        <w:rPr/>
        <w:t>opción práctica para el alivio del dolor en la producción animal debido a su larga vida media de 27 horas. Aunque no se ha comprobado que el Flunixin Meglumine reduzca los signos de angustia aguda, sí se ha demostrado que disminuye la respuesta</w:t>
      </w:r>
      <w:r>
        <w:rPr>
          <w:spacing w:val="-12"/>
        </w:rPr>
        <w:t> </w:t>
      </w:r>
      <w:r>
        <w:rPr/>
        <w:t>prolongada</w:t>
      </w:r>
      <w:r>
        <w:rPr>
          <w:spacing w:val="-13"/>
        </w:rPr>
        <w:t> </w:t>
      </w:r>
      <w:r>
        <w:rPr/>
        <w:t>al</w:t>
      </w:r>
      <w:r>
        <w:rPr>
          <w:spacing w:val="-11"/>
        </w:rPr>
        <w:t> </w:t>
      </w:r>
      <w:r>
        <w:rPr/>
        <w:t>estrés</w:t>
      </w:r>
      <w:r>
        <w:rPr>
          <w:spacing w:val="-11"/>
        </w:rPr>
        <w:t> </w:t>
      </w:r>
      <w:r>
        <w:rPr/>
        <w:t>en</w:t>
      </w:r>
      <w:r>
        <w:rPr>
          <w:spacing w:val="-12"/>
        </w:rPr>
        <w:t> </w:t>
      </w:r>
      <w:r>
        <w:rPr/>
        <w:t>los</w:t>
      </w:r>
      <w:r>
        <w:rPr>
          <w:spacing w:val="-11"/>
        </w:rPr>
        <w:t> </w:t>
      </w:r>
      <w:r>
        <w:rPr/>
        <w:t>terneros</w:t>
      </w:r>
      <w:r>
        <w:rPr>
          <w:spacing w:val="-12"/>
        </w:rPr>
        <w:t> </w:t>
      </w:r>
      <w:r>
        <w:rPr/>
        <w:t>después</w:t>
      </w:r>
      <w:r>
        <w:rPr>
          <w:spacing w:val="-11"/>
        </w:rPr>
        <w:t> </w:t>
      </w:r>
      <w:r>
        <w:rPr/>
        <w:t>del</w:t>
      </w:r>
      <w:r>
        <w:rPr>
          <w:spacing w:val="-11"/>
        </w:rPr>
        <w:t> </w:t>
      </w:r>
      <w:r>
        <w:rPr/>
        <w:t>descornado</w:t>
      </w:r>
      <w:r>
        <w:rPr>
          <w:spacing w:val="-12"/>
        </w:rPr>
        <w:t> </w:t>
      </w:r>
      <w:r>
        <w:rPr/>
        <w:t>(Scerri,</w:t>
      </w:r>
      <w:r>
        <w:rPr>
          <w:spacing w:val="-10"/>
        </w:rPr>
        <w:t> </w:t>
      </w:r>
      <w:r>
        <w:rPr>
          <w:i/>
        </w:rPr>
        <w:t>et</w:t>
      </w:r>
      <w:r>
        <w:rPr>
          <w:i/>
          <w:spacing w:val="-11"/>
        </w:rPr>
        <w:t> </w:t>
      </w:r>
      <w:r>
        <w:rPr>
          <w:i/>
        </w:rPr>
        <w:t>al</w:t>
      </w:r>
      <w:r>
        <w:rPr/>
        <w:t>., </w:t>
      </w:r>
      <w:r>
        <w:rPr>
          <w:spacing w:val="-2"/>
        </w:rPr>
        <w:t>2025).</w:t>
      </w:r>
    </w:p>
    <w:p>
      <w:pPr>
        <w:pStyle w:val="Heading2"/>
        <w:numPr>
          <w:ilvl w:val="1"/>
          <w:numId w:val="9"/>
        </w:numPr>
        <w:tabs>
          <w:tab w:pos="1855" w:val="left" w:leader="none"/>
        </w:tabs>
        <w:spacing w:line="240" w:lineRule="auto" w:before="242" w:after="0"/>
        <w:ind w:left="1855" w:right="0" w:hanging="720"/>
        <w:jc w:val="left"/>
      </w:pPr>
      <w:bookmarkStart w:name="_bookmark28" w:id="29"/>
      <w:bookmarkEnd w:id="29"/>
      <w:r>
        <w:rPr>
          <w:b w:val="0"/>
        </w:rPr>
      </w:r>
      <w:r>
        <w:rPr/>
        <w:t>Lidocaína</w:t>
      </w:r>
      <w:r>
        <w:rPr>
          <w:spacing w:val="-1"/>
        </w:rPr>
        <w:t> </w:t>
      </w:r>
      <w:r>
        <w:rPr>
          <w:spacing w:val="-2"/>
        </w:rPr>
        <w:t>tamponada</w:t>
      </w:r>
    </w:p>
    <w:p>
      <w:pPr>
        <w:pStyle w:val="BodyText"/>
        <w:spacing w:before="100"/>
        <w:ind w:left="0"/>
        <w:rPr>
          <w:b/>
        </w:rPr>
      </w:pPr>
    </w:p>
    <w:p>
      <w:pPr>
        <w:pStyle w:val="BodyText"/>
        <w:spacing w:line="360" w:lineRule="auto" w:before="1"/>
        <w:ind w:right="845"/>
        <w:jc w:val="both"/>
      </w:pPr>
      <w:r>
        <w:rPr/>
        <w:t>La lidocaína, clasificada como una aminoamida, es un fármaco altamente</w:t>
      </w:r>
      <w:r>
        <w:rPr>
          <w:spacing w:val="-1"/>
        </w:rPr>
        <w:t> </w:t>
      </w:r>
      <w:r>
        <w:rPr/>
        <w:t>efectivo disponible en formulaciones tópicas e inyectables. Su uso puede ser solo o combinado</w:t>
      </w:r>
      <w:r>
        <w:rPr>
          <w:spacing w:val="-14"/>
        </w:rPr>
        <w:t> </w:t>
      </w:r>
      <w:r>
        <w:rPr/>
        <w:t>con</w:t>
      </w:r>
      <w:r>
        <w:rPr>
          <w:spacing w:val="-13"/>
        </w:rPr>
        <w:t> </w:t>
      </w:r>
      <w:r>
        <w:rPr/>
        <w:t>adrenalina.</w:t>
      </w:r>
      <w:r>
        <w:rPr>
          <w:spacing w:val="-9"/>
        </w:rPr>
        <w:t> </w:t>
      </w:r>
      <w:r>
        <w:rPr/>
        <w:t>La</w:t>
      </w:r>
      <w:r>
        <w:rPr>
          <w:spacing w:val="-15"/>
        </w:rPr>
        <w:t> </w:t>
      </w:r>
      <w:r>
        <w:rPr/>
        <w:t>administración</w:t>
      </w:r>
      <w:r>
        <w:rPr>
          <w:spacing w:val="-13"/>
        </w:rPr>
        <w:t> </w:t>
      </w:r>
      <w:r>
        <w:rPr/>
        <w:t>de</w:t>
      </w:r>
      <w:r>
        <w:rPr>
          <w:spacing w:val="-15"/>
        </w:rPr>
        <w:t> </w:t>
      </w:r>
      <w:r>
        <w:rPr/>
        <w:t>clorhidrato</w:t>
      </w:r>
      <w:r>
        <w:rPr>
          <w:spacing w:val="-13"/>
        </w:rPr>
        <w:t> </w:t>
      </w:r>
      <w:r>
        <w:rPr/>
        <w:t>de</w:t>
      </w:r>
      <w:r>
        <w:rPr>
          <w:spacing w:val="-14"/>
        </w:rPr>
        <w:t> </w:t>
      </w:r>
      <w:r>
        <w:rPr/>
        <w:t>lidocaína</w:t>
      </w:r>
      <w:r>
        <w:rPr>
          <w:spacing w:val="-13"/>
        </w:rPr>
        <w:t> </w:t>
      </w:r>
      <w:r>
        <w:rPr/>
        <w:t>al</w:t>
      </w:r>
      <w:r>
        <w:rPr>
          <w:spacing w:val="-10"/>
        </w:rPr>
        <w:t> </w:t>
      </w:r>
      <w:r>
        <w:rPr/>
        <w:t>2%</w:t>
      </w:r>
      <w:r>
        <w:rPr>
          <w:spacing w:val="-15"/>
        </w:rPr>
        <w:t> </w:t>
      </w:r>
      <w:r>
        <w:rPr/>
        <w:t>con adrenalina en concentraciones de 1:100,000 o 1:80,000 es la más recomendada (Adcock &amp; Tucker, 2022). </w:t>
      </w:r>
      <w:r>
        <w:rPr>
          <w:color w:val="0D0D0D"/>
        </w:rPr>
        <w:t>El clorhidrato de lidocaína funciona bloqueando los canales</w:t>
      </w:r>
      <w:r>
        <w:rPr>
          <w:color w:val="0D0D0D"/>
          <w:spacing w:val="-2"/>
        </w:rPr>
        <w:t> </w:t>
      </w:r>
      <w:r>
        <w:rPr>
          <w:color w:val="0D0D0D"/>
        </w:rPr>
        <w:t>de</w:t>
      </w:r>
      <w:r>
        <w:rPr>
          <w:color w:val="0D0D0D"/>
          <w:spacing w:val="-2"/>
        </w:rPr>
        <w:t> </w:t>
      </w:r>
      <w:r>
        <w:rPr>
          <w:color w:val="0D0D0D"/>
        </w:rPr>
        <w:t>sodio</w:t>
      </w:r>
      <w:r>
        <w:rPr>
          <w:color w:val="0D0D0D"/>
          <w:spacing w:val="-1"/>
        </w:rPr>
        <w:t> </w:t>
      </w:r>
      <w:r>
        <w:rPr>
          <w:color w:val="0D0D0D"/>
        </w:rPr>
        <w:t>en</w:t>
      </w:r>
      <w:r>
        <w:rPr>
          <w:color w:val="0D0D0D"/>
          <w:spacing w:val="-1"/>
        </w:rPr>
        <w:t> </w:t>
      </w:r>
      <w:r>
        <w:rPr>
          <w:color w:val="0D0D0D"/>
        </w:rPr>
        <w:t>la</w:t>
      </w:r>
      <w:r>
        <w:rPr>
          <w:color w:val="0D0D0D"/>
          <w:spacing w:val="-2"/>
        </w:rPr>
        <w:t> </w:t>
      </w:r>
      <w:r>
        <w:rPr>
          <w:color w:val="0D0D0D"/>
        </w:rPr>
        <w:t>membrana</w:t>
      </w:r>
      <w:r>
        <w:rPr>
          <w:color w:val="0D0D0D"/>
          <w:spacing w:val="-2"/>
        </w:rPr>
        <w:t> </w:t>
      </w:r>
      <w:r>
        <w:rPr>
          <w:color w:val="0D0D0D"/>
        </w:rPr>
        <w:t>celular</w:t>
      </w:r>
      <w:r>
        <w:rPr>
          <w:color w:val="0D0D0D"/>
          <w:spacing w:val="-2"/>
        </w:rPr>
        <w:t> </w:t>
      </w:r>
      <w:r>
        <w:rPr>
          <w:color w:val="0D0D0D"/>
        </w:rPr>
        <w:t>de</w:t>
      </w:r>
      <w:r>
        <w:rPr>
          <w:color w:val="0D0D0D"/>
          <w:spacing w:val="-2"/>
        </w:rPr>
        <w:t> </w:t>
      </w:r>
      <w:r>
        <w:rPr>
          <w:color w:val="0D0D0D"/>
        </w:rPr>
        <w:t>las</w:t>
      </w:r>
      <w:r>
        <w:rPr>
          <w:color w:val="0D0D0D"/>
          <w:spacing w:val="-2"/>
        </w:rPr>
        <w:t> </w:t>
      </w:r>
      <w:r>
        <w:rPr>
          <w:color w:val="0D0D0D"/>
        </w:rPr>
        <w:t>neuronas</w:t>
      </w:r>
      <w:r>
        <w:rPr>
          <w:color w:val="0D0D0D"/>
          <w:spacing w:val="-1"/>
        </w:rPr>
        <w:t> </w:t>
      </w:r>
      <w:r>
        <w:rPr>
          <w:color w:val="0D0D0D"/>
        </w:rPr>
        <w:t>sensoriales</w:t>
      </w:r>
      <w:r>
        <w:rPr>
          <w:color w:val="0D0D0D"/>
          <w:spacing w:val="-2"/>
        </w:rPr>
        <w:t> </w:t>
      </w:r>
      <w:r>
        <w:rPr>
          <w:color w:val="0D0D0D"/>
        </w:rPr>
        <w:t>periféricas,</w:t>
      </w:r>
      <w:r>
        <w:rPr>
          <w:color w:val="0D0D0D"/>
          <w:spacing w:val="-1"/>
        </w:rPr>
        <w:t> </w:t>
      </w:r>
      <w:r>
        <w:rPr>
          <w:color w:val="0D0D0D"/>
        </w:rPr>
        <w:t>lo que impide el movimiento de iones de sodio y potasio a través de los receptores nerviosos y, por ende, la transmisión nerviosa. Los tejidos actúan como amortiguadores, reduciendo el cambio de pH cuando la solución ácida del anestésico local entra en contacto (Rabinowitz </w:t>
      </w:r>
      <w:r>
        <w:rPr>
          <w:i/>
          <w:color w:val="0D0D0D"/>
        </w:rPr>
        <w:t>et al</w:t>
      </w:r>
      <w:r>
        <w:rPr>
          <w:color w:val="0D0D0D"/>
        </w:rPr>
        <w:t>., 2024).</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46"/>
        <w:jc w:val="both"/>
      </w:pPr>
      <w:r>
        <w:rPr>
          <w:color w:val="0D0D0D"/>
        </w:rPr>
        <w:t>Es importante destacar que la lidocaína es uno de los anestésicos locales más comúnmente utilizados en medicina. Sin embargo, es necesario considerar que el alivio</w:t>
      </w:r>
      <w:r>
        <w:rPr>
          <w:color w:val="0D0D0D"/>
          <w:spacing w:val="-13"/>
        </w:rPr>
        <w:t> </w:t>
      </w:r>
      <w:r>
        <w:rPr>
          <w:color w:val="0D0D0D"/>
        </w:rPr>
        <w:t>del</w:t>
      </w:r>
      <w:r>
        <w:rPr>
          <w:color w:val="0D0D0D"/>
          <w:spacing w:val="-13"/>
        </w:rPr>
        <w:t> </w:t>
      </w:r>
      <w:r>
        <w:rPr>
          <w:color w:val="0D0D0D"/>
        </w:rPr>
        <w:t>dolor</w:t>
      </w:r>
      <w:r>
        <w:rPr>
          <w:color w:val="0D0D0D"/>
          <w:spacing w:val="-13"/>
        </w:rPr>
        <w:t> </w:t>
      </w:r>
      <w:r>
        <w:rPr>
          <w:color w:val="0D0D0D"/>
        </w:rPr>
        <w:t>puede</w:t>
      </w:r>
      <w:r>
        <w:rPr>
          <w:color w:val="0D0D0D"/>
          <w:spacing w:val="-14"/>
        </w:rPr>
        <w:t> </w:t>
      </w:r>
      <w:r>
        <w:rPr>
          <w:color w:val="0D0D0D"/>
        </w:rPr>
        <w:t>demorarse</w:t>
      </w:r>
      <w:r>
        <w:rPr>
          <w:color w:val="0D0D0D"/>
          <w:spacing w:val="-15"/>
        </w:rPr>
        <w:t> </w:t>
      </w:r>
      <w:r>
        <w:rPr>
          <w:color w:val="0D0D0D"/>
        </w:rPr>
        <w:t>un</w:t>
      </w:r>
      <w:r>
        <w:rPr>
          <w:color w:val="0D0D0D"/>
          <w:spacing w:val="-11"/>
        </w:rPr>
        <w:t> </w:t>
      </w:r>
      <w:r>
        <w:rPr>
          <w:color w:val="0D0D0D"/>
        </w:rPr>
        <w:t>poco</w:t>
      </w:r>
      <w:r>
        <w:rPr>
          <w:color w:val="0D0D0D"/>
          <w:spacing w:val="-10"/>
        </w:rPr>
        <w:t> </w:t>
      </w:r>
      <w:r>
        <w:rPr>
          <w:color w:val="0D0D0D"/>
        </w:rPr>
        <w:t>con</w:t>
      </w:r>
      <w:r>
        <w:rPr>
          <w:color w:val="0D0D0D"/>
          <w:spacing w:val="-11"/>
        </w:rPr>
        <w:t> </w:t>
      </w:r>
      <w:r>
        <w:rPr>
          <w:color w:val="0D0D0D"/>
        </w:rPr>
        <w:t>esta</w:t>
      </w:r>
      <w:r>
        <w:rPr>
          <w:color w:val="0D0D0D"/>
          <w:spacing w:val="-6"/>
        </w:rPr>
        <w:t> </w:t>
      </w:r>
      <w:r>
        <w:rPr>
          <w:color w:val="0D0D0D"/>
        </w:rPr>
        <w:t>anestesia,</w:t>
      </w:r>
      <w:r>
        <w:rPr>
          <w:color w:val="0D0D0D"/>
          <w:spacing w:val="-13"/>
        </w:rPr>
        <w:t> </w:t>
      </w:r>
      <w:r>
        <w:rPr>
          <w:color w:val="0D0D0D"/>
        </w:rPr>
        <w:t>lo</w:t>
      </w:r>
      <w:r>
        <w:rPr>
          <w:color w:val="0D0D0D"/>
          <w:spacing w:val="-12"/>
        </w:rPr>
        <w:t> </w:t>
      </w:r>
      <w:r>
        <w:rPr>
          <w:color w:val="0D0D0D"/>
        </w:rPr>
        <w:t>que</w:t>
      </w:r>
      <w:r>
        <w:rPr>
          <w:color w:val="0D0D0D"/>
          <w:spacing w:val="-14"/>
        </w:rPr>
        <w:t> </w:t>
      </w:r>
      <w:r>
        <w:rPr>
          <w:color w:val="0D0D0D"/>
        </w:rPr>
        <w:t>a</w:t>
      </w:r>
      <w:r>
        <w:rPr>
          <w:color w:val="0D0D0D"/>
          <w:spacing w:val="-14"/>
        </w:rPr>
        <w:t> </w:t>
      </w:r>
      <w:r>
        <w:rPr>
          <w:color w:val="0D0D0D"/>
        </w:rPr>
        <w:t>menudo</w:t>
      </w:r>
      <w:r>
        <w:rPr>
          <w:color w:val="0D0D0D"/>
          <w:spacing w:val="-13"/>
        </w:rPr>
        <w:t> </w:t>
      </w:r>
      <w:r>
        <w:rPr>
          <w:color w:val="0D0D0D"/>
        </w:rPr>
        <w:t>causa molestias y ansiedad en los pacientes. Para abordar estas molestias, han surgido nuevas soluciones que incluyen la adición de sustancias tamponadas, como el bicarbonato de sodio y</w:t>
      </w:r>
      <w:r>
        <w:rPr>
          <w:color w:val="0D0D0D"/>
          <w:spacing w:val="-2"/>
        </w:rPr>
        <w:t> </w:t>
      </w:r>
      <w:r>
        <w:rPr>
          <w:color w:val="0D0D0D"/>
        </w:rPr>
        <w:t>el fosfato disódico más bicarbonato de sodio, para mejorar la experiencia del paciente durante el procedimiento, dentro de los anestésicos locales, se busca mejorar la comodidad de la inyección y acelerar el inicio de la anestesia, por ello, Los anestésicos locales con tampón son más efectivos que aquellos sin tampón (Sadananda </w:t>
      </w:r>
      <w:r>
        <w:rPr>
          <w:i/>
          <w:color w:val="0D0D0D"/>
        </w:rPr>
        <w:t>et al</w:t>
      </w:r>
      <w:r>
        <w:rPr>
          <w:color w:val="0D0D0D"/>
        </w:rPr>
        <w:t>., 2022).</w:t>
      </w:r>
    </w:p>
    <w:p>
      <w:pPr>
        <w:pStyle w:val="BodyText"/>
        <w:spacing w:line="360" w:lineRule="auto" w:before="241"/>
        <w:ind w:right="843"/>
        <w:jc w:val="both"/>
      </w:pPr>
      <w:r>
        <w:rPr/>
        <w:t>La</w:t>
      </w:r>
      <w:r>
        <w:rPr>
          <w:spacing w:val="-14"/>
        </w:rPr>
        <w:t> </w:t>
      </w:r>
      <w:r>
        <w:rPr/>
        <w:t>lidocaína</w:t>
      </w:r>
      <w:r>
        <w:rPr>
          <w:spacing w:val="-14"/>
        </w:rPr>
        <w:t> </w:t>
      </w:r>
      <w:r>
        <w:rPr/>
        <w:t>es</w:t>
      </w:r>
      <w:r>
        <w:rPr>
          <w:spacing w:val="-10"/>
        </w:rPr>
        <w:t> </w:t>
      </w:r>
      <w:r>
        <w:rPr/>
        <w:t>ampliamente</w:t>
      </w:r>
      <w:r>
        <w:rPr>
          <w:spacing w:val="-14"/>
        </w:rPr>
        <w:t> </w:t>
      </w:r>
      <w:r>
        <w:rPr/>
        <w:t>utilizada</w:t>
      </w:r>
      <w:r>
        <w:rPr>
          <w:spacing w:val="-14"/>
        </w:rPr>
        <w:t> </w:t>
      </w:r>
      <w:r>
        <w:rPr/>
        <w:t>en</w:t>
      </w:r>
      <w:r>
        <w:rPr>
          <w:spacing w:val="-14"/>
        </w:rPr>
        <w:t> </w:t>
      </w:r>
      <w:r>
        <w:rPr/>
        <w:t>procedimientos</w:t>
      </w:r>
      <w:r>
        <w:rPr>
          <w:spacing w:val="-14"/>
        </w:rPr>
        <w:t> </w:t>
      </w:r>
      <w:r>
        <w:rPr/>
        <w:t>quirúrgicos</w:t>
      </w:r>
      <w:r>
        <w:rPr>
          <w:spacing w:val="-14"/>
        </w:rPr>
        <w:t> </w:t>
      </w:r>
      <w:r>
        <w:rPr/>
        <w:t>para</w:t>
      </w:r>
      <w:r>
        <w:rPr>
          <w:spacing w:val="-14"/>
        </w:rPr>
        <w:t> </w:t>
      </w:r>
      <w:r>
        <w:rPr/>
        <w:t>controlar el</w:t>
      </w:r>
      <w:r>
        <w:rPr>
          <w:spacing w:val="-8"/>
        </w:rPr>
        <w:t> </w:t>
      </w:r>
      <w:r>
        <w:rPr/>
        <w:t>dolor.</w:t>
      </w:r>
      <w:r>
        <w:rPr>
          <w:spacing w:val="-8"/>
        </w:rPr>
        <w:t> </w:t>
      </w:r>
      <w:r>
        <w:rPr/>
        <w:t>Debido</w:t>
      </w:r>
      <w:r>
        <w:rPr>
          <w:spacing w:val="-7"/>
        </w:rPr>
        <w:t> </w:t>
      </w:r>
      <w:r>
        <w:rPr/>
        <w:t>a</w:t>
      </w:r>
      <w:r>
        <w:rPr>
          <w:spacing w:val="-7"/>
        </w:rPr>
        <w:t> </w:t>
      </w:r>
      <w:r>
        <w:rPr/>
        <w:t>su</w:t>
      </w:r>
      <w:r>
        <w:rPr>
          <w:spacing w:val="-8"/>
        </w:rPr>
        <w:t> </w:t>
      </w:r>
      <w:r>
        <w:rPr/>
        <w:t>naturaleza</w:t>
      </w:r>
      <w:r>
        <w:rPr>
          <w:spacing w:val="-9"/>
        </w:rPr>
        <w:t> </w:t>
      </w:r>
      <w:r>
        <w:rPr/>
        <w:t>ácida,</w:t>
      </w:r>
      <w:r>
        <w:rPr>
          <w:spacing w:val="-8"/>
        </w:rPr>
        <w:t> </w:t>
      </w:r>
      <w:r>
        <w:rPr/>
        <w:t>su</w:t>
      </w:r>
      <w:r>
        <w:rPr>
          <w:spacing w:val="-8"/>
        </w:rPr>
        <w:t> </w:t>
      </w:r>
      <w:r>
        <w:rPr/>
        <w:t>efecto</w:t>
      </w:r>
      <w:r>
        <w:rPr>
          <w:spacing w:val="-7"/>
        </w:rPr>
        <w:t> </w:t>
      </w:r>
      <w:r>
        <w:rPr/>
        <w:t>se</w:t>
      </w:r>
      <w:r>
        <w:rPr>
          <w:spacing w:val="-9"/>
        </w:rPr>
        <w:t> </w:t>
      </w:r>
      <w:r>
        <w:rPr/>
        <w:t>desencadena</w:t>
      </w:r>
      <w:r>
        <w:rPr>
          <w:spacing w:val="-8"/>
        </w:rPr>
        <w:t> </w:t>
      </w:r>
      <w:r>
        <w:rPr/>
        <w:t>cuando</w:t>
      </w:r>
      <w:r>
        <w:rPr>
          <w:spacing w:val="-8"/>
        </w:rPr>
        <w:t> </w:t>
      </w:r>
      <w:r>
        <w:rPr/>
        <w:t>la</w:t>
      </w:r>
      <w:r>
        <w:rPr>
          <w:spacing w:val="-4"/>
        </w:rPr>
        <w:t> </w:t>
      </w:r>
      <w:r>
        <w:rPr/>
        <w:t>solución ácida del anestésico se neutraliza al pH fisiológico del tejido subcutáneo. Aunque es efectiva para el manejo del dolor, la lidocaína puede tener efectos adversos al momento de la inyección, como dolor debido a la distensión de los tejidos y posiblemente lesiones tisulares (Vent </w:t>
      </w:r>
      <w:r>
        <w:rPr>
          <w:i/>
        </w:rPr>
        <w:t>et al</w:t>
      </w:r>
      <w:r>
        <w:rPr/>
        <w:t>., 2020).</w:t>
      </w:r>
    </w:p>
    <w:p>
      <w:pPr>
        <w:pStyle w:val="BodyText"/>
        <w:spacing w:line="360" w:lineRule="auto" w:before="241"/>
        <w:ind w:right="844"/>
        <w:jc w:val="both"/>
      </w:pPr>
      <w:r>
        <w:rPr/>
        <w:t>Cuando hay tejidos inflamados, se liberan protones de iones de hidrógeno, lo que reduce el pH y aumenta la inflamación, además de sensibilizar las neuronas nociceptivas</w:t>
      </w:r>
      <w:r>
        <w:rPr>
          <w:spacing w:val="-5"/>
        </w:rPr>
        <w:t> </w:t>
      </w:r>
      <w:r>
        <w:rPr/>
        <w:t>responsables</w:t>
      </w:r>
      <w:r>
        <w:rPr>
          <w:spacing w:val="-5"/>
        </w:rPr>
        <w:t> </w:t>
      </w:r>
      <w:r>
        <w:rPr/>
        <w:t>del</w:t>
      </w:r>
      <w:r>
        <w:rPr>
          <w:spacing w:val="-3"/>
        </w:rPr>
        <w:t> </w:t>
      </w:r>
      <w:r>
        <w:rPr/>
        <w:t>dolor.</w:t>
      </w:r>
      <w:r>
        <w:rPr>
          <w:spacing w:val="-6"/>
        </w:rPr>
        <w:t> </w:t>
      </w:r>
      <w:r>
        <w:rPr/>
        <w:t>Por</w:t>
      </w:r>
      <w:r>
        <w:rPr>
          <w:spacing w:val="-9"/>
        </w:rPr>
        <w:t> </w:t>
      </w:r>
      <w:r>
        <w:rPr/>
        <w:t>lo</w:t>
      </w:r>
      <w:r>
        <w:rPr>
          <w:spacing w:val="-3"/>
        </w:rPr>
        <w:t> </w:t>
      </w:r>
      <w:r>
        <w:rPr/>
        <w:t>tanto,</w:t>
      </w:r>
      <w:r>
        <w:rPr>
          <w:spacing w:val="-4"/>
        </w:rPr>
        <w:t> </w:t>
      </w:r>
      <w:r>
        <w:rPr/>
        <w:t>alcalinizar</w:t>
      </w:r>
      <w:r>
        <w:rPr>
          <w:spacing w:val="-8"/>
        </w:rPr>
        <w:t> </w:t>
      </w:r>
      <w:r>
        <w:rPr/>
        <w:t>el</w:t>
      </w:r>
      <w:r>
        <w:rPr>
          <w:spacing w:val="-3"/>
        </w:rPr>
        <w:t> </w:t>
      </w:r>
      <w:r>
        <w:rPr/>
        <w:t>pH</w:t>
      </w:r>
      <w:r>
        <w:rPr>
          <w:spacing w:val="-4"/>
        </w:rPr>
        <w:t> </w:t>
      </w:r>
      <w:r>
        <w:rPr/>
        <w:t>con</w:t>
      </w:r>
      <w:r>
        <w:rPr>
          <w:spacing w:val="-6"/>
        </w:rPr>
        <w:t> </w:t>
      </w:r>
      <w:r>
        <w:rPr/>
        <w:t>bicarbonato de</w:t>
      </w:r>
      <w:r>
        <w:rPr>
          <w:spacing w:val="-10"/>
        </w:rPr>
        <w:t> </w:t>
      </w:r>
      <w:r>
        <w:rPr/>
        <w:t>sodio</w:t>
      </w:r>
      <w:r>
        <w:rPr>
          <w:spacing w:val="-7"/>
        </w:rPr>
        <w:t> </w:t>
      </w:r>
      <w:r>
        <w:rPr/>
        <w:t>puede</w:t>
      </w:r>
      <w:r>
        <w:rPr>
          <w:spacing w:val="-8"/>
        </w:rPr>
        <w:t> </w:t>
      </w:r>
      <w:r>
        <w:rPr/>
        <w:t>disminuir</w:t>
      </w:r>
      <w:r>
        <w:rPr>
          <w:spacing w:val="-5"/>
        </w:rPr>
        <w:t> </w:t>
      </w:r>
      <w:r>
        <w:rPr/>
        <w:t>la</w:t>
      </w:r>
      <w:r>
        <w:rPr>
          <w:spacing w:val="-8"/>
        </w:rPr>
        <w:t> </w:t>
      </w:r>
      <w:r>
        <w:rPr/>
        <w:t>activación</w:t>
      </w:r>
      <w:r>
        <w:rPr>
          <w:spacing w:val="-6"/>
        </w:rPr>
        <w:t> </w:t>
      </w:r>
      <w:r>
        <w:rPr/>
        <w:t>de</w:t>
      </w:r>
      <w:r>
        <w:rPr>
          <w:spacing w:val="-6"/>
        </w:rPr>
        <w:t> </w:t>
      </w:r>
      <w:r>
        <w:rPr/>
        <w:t>estas</w:t>
      </w:r>
      <w:r>
        <w:rPr>
          <w:spacing w:val="-7"/>
        </w:rPr>
        <w:t> </w:t>
      </w:r>
      <w:r>
        <w:rPr/>
        <w:t>neuronas y</w:t>
      </w:r>
      <w:r>
        <w:rPr>
          <w:spacing w:val="-15"/>
        </w:rPr>
        <w:t> </w:t>
      </w:r>
      <w:r>
        <w:rPr/>
        <w:t>mejorar</w:t>
      </w:r>
      <w:r>
        <w:rPr>
          <w:spacing w:val="-5"/>
        </w:rPr>
        <w:t> </w:t>
      </w:r>
      <w:r>
        <w:rPr/>
        <w:t>la</w:t>
      </w:r>
      <w:r>
        <w:rPr>
          <w:spacing w:val="-3"/>
        </w:rPr>
        <w:t> </w:t>
      </w:r>
      <w:r>
        <w:rPr/>
        <w:t>eficacia</w:t>
      </w:r>
      <w:r>
        <w:rPr>
          <w:spacing w:val="-7"/>
        </w:rPr>
        <w:t> </w:t>
      </w:r>
      <w:r>
        <w:rPr/>
        <w:t>de</w:t>
      </w:r>
      <w:r>
        <w:rPr>
          <w:spacing w:val="-6"/>
        </w:rPr>
        <w:t> </w:t>
      </w:r>
      <w:r>
        <w:rPr/>
        <w:t>la anestesia</w:t>
      </w:r>
      <w:r>
        <w:rPr>
          <w:spacing w:val="-10"/>
        </w:rPr>
        <w:t> </w:t>
      </w:r>
      <w:r>
        <w:rPr/>
        <w:t>local</w:t>
      </w:r>
      <w:r>
        <w:rPr>
          <w:spacing w:val="-8"/>
        </w:rPr>
        <w:t> </w:t>
      </w:r>
      <w:r>
        <w:rPr/>
        <w:t>en</w:t>
      </w:r>
      <w:r>
        <w:rPr>
          <w:spacing w:val="-9"/>
        </w:rPr>
        <w:t> </w:t>
      </w:r>
      <w:r>
        <w:rPr/>
        <w:t>tejidos</w:t>
      </w:r>
      <w:r>
        <w:rPr>
          <w:spacing w:val="-6"/>
        </w:rPr>
        <w:t> </w:t>
      </w:r>
      <w:r>
        <w:rPr/>
        <w:t>inflamados.</w:t>
      </w:r>
      <w:r>
        <w:rPr>
          <w:spacing w:val="-5"/>
        </w:rPr>
        <w:t> </w:t>
      </w:r>
      <w:r>
        <w:rPr/>
        <w:t>La</w:t>
      </w:r>
      <w:r>
        <w:rPr>
          <w:spacing w:val="-10"/>
        </w:rPr>
        <w:t> </w:t>
      </w:r>
      <w:r>
        <w:rPr/>
        <w:t>lidocaína</w:t>
      </w:r>
      <w:r>
        <w:rPr>
          <w:spacing w:val="-5"/>
        </w:rPr>
        <w:t> </w:t>
      </w:r>
      <w:r>
        <w:rPr/>
        <w:t>al</w:t>
      </w:r>
      <w:r>
        <w:rPr>
          <w:spacing w:val="-9"/>
        </w:rPr>
        <w:t> </w:t>
      </w:r>
      <w:r>
        <w:rPr/>
        <w:t>1%</w:t>
      </w:r>
      <w:r>
        <w:rPr>
          <w:spacing w:val="-10"/>
        </w:rPr>
        <w:t> </w:t>
      </w:r>
      <w:r>
        <w:rPr/>
        <w:t>con</w:t>
      </w:r>
      <w:r>
        <w:rPr>
          <w:spacing w:val="-9"/>
        </w:rPr>
        <w:t> </w:t>
      </w:r>
      <w:r>
        <w:rPr/>
        <w:t>epinefrina</w:t>
      </w:r>
      <w:r>
        <w:rPr>
          <w:spacing w:val="-9"/>
        </w:rPr>
        <w:t> </w:t>
      </w:r>
      <w:r>
        <w:rPr/>
        <w:t>tamponada puede tener efectos similares a la lidocaína al 2% con epinefrina no tamponada en cuanto a la duración de la anestesia. Sin embargo, la lidocaína tamponada ha demostrado causar menos dolor que la no tamponada, lo que podría resultar en beneficios significativos para los pacientes (Sheedy </w:t>
      </w:r>
      <w:r>
        <w:rPr>
          <w:i/>
        </w:rPr>
        <w:t>et al</w:t>
      </w:r>
      <w:r>
        <w:rPr/>
        <w:t>., 2024).</w:t>
      </w:r>
    </w:p>
    <w:p>
      <w:pPr>
        <w:pStyle w:val="Heading2"/>
        <w:numPr>
          <w:ilvl w:val="2"/>
          <w:numId w:val="9"/>
        </w:numPr>
        <w:tabs>
          <w:tab w:pos="1855" w:val="left" w:leader="none"/>
        </w:tabs>
        <w:spacing w:line="240" w:lineRule="auto" w:before="240" w:after="0"/>
        <w:ind w:left="1855" w:right="0" w:hanging="720"/>
        <w:jc w:val="left"/>
      </w:pPr>
      <w:bookmarkStart w:name="_bookmark29" w:id="30"/>
      <w:bookmarkEnd w:id="30"/>
      <w:r>
        <w:rPr>
          <w:b w:val="0"/>
        </w:rPr>
      </w:r>
      <w:r>
        <w:rPr/>
        <w:t>Métodos</w:t>
      </w:r>
      <w:r>
        <w:rPr>
          <w:spacing w:val="-1"/>
        </w:rPr>
        <w:t> </w:t>
      </w:r>
      <w:r>
        <w:rPr/>
        <w:t>para</w:t>
      </w:r>
      <w:r>
        <w:rPr>
          <w:spacing w:val="-1"/>
        </w:rPr>
        <w:t> </w:t>
      </w:r>
      <w:r>
        <w:rPr/>
        <w:t>tamponar</w:t>
      </w:r>
      <w:r>
        <w:rPr>
          <w:spacing w:val="-4"/>
        </w:rPr>
        <w:t> </w:t>
      </w:r>
      <w:r>
        <w:rPr/>
        <w:t>la</w:t>
      </w:r>
      <w:r>
        <w:rPr>
          <w:spacing w:val="-1"/>
        </w:rPr>
        <w:t> </w:t>
      </w:r>
      <w:r>
        <w:rPr>
          <w:spacing w:val="-2"/>
        </w:rPr>
        <w:t>lidocaína</w:t>
      </w:r>
    </w:p>
    <w:p>
      <w:pPr>
        <w:pStyle w:val="BodyText"/>
        <w:spacing w:before="100"/>
        <w:ind w:left="0"/>
        <w:rPr>
          <w:b/>
        </w:rPr>
      </w:pPr>
    </w:p>
    <w:p>
      <w:pPr>
        <w:pStyle w:val="BodyText"/>
        <w:spacing w:line="360" w:lineRule="auto" w:before="1"/>
        <w:ind w:right="846"/>
        <w:jc w:val="both"/>
      </w:pPr>
      <w:r>
        <w:rPr/>
        <w:t>Para tamponar la lidocaína, se puede usar una proporción de 1 ml de solución de bicarbonato</w:t>
      </w:r>
      <w:r>
        <w:rPr>
          <w:spacing w:val="-8"/>
        </w:rPr>
        <w:t> </w:t>
      </w:r>
      <w:r>
        <w:rPr/>
        <w:t>de</w:t>
      </w:r>
      <w:r>
        <w:rPr>
          <w:spacing w:val="-13"/>
        </w:rPr>
        <w:t> </w:t>
      </w:r>
      <w:r>
        <w:rPr/>
        <w:t>sodio</w:t>
      </w:r>
      <w:r>
        <w:rPr>
          <w:spacing w:val="-9"/>
        </w:rPr>
        <w:t> </w:t>
      </w:r>
      <w:r>
        <w:rPr/>
        <w:t>al</w:t>
      </w:r>
      <w:r>
        <w:rPr>
          <w:spacing w:val="-9"/>
        </w:rPr>
        <w:t> </w:t>
      </w:r>
      <w:r>
        <w:rPr/>
        <w:t>8.4%</w:t>
      </w:r>
      <w:r>
        <w:rPr>
          <w:spacing w:val="-10"/>
        </w:rPr>
        <w:t> </w:t>
      </w:r>
      <w:r>
        <w:rPr/>
        <w:t>por</w:t>
      </w:r>
      <w:r>
        <w:rPr>
          <w:spacing w:val="-10"/>
        </w:rPr>
        <w:t> </w:t>
      </w:r>
      <w:r>
        <w:rPr/>
        <w:t>cada</w:t>
      </w:r>
      <w:r>
        <w:rPr>
          <w:spacing w:val="-12"/>
        </w:rPr>
        <w:t> </w:t>
      </w:r>
      <w:r>
        <w:rPr/>
        <w:t>9</w:t>
      </w:r>
      <w:r>
        <w:rPr>
          <w:spacing w:val="-10"/>
        </w:rPr>
        <w:t> </w:t>
      </w:r>
      <w:r>
        <w:rPr/>
        <w:t>ml</w:t>
      </w:r>
      <w:r>
        <w:rPr>
          <w:spacing w:val="-9"/>
        </w:rPr>
        <w:t> </w:t>
      </w:r>
      <w:r>
        <w:rPr/>
        <w:t>de</w:t>
      </w:r>
      <w:r>
        <w:rPr>
          <w:spacing w:val="-11"/>
        </w:rPr>
        <w:t> </w:t>
      </w:r>
      <w:r>
        <w:rPr/>
        <w:t>lidocaína</w:t>
      </w:r>
      <w:r>
        <w:rPr>
          <w:spacing w:val="-10"/>
        </w:rPr>
        <w:t> </w:t>
      </w:r>
      <w:r>
        <w:rPr/>
        <w:t>al</w:t>
      </w:r>
      <w:r>
        <w:rPr>
          <w:spacing w:val="-9"/>
        </w:rPr>
        <w:t> </w:t>
      </w:r>
      <w:r>
        <w:rPr/>
        <w:t>1%,</w:t>
      </w:r>
      <w:r>
        <w:rPr>
          <w:spacing w:val="-9"/>
        </w:rPr>
        <w:t> </w:t>
      </w:r>
      <w:r>
        <w:rPr/>
        <w:t>o</w:t>
      </w:r>
      <w:r>
        <w:rPr>
          <w:spacing w:val="-10"/>
        </w:rPr>
        <w:t> </w:t>
      </w:r>
      <w:r>
        <w:rPr/>
        <w:t>ajustar</w:t>
      </w:r>
      <w:r>
        <w:rPr>
          <w:spacing w:val="-10"/>
        </w:rPr>
        <w:t> </w:t>
      </w:r>
      <w:r>
        <w:rPr/>
        <w:t>la</w:t>
      </w:r>
      <w:r>
        <w:rPr>
          <w:spacing w:val="-11"/>
        </w:rPr>
        <w:t> </w:t>
      </w:r>
      <w:r>
        <w:rPr/>
        <w:t>cantidad según</w:t>
      </w:r>
      <w:r>
        <w:rPr>
          <w:spacing w:val="-3"/>
        </w:rPr>
        <w:t> </w:t>
      </w:r>
      <w:r>
        <w:rPr/>
        <w:t>la</w:t>
      </w:r>
      <w:r>
        <w:rPr>
          <w:spacing w:val="-4"/>
        </w:rPr>
        <w:t> </w:t>
      </w:r>
      <w:r>
        <w:rPr/>
        <w:t>concentración</w:t>
      </w:r>
      <w:r>
        <w:rPr>
          <w:spacing w:val="-4"/>
        </w:rPr>
        <w:t> </w:t>
      </w:r>
      <w:r>
        <w:rPr/>
        <w:t>deseada,</w:t>
      </w:r>
      <w:r>
        <w:rPr>
          <w:spacing w:val="-3"/>
        </w:rPr>
        <w:t> </w:t>
      </w:r>
      <w:r>
        <w:rPr/>
        <w:t>la</w:t>
      </w:r>
      <w:r>
        <w:rPr>
          <w:spacing w:val="-4"/>
        </w:rPr>
        <w:t> </w:t>
      </w:r>
      <w:r>
        <w:rPr/>
        <w:t>solución</w:t>
      </w:r>
      <w:r>
        <w:rPr>
          <w:spacing w:val="-3"/>
        </w:rPr>
        <w:t> </w:t>
      </w:r>
      <w:r>
        <w:rPr/>
        <w:t>final debe</w:t>
      </w:r>
      <w:r>
        <w:rPr>
          <w:spacing w:val="-7"/>
        </w:rPr>
        <w:t> </w:t>
      </w:r>
      <w:r>
        <w:rPr/>
        <w:t>tener</w:t>
      </w:r>
      <w:r>
        <w:rPr>
          <w:spacing w:val="-4"/>
        </w:rPr>
        <w:t> </w:t>
      </w:r>
      <w:r>
        <w:rPr/>
        <w:t>un</w:t>
      </w:r>
      <w:r>
        <w:rPr>
          <w:spacing w:val="-3"/>
        </w:rPr>
        <w:t> </w:t>
      </w:r>
      <w:r>
        <w:rPr/>
        <w:t>pH</w:t>
      </w:r>
      <w:r>
        <w:rPr>
          <w:spacing w:val="-4"/>
        </w:rPr>
        <w:t> </w:t>
      </w:r>
      <w:r>
        <w:rPr/>
        <w:t>entre</w:t>
      </w:r>
      <w:r>
        <w:rPr>
          <w:spacing w:val="-6"/>
        </w:rPr>
        <w:t> </w:t>
      </w:r>
      <w:r>
        <w:rPr/>
        <w:t>6</w:t>
      </w:r>
      <w:r>
        <w:rPr>
          <w:spacing w:val="-1"/>
        </w:rPr>
        <w:t> </w:t>
      </w:r>
      <w:r>
        <w:rPr/>
        <w:t>y</w:t>
      </w:r>
      <w:r>
        <w:rPr>
          <w:spacing w:val="-8"/>
        </w:rPr>
        <w:t> </w:t>
      </w:r>
      <w:r>
        <w:rPr/>
        <w:t>7</w:t>
      </w:r>
      <w:r>
        <w:rPr>
          <w:spacing w:val="-3"/>
        </w:rPr>
        <w:t> </w:t>
      </w:r>
      <w:r>
        <w:rPr/>
        <w:t>para ser efectiva como anestésico tamponado (Sadananda </w:t>
      </w:r>
      <w:r>
        <w:rPr>
          <w:i/>
        </w:rPr>
        <w:t>et al</w:t>
      </w:r>
      <w:r>
        <w:rPr/>
        <w:t>., 2022)</w:t>
      </w:r>
      <w:r>
        <w:rPr>
          <w:color w:val="0D0D0D"/>
        </w:rPr>
        <w:t>.</w:t>
      </w:r>
    </w:p>
    <w:p>
      <w:pPr>
        <w:pStyle w:val="BodyText"/>
        <w:spacing w:after="0" w:line="360" w:lineRule="auto"/>
        <w:jc w:val="both"/>
        <w:sectPr>
          <w:pgSz w:w="11900" w:h="16860"/>
          <w:pgMar w:header="0" w:footer="1084" w:top="1620" w:bottom="1280" w:left="1133" w:right="850"/>
        </w:sectPr>
      </w:pPr>
    </w:p>
    <w:p>
      <w:pPr>
        <w:pStyle w:val="Heading2"/>
        <w:numPr>
          <w:ilvl w:val="2"/>
          <w:numId w:val="9"/>
        </w:numPr>
        <w:tabs>
          <w:tab w:pos="1843" w:val="left" w:leader="none"/>
        </w:tabs>
        <w:spacing w:line="240" w:lineRule="auto" w:before="70" w:after="0"/>
        <w:ind w:left="1843" w:right="0" w:hanging="708"/>
        <w:jc w:val="left"/>
      </w:pPr>
      <w:bookmarkStart w:name="_bookmark30" w:id="31"/>
      <w:bookmarkEnd w:id="31"/>
      <w:r>
        <w:rPr>
          <w:b w:val="0"/>
        </w:rPr>
      </w:r>
      <w:r>
        <w:rPr/>
        <w:t>Usos</w:t>
      </w:r>
      <w:r>
        <w:rPr>
          <w:spacing w:val="-1"/>
        </w:rPr>
        <w:t> </w:t>
      </w:r>
      <w:r>
        <w:rPr/>
        <w:t>de</w:t>
      </w:r>
      <w:r>
        <w:rPr>
          <w:spacing w:val="-4"/>
        </w:rPr>
        <w:t> </w:t>
      </w:r>
      <w:r>
        <w:rPr/>
        <w:t>lidocaína</w:t>
      </w:r>
      <w:r>
        <w:rPr>
          <w:spacing w:val="-3"/>
        </w:rPr>
        <w:t> </w:t>
      </w:r>
      <w:r>
        <w:rPr/>
        <w:t>tamponada</w:t>
      </w:r>
      <w:r>
        <w:rPr>
          <w:spacing w:val="1"/>
        </w:rPr>
        <w:t> </w:t>
      </w:r>
      <w:r>
        <w:rPr/>
        <w:t>en</w:t>
      </w:r>
      <w:r>
        <w:rPr>
          <w:spacing w:val="-2"/>
        </w:rPr>
        <w:t> veterinaria</w:t>
      </w:r>
    </w:p>
    <w:p>
      <w:pPr>
        <w:pStyle w:val="BodyText"/>
        <w:spacing w:before="101"/>
        <w:ind w:left="0"/>
        <w:rPr>
          <w:b/>
        </w:rPr>
      </w:pPr>
    </w:p>
    <w:p>
      <w:pPr>
        <w:pStyle w:val="BodyText"/>
        <w:spacing w:line="360" w:lineRule="auto"/>
        <w:ind w:right="843"/>
        <w:jc w:val="both"/>
      </w:pPr>
      <w:r>
        <w:rPr/>
        <w:t>En</w:t>
      </w:r>
      <w:r>
        <w:rPr>
          <w:spacing w:val="-7"/>
        </w:rPr>
        <w:t> </w:t>
      </w:r>
      <w:r>
        <w:rPr/>
        <w:t>un</w:t>
      </w:r>
      <w:r>
        <w:rPr>
          <w:spacing w:val="-7"/>
        </w:rPr>
        <w:t> </w:t>
      </w:r>
      <w:r>
        <w:rPr/>
        <w:t>estudio</w:t>
      </w:r>
      <w:r>
        <w:rPr>
          <w:spacing w:val="-6"/>
        </w:rPr>
        <w:t> </w:t>
      </w:r>
      <w:r>
        <w:rPr/>
        <w:t>utilizaron</w:t>
      </w:r>
      <w:r>
        <w:rPr>
          <w:spacing w:val="-9"/>
        </w:rPr>
        <w:t> </w:t>
      </w:r>
      <w:r>
        <w:rPr/>
        <w:t>lidocaína</w:t>
      </w:r>
      <w:r>
        <w:rPr>
          <w:spacing w:val="-7"/>
        </w:rPr>
        <w:t> </w:t>
      </w:r>
      <w:r>
        <w:rPr/>
        <w:t>tamponada</w:t>
      </w:r>
      <w:r>
        <w:rPr>
          <w:spacing w:val="-7"/>
        </w:rPr>
        <w:t> </w:t>
      </w:r>
      <w:r>
        <w:rPr/>
        <w:t>inguinal</w:t>
      </w:r>
      <w:r>
        <w:rPr>
          <w:spacing w:val="-6"/>
        </w:rPr>
        <w:t> </w:t>
      </w:r>
      <w:r>
        <w:rPr/>
        <w:t>más</w:t>
      </w:r>
      <w:r>
        <w:rPr>
          <w:spacing w:val="-7"/>
        </w:rPr>
        <w:t> </w:t>
      </w:r>
      <w:r>
        <w:rPr/>
        <w:t>flumixin</w:t>
      </w:r>
      <w:r>
        <w:rPr>
          <w:spacing w:val="-5"/>
        </w:rPr>
        <w:t> </w:t>
      </w:r>
      <w:r>
        <w:rPr/>
        <w:t>meglumina</w:t>
      </w:r>
      <w:r>
        <w:rPr>
          <w:spacing w:val="-7"/>
        </w:rPr>
        <w:t> </w:t>
      </w:r>
      <w:r>
        <w:rPr/>
        <w:t>en castración de lechones, donde administrada intrainguinal en combinación con Flimixin</w:t>
      </w:r>
      <w:r>
        <w:rPr>
          <w:spacing w:val="-3"/>
        </w:rPr>
        <w:t> </w:t>
      </w:r>
      <w:r>
        <w:rPr/>
        <w:t>meglumina</w:t>
      </w:r>
      <w:r>
        <w:rPr>
          <w:spacing w:val="-1"/>
        </w:rPr>
        <w:t> </w:t>
      </w:r>
      <w:r>
        <w:rPr/>
        <w:t>(FM)</w:t>
      </w:r>
      <w:r>
        <w:rPr>
          <w:spacing w:val="-2"/>
        </w:rPr>
        <w:t> </w:t>
      </w:r>
      <w:r>
        <w:rPr/>
        <w:t>administrada</w:t>
      </w:r>
      <w:r>
        <w:rPr>
          <w:spacing w:val="-2"/>
        </w:rPr>
        <w:t> </w:t>
      </w:r>
      <w:r>
        <w:rPr/>
        <w:t>intranasal</w:t>
      </w:r>
      <w:r>
        <w:rPr>
          <w:spacing w:val="-1"/>
        </w:rPr>
        <w:t> </w:t>
      </w:r>
      <w:r>
        <w:rPr/>
        <w:t>en</w:t>
      </w:r>
      <w:r>
        <w:rPr>
          <w:spacing w:val="-2"/>
        </w:rPr>
        <w:t> </w:t>
      </w:r>
      <w:r>
        <w:rPr/>
        <w:t>lechones.</w:t>
      </w:r>
      <w:r>
        <w:rPr>
          <w:spacing w:val="-1"/>
        </w:rPr>
        <w:t> </w:t>
      </w:r>
      <w:r>
        <w:rPr/>
        <w:t>Se</w:t>
      </w:r>
      <w:r>
        <w:rPr>
          <w:spacing w:val="-3"/>
        </w:rPr>
        <w:t> </w:t>
      </w:r>
      <w:r>
        <w:rPr/>
        <w:t>encontró</w:t>
      </w:r>
      <w:r>
        <w:rPr>
          <w:spacing w:val="-2"/>
        </w:rPr>
        <w:t> </w:t>
      </w:r>
      <w:r>
        <w:rPr/>
        <w:t>que</w:t>
      </w:r>
      <w:r>
        <w:rPr>
          <w:spacing w:val="-3"/>
        </w:rPr>
        <w:t> </w:t>
      </w:r>
      <w:r>
        <w:rPr/>
        <w:t>la FM intranasal redujo eficazmente la respuesta fisiológica de los lechones a la castración, como se evidenció por la disminución de los niveles de cortisol inmediatamente después del procedimiento. Por lo tanto, la introducción de la FM intranasal podría ser considerada un avance significativo y viable en la industria porcina, de forma especial donde típicamente no utilizan medicamentos para mitigar el dolor asociado con la castración quirúrgica (Lopez </w:t>
      </w:r>
      <w:r>
        <w:rPr>
          <w:i/>
        </w:rPr>
        <w:t>et al</w:t>
      </w:r>
      <w:r>
        <w:rPr/>
        <w:t>, 2023).</w:t>
      </w:r>
    </w:p>
    <w:p>
      <w:pPr>
        <w:pStyle w:val="BodyText"/>
        <w:spacing w:line="360" w:lineRule="auto" w:before="242"/>
        <w:ind w:right="843"/>
        <w:jc w:val="both"/>
      </w:pPr>
      <w:r>
        <w:rPr/>
        <w:t>En</w:t>
      </w:r>
      <w:r>
        <w:rPr>
          <w:spacing w:val="-6"/>
        </w:rPr>
        <w:t> </w:t>
      </w:r>
      <w:r>
        <w:rPr/>
        <w:t>otra</w:t>
      </w:r>
      <w:r>
        <w:rPr>
          <w:spacing w:val="-7"/>
        </w:rPr>
        <w:t> </w:t>
      </w:r>
      <w:r>
        <w:rPr/>
        <w:t>investigación</w:t>
      </w:r>
      <w:r>
        <w:rPr>
          <w:spacing w:val="-4"/>
        </w:rPr>
        <w:t> </w:t>
      </w:r>
      <w:r>
        <w:rPr/>
        <w:t>sobre</w:t>
      </w:r>
      <w:r>
        <w:rPr>
          <w:spacing w:val="-10"/>
        </w:rPr>
        <w:t> </w:t>
      </w:r>
      <w:r>
        <w:rPr/>
        <w:t>el</w:t>
      </w:r>
      <w:r>
        <w:rPr>
          <w:spacing w:val="-3"/>
        </w:rPr>
        <w:t> </w:t>
      </w:r>
      <w:r>
        <w:rPr/>
        <w:t>bloqueo</w:t>
      </w:r>
      <w:r>
        <w:rPr>
          <w:spacing w:val="-6"/>
        </w:rPr>
        <w:t> </w:t>
      </w:r>
      <w:r>
        <w:rPr/>
        <w:t>del</w:t>
      </w:r>
      <w:r>
        <w:rPr>
          <w:spacing w:val="-5"/>
        </w:rPr>
        <w:t> </w:t>
      </w:r>
      <w:r>
        <w:rPr/>
        <w:t>nervio</w:t>
      </w:r>
      <w:r>
        <w:rPr>
          <w:spacing w:val="-6"/>
        </w:rPr>
        <w:t> </w:t>
      </w:r>
      <w:r>
        <w:rPr/>
        <w:t>cornual</w:t>
      </w:r>
      <w:r>
        <w:rPr>
          <w:spacing w:val="-3"/>
        </w:rPr>
        <w:t> </w:t>
      </w:r>
      <w:r>
        <w:rPr/>
        <w:t>con</w:t>
      </w:r>
      <w:r>
        <w:rPr>
          <w:spacing w:val="-5"/>
        </w:rPr>
        <w:t> </w:t>
      </w:r>
      <w:r>
        <w:rPr/>
        <w:t>lidocaína</w:t>
      </w:r>
      <w:r>
        <w:rPr>
          <w:spacing w:val="-3"/>
        </w:rPr>
        <w:t> </w:t>
      </w:r>
      <w:r>
        <w:rPr/>
        <w:t>tamponada concluyeron que los hallazgos sugieren que la aplicación de lidocaína como amortiguador aumenta la aversividad de los bloqueos del nervio cornual en terneros. En consecuencia, los bloqueos del nervio cornual ofrecen un beneficio claro para el bienestar animal y deben seguir siendo considerados como la mejor práctica</w:t>
      </w:r>
      <w:r>
        <w:rPr>
          <w:spacing w:val="-4"/>
        </w:rPr>
        <w:t> </w:t>
      </w:r>
      <w:r>
        <w:rPr/>
        <w:t>para</w:t>
      </w:r>
      <w:r>
        <w:rPr>
          <w:spacing w:val="-5"/>
        </w:rPr>
        <w:t> </w:t>
      </w:r>
      <w:r>
        <w:rPr/>
        <w:t>eliminar</w:t>
      </w:r>
      <w:r>
        <w:rPr>
          <w:spacing w:val="-3"/>
        </w:rPr>
        <w:t> </w:t>
      </w:r>
      <w:r>
        <w:rPr/>
        <w:t>el</w:t>
      </w:r>
      <w:r>
        <w:rPr>
          <w:spacing w:val="-1"/>
        </w:rPr>
        <w:t> </w:t>
      </w:r>
      <w:r>
        <w:rPr/>
        <w:t>dolor</w:t>
      </w:r>
      <w:r>
        <w:rPr>
          <w:spacing w:val="-5"/>
        </w:rPr>
        <w:t> </w:t>
      </w:r>
      <w:r>
        <w:rPr/>
        <w:t>asociado</w:t>
      </w:r>
      <w:r>
        <w:rPr>
          <w:spacing w:val="-3"/>
        </w:rPr>
        <w:t> </w:t>
      </w:r>
      <w:r>
        <w:rPr/>
        <w:t>con</w:t>
      </w:r>
      <w:r>
        <w:rPr>
          <w:spacing w:val="-3"/>
        </w:rPr>
        <w:t> </w:t>
      </w:r>
      <w:r>
        <w:rPr/>
        <w:t>los</w:t>
      </w:r>
      <w:r>
        <w:rPr>
          <w:spacing w:val="-5"/>
        </w:rPr>
        <w:t> </w:t>
      </w:r>
      <w:r>
        <w:rPr/>
        <w:t>brotes</w:t>
      </w:r>
      <w:r>
        <w:rPr>
          <w:spacing w:val="-5"/>
        </w:rPr>
        <w:t> </w:t>
      </w:r>
      <w:r>
        <w:rPr/>
        <w:t>cornuales. </w:t>
      </w:r>
      <w:r>
        <w:rPr>
          <w:color w:val="0D0D0D"/>
        </w:rPr>
        <w:t>Por</w:t>
      </w:r>
      <w:r>
        <w:rPr>
          <w:color w:val="0D0D0D"/>
          <w:spacing w:val="-5"/>
        </w:rPr>
        <w:t> </w:t>
      </w:r>
      <w:r>
        <w:rPr>
          <w:color w:val="0D0D0D"/>
        </w:rPr>
        <w:t>otro</w:t>
      </w:r>
      <w:r>
        <w:rPr>
          <w:color w:val="0D0D0D"/>
          <w:spacing w:val="-4"/>
        </w:rPr>
        <w:t> </w:t>
      </w:r>
      <w:r>
        <w:rPr>
          <w:color w:val="0D0D0D"/>
        </w:rPr>
        <w:t>lado,</w:t>
      </w:r>
      <w:r>
        <w:rPr>
          <w:color w:val="0D0D0D"/>
          <w:spacing w:val="-5"/>
        </w:rPr>
        <w:t> </w:t>
      </w:r>
      <w:r>
        <w:rPr>
          <w:color w:val="0D0D0D"/>
        </w:rPr>
        <w:t>los terneros podrían haber experimentado una sensación aversiva debido al efecto de entumecimiento en sí mismo. La amortiguación aumenta la disponibilidad de anestésico desionizado, que es liposoluble y puede penetrar en los nervios, teóricamente produciendo un inicio de la anestesia más rápido que la lidocaína no amortiguada,</w:t>
      </w:r>
      <w:r>
        <w:rPr>
          <w:color w:val="0D0D0D"/>
          <w:spacing w:val="-12"/>
        </w:rPr>
        <w:t> </w:t>
      </w:r>
      <w:r>
        <w:rPr>
          <w:color w:val="0D0D0D"/>
        </w:rPr>
        <w:t>los</w:t>
      </w:r>
      <w:r>
        <w:rPr>
          <w:color w:val="0D0D0D"/>
          <w:spacing w:val="-10"/>
        </w:rPr>
        <w:t> </w:t>
      </w:r>
      <w:r>
        <w:rPr>
          <w:color w:val="0D0D0D"/>
        </w:rPr>
        <w:t>cambios</w:t>
      </w:r>
      <w:r>
        <w:rPr>
          <w:color w:val="0D0D0D"/>
          <w:spacing w:val="-10"/>
        </w:rPr>
        <w:t> </w:t>
      </w:r>
      <w:r>
        <w:rPr>
          <w:color w:val="0D0D0D"/>
        </w:rPr>
        <w:t>conductuales</w:t>
      </w:r>
      <w:r>
        <w:rPr>
          <w:color w:val="0D0D0D"/>
          <w:spacing w:val="-5"/>
        </w:rPr>
        <w:t> </w:t>
      </w:r>
      <w:r>
        <w:rPr>
          <w:color w:val="0D0D0D"/>
        </w:rPr>
        <w:t>y</w:t>
      </w:r>
      <w:r>
        <w:rPr>
          <w:color w:val="0D0D0D"/>
          <w:spacing w:val="-15"/>
        </w:rPr>
        <w:t> </w:t>
      </w:r>
      <w:r>
        <w:rPr>
          <w:color w:val="0D0D0D"/>
        </w:rPr>
        <w:t>fisiológicos</w:t>
      </w:r>
      <w:r>
        <w:rPr>
          <w:color w:val="0D0D0D"/>
          <w:spacing w:val="-9"/>
        </w:rPr>
        <w:t> </w:t>
      </w:r>
      <w:r>
        <w:rPr>
          <w:color w:val="0D0D0D"/>
        </w:rPr>
        <w:t>intensificados</w:t>
      </w:r>
      <w:r>
        <w:rPr>
          <w:color w:val="0D0D0D"/>
          <w:spacing w:val="-9"/>
        </w:rPr>
        <w:t> </w:t>
      </w:r>
      <w:r>
        <w:rPr>
          <w:color w:val="0D0D0D"/>
        </w:rPr>
        <w:t>en</w:t>
      </w:r>
      <w:r>
        <w:rPr>
          <w:color w:val="0D0D0D"/>
          <w:spacing w:val="-10"/>
        </w:rPr>
        <w:t> </w:t>
      </w:r>
      <w:r>
        <w:rPr>
          <w:color w:val="0D0D0D"/>
        </w:rPr>
        <w:t>los</w:t>
      </w:r>
      <w:r>
        <w:rPr>
          <w:color w:val="0D0D0D"/>
          <w:spacing w:val="-11"/>
        </w:rPr>
        <w:t> </w:t>
      </w:r>
      <w:r>
        <w:rPr>
          <w:color w:val="0D0D0D"/>
        </w:rPr>
        <w:t>terneros amortiguados podrían explicarse por un inicio de la anestesia más rápido, lo que podría</w:t>
      </w:r>
      <w:r>
        <w:rPr>
          <w:color w:val="0D0D0D"/>
          <w:spacing w:val="-15"/>
        </w:rPr>
        <w:t> </w:t>
      </w:r>
      <w:r>
        <w:rPr>
          <w:color w:val="0D0D0D"/>
        </w:rPr>
        <w:t>manifestarse</w:t>
      </w:r>
      <w:r>
        <w:rPr>
          <w:color w:val="0D0D0D"/>
          <w:spacing w:val="-15"/>
        </w:rPr>
        <w:t> </w:t>
      </w:r>
      <w:r>
        <w:rPr>
          <w:color w:val="0D0D0D"/>
        </w:rPr>
        <w:t>como</w:t>
      </w:r>
      <w:r>
        <w:rPr>
          <w:color w:val="0D0D0D"/>
          <w:spacing w:val="-15"/>
        </w:rPr>
        <w:t> </w:t>
      </w:r>
      <w:r>
        <w:rPr>
          <w:color w:val="0D0D0D"/>
        </w:rPr>
        <w:t>una</w:t>
      </w:r>
      <w:r>
        <w:rPr>
          <w:color w:val="0D0D0D"/>
          <w:spacing w:val="-15"/>
        </w:rPr>
        <w:t> </w:t>
      </w:r>
      <w:r>
        <w:rPr>
          <w:color w:val="0D0D0D"/>
        </w:rPr>
        <w:t>sensación</w:t>
      </w:r>
      <w:r>
        <w:rPr>
          <w:color w:val="0D0D0D"/>
          <w:spacing w:val="-15"/>
        </w:rPr>
        <w:t> </w:t>
      </w:r>
      <w:r>
        <w:rPr>
          <w:color w:val="0D0D0D"/>
        </w:rPr>
        <w:t>aversiva.</w:t>
      </w:r>
      <w:r>
        <w:rPr>
          <w:color w:val="0D0D0D"/>
          <w:spacing w:val="-15"/>
        </w:rPr>
        <w:t> </w:t>
      </w:r>
      <w:r>
        <w:rPr>
          <w:color w:val="0D0D0D"/>
        </w:rPr>
        <w:t>En</w:t>
      </w:r>
      <w:r>
        <w:rPr>
          <w:color w:val="0D0D0D"/>
          <w:spacing w:val="-15"/>
        </w:rPr>
        <w:t> </w:t>
      </w:r>
      <w:r>
        <w:rPr>
          <w:color w:val="0D0D0D"/>
        </w:rPr>
        <w:t>concordancia</w:t>
      </w:r>
      <w:r>
        <w:rPr>
          <w:color w:val="0D0D0D"/>
          <w:spacing w:val="-15"/>
        </w:rPr>
        <w:t> </w:t>
      </w:r>
      <w:r>
        <w:rPr>
          <w:color w:val="0D0D0D"/>
        </w:rPr>
        <w:t>con</w:t>
      </w:r>
      <w:r>
        <w:rPr>
          <w:color w:val="0D0D0D"/>
          <w:spacing w:val="-15"/>
        </w:rPr>
        <w:t> </w:t>
      </w:r>
      <w:r>
        <w:rPr>
          <w:color w:val="0D0D0D"/>
        </w:rPr>
        <w:t>esta</w:t>
      </w:r>
      <w:r>
        <w:rPr>
          <w:color w:val="0D0D0D"/>
          <w:spacing w:val="-15"/>
        </w:rPr>
        <w:t> </w:t>
      </w:r>
      <w:r>
        <w:rPr>
          <w:color w:val="0D0D0D"/>
        </w:rPr>
        <w:t>posible explicación, encontramos un resultado igualmente sorprendente en un estudio previo</w:t>
      </w:r>
      <w:r>
        <w:rPr>
          <w:color w:val="0D0D0D"/>
          <w:spacing w:val="-2"/>
        </w:rPr>
        <w:t> </w:t>
      </w:r>
      <w:r>
        <w:rPr>
          <w:color w:val="0D0D0D"/>
        </w:rPr>
        <w:t>con</w:t>
      </w:r>
      <w:r>
        <w:rPr>
          <w:color w:val="0D0D0D"/>
          <w:spacing w:val="-2"/>
        </w:rPr>
        <w:t> </w:t>
      </w:r>
      <w:r>
        <w:rPr>
          <w:color w:val="0D0D0D"/>
        </w:rPr>
        <w:t>terneros,</w:t>
      </w:r>
      <w:r>
        <w:rPr>
          <w:color w:val="0D0D0D"/>
          <w:spacing w:val="-2"/>
        </w:rPr>
        <w:t> </w:t>
      </w:r>
      <w:r>
        <w:rPr>
          <w:color w:val="0D0D0D"/>
        </w:rPr>
        <w:t>en</w:t>
      </w:r>
      <w:r>
        <w:rPr>
          <w:color w:val="0D0D0D"/>
          <w:spacing w:val="-2"/>
        </w:rPr>
        <w:t> </w:t>
      </w:r>
      <w:r>
        <w:rPr>
          <w:color w:val="0D0D0D"/>
        </w:rPr>
        <w:t>el que</w:t>
      </w:r>
      <w:r>
        <w:rPr>
          <w:color w:val="0D0D0D"/>
          <w:spacing w:val="-3"/>
        </w:rPr>
        <w:t> </w:t>
      </w:r>
      <w:r>
        <w:rPr>
          <w:color w:val="0D0D0D"/>
        </w:rPr>
        <w:t>la</w:t>
      </w:r>
      <w:r>
        <w:rPr>
          <w:color w:val="0D0D0D"/>
          <w:spacing w:val="-3"/>
        </w:rPr>
        <w:t> </w:t>
      </w:r>
      <w:r>
        <w:rPr>
          <w:color w:val="0D0D0D"/>
        </w:rPr>
        <w:t>aplicación de</w:t>
      </w:r>
      <w:r>
        <w:rPr>
          <w:color w:val="0D0D0D"/>
          <w:spacing w:val="-3"/>
        </w:rPr>
        <w:t> </w:t>
      </w:r>
      <w:r>
        <w:rPr>
          <w:color w:val="0D0D0D"/>
        </w:rPr>
        <w:t>un</w:t>
      </w:r>
      <w:r>
        <w:rPr>
          <w:color w:val="0D0D0D"/>
          <w:spacing w:val="-4"/>
        </w:rPr>
        <w:t> </w:t>
      </w:r>
      <w:r>
        <w:rPr>
          <w:color w:val="0D0D0D"/>
        </w:rPr>
        <w:t>anestésico</w:t>
      </w:r>
      <w:r>
        <w:rPr>
          <w:color w:val="0D0D0D"/>
          <w:spacing w:val="-3"/>
        </w:rPr>
        <w:t> </w:t>
      </w:r>
      <w:r>
        <w:rPr>
          <w:color w:val="0D0D0D"/>
        </w:rPr>
        <w:t>tópico</w:t>
      </w:r>
      <w:r>
        <w:rPr>
          <w:color w:val="0D0D0D"/>
          <w:spacing w:val="-1"/>
        </w:rPr>
        <w:t> </w:t>
      </w:r>
      <w:r>
        <w:rPr>
          <w:color w:val="0D0D0D"/>
        </w:rPr>
        <w:t>en</w:t>
      </w:r>
      <w:r>
        <w:rPr>
          <w:color w:val="0D0D0D"/>
          <w:spacing w:val="-2"/>
        </w:rPr>
        <w:t> </w:t>
      </w:r>
      <w:r>
        <w:rPr>
          <w:color w:val="0D0D0D"/>
        </w:rPr>
        <w:t>el</w:t>
      </w:r>
      <w:r>
        <w:rPr>
          <w:color w:val="0D0D0D"/>
          <w:spacing w:val="-2"/>
        </w:rPr>
        <w:t> </w:t>
      </w:r>
      <w:r>
        <w:rPr>
          <w:color w:val="0D0D0D"/>
        </w:rPr>
        <w:t>sitio</w:t>
      </w:r>
      <w:r>
        <w:rPr>
          <w:color w:val="0D0D0D"/>
          <w:spacing w:val="-1"/>
        </w:rPr>
        <w:t> </w:t>
      </w:r>
      <w:r>
        <w:rPr>
          <w:color w:val="0D0D0D"/>
        </w:rPr>
        <w:t>de</w:t>
      </w:r>
      <w:r>
        <w:rPr>
          <w:color w:val="0D0D0D"/>
          <w:spacing w:val="-5"/>
        </w:rPr>
        <w:t> </w:t>
      </w:r>
      <w:r>
        <w:rPr>
          <w:color w:val="0D0D0D"/>
        </w:rPr>
        <w:t>la inyección empeoró las respuestas al dolor a los bloqueos del nervio cornual, en lugar de mitigarlas como habíamos predicho </w:t>
      </w:r>
      <w:r>
        <w:rPr/>
        <w:t>(Adcock &amp; Tucker, 2022)</w:t>
      </w:r>
      <w:r>
        <w:rPr>
          <w:color w:val="0D0D0D"/>
        </w:rPr>
        <w:t>.</w:t>
      </w:r>
    </w:p>
    <w:p>
      <w:pPr>
        <w:pStyle w:val="BodyText"/>
        <w:spacing w:after="0" w:line="360" w:lineRule="auto"/>
        <w:jc w:val="both"/>
        <w:sectPr>
          <w:pgSz w:w="11900" w:h="16860"/>
          <w:pgMar w:header="0" w:footer="1084" w:top="1620" w:bottom="1280" w:left="1133" w:right="850"/>
        </w:sectPr>
      </w:pPr>
    </w:p>
    <w:p>
      <w:pPr>
        <w:pStyle w:val="ListParagraph"/>
        <w:numPr>
          <w:ilvl w:val="1"/>
          <w:numId w:val="9"/>
        </w:numPr>
        <w:tabs>
          <w:tab w:pos="1855" w:val="left" w:leader="none"/>
        </w:tabs>
        <w:spacing w:line="240" w:lineRule="auto" w:before="70" w:after="0"/>
        <w:ind w:left="1855" w:right="0" w:hanging="720"/>
        <w:jc w:val="left"/>
        <w:rPr>
          <w:b/>
          <w:sz w:val="24"/>
        </w:rPr>
      </w:pPr>
      <w:bookmarkStart w:name="_bookmark31" w:id="32"/>
      <w:bookmarkEnd w:id="32"/>
      <w:r>
        <w:rPr/>
      </w:r>
      <w:r>
        <w:rPr>
          <w:b/>
          <w:sz w:val="24"/>
        </w:rPr>
        <w:t>Bupivacaína</w:t>
      </w:r>
      <w:r>
        <w:rPr>
          <w:b/>
          <w:spacing w:val="1"/>
          <w:sz w:val="24"/>
        </w:rPr>
        <w:t> </w:t>
      </w:r>
      <w:r>
        <w:rPr>
          <w:b/>
          <w:spacing w:val="-2"/>
          <w:sz w:val="24"/>
        </w:rPr>
        <w:t>tamponada</w:t>
      </w:r>
    </w:p>
    <w:p>
      <w:pPr>
        <w:pStyle w:val="BodyText"/>
        <w:spacing w:before="101"/>
        <w:ind w:left="0"/>
        <w:rPr>
          <w:b/>
        </w:rPr>
      </w:pPr>
    </w:p>
    <w:p>
      <w:pPr>
        <w:pStyle w:val="BodyText"/>
        <w:spacing w:line="360" w:lineRule="auto"/>
        <w:ind w:right="846"/>
        <w:jc w:val="both"/>
      </w:pPr>
      <w:r>
        <w:rPr/>
        <w:t>La presentación más usada es el clorhidrato de bupivacaína que es un anestésico local de larga duración que se utiliza comúnmente en medicina humana y veterinaria para bloquear la conducción nerviosa y producir anestesia en áreas específicas</w:t>
      </w:r>
      <w:r>
        <w:rPr>
          <w:spacing w:val="-9"/>
        </w:rPr>
        <w:t> </w:t>
      </w:r>
      <w:r>
        <w:rPr/>
        <w:t>del</w:t>
      </w:r>
      <w:r>
        <w:rPr>
          <w:spacing w:val="-8"/>
        </w:rPr>
        <w:t> </w:t>
      </w:r>
      <w:r>
        <w:rPr/>
        <w:t>cuerpo,</w:t>
      </w:r>
      <w:r>
        <w:rPr>
          <w:spacing w:val="-12"/>
        </w:rPr>
        <w:t> </w:t>
      </w:r>
      <w:r>
        <w:rPr/>
        <w:t>bloquea</w:t>
      </w:r>
      <w:r>
        <w:rPr>
          <w:spacing w:val="-14"/>
        </w:rPr>
        <w:t> </w:t>
      </w:r>
      <w:r>
        <w:rPr/>
        <w:t>de</w:t>
      </w:r>
      <w:r>
        <w:rPr>
          <w:spacing w:val="-14"/>
        </w:rPr>
        <w:t> </w:t>
      </w:r>
      <w:r>
        <w:rPr/>
        <w:t>manera</w:t>
      </w:r>
      <w:r>
        <w:rPr>
          <w:spacing w:val="-10"/>
        </w:rPr>
        <w:t> </w:t>
      </w:r>
      <w:r>
        <w:rPr/>
        <w:t>reversible</w:t>
      </w:r>
      <w:r>
        <w:rPr>
          <w:spacing w:val="-13"/>
        </w:rPr>
        <w:t> </w:t>
      </w:r>
      <w:r>
        <w:rPr/>
        <w:t>la</w:t>
      </w:r>
      <w:r>
        <w:rPr>
          <w:spacing w:val="-10"/>
        </w:rPr>
        <w:t> </w:t>
      </w:r>
      <w:r>
        <w:rPr/>
        <w:t>conducción</w:t>
      </w:r>
      <w:r>
        <w:rPr>
          <w:spacing w:val="-8"/>
        </w:rPr>
        <w:t> </w:t>
      </w:r>
      <w:r>
        <w:rPr/>
        <w:t>de</w:t>
      </w:r>
      <w:r>
        <w:rPr>
          <w:spacing w:val="-14"/>
        </w:rPr>
        <w:t> </w:t>
      </w:r>
      <w:r>
        <w:rPr/>
        <w:t>los</w:t>
      </w:r>
      <w:r>
        <w:rPr>
          <w:spacing w:val="-9"/>
        </w:rPr>
        <w:t> </w:t>
      </w:r>
      <w:r>
        <w:rPr/>
        <w:t>impulsos nerviosos</w:t>
      </w:r>
      <w:r>
        <w:rPr>
          <w:spacing w:val="-5"/>
        </w:rPr>
        <w:t> </w:t>
      </w:r>
      <w:r>
        <w:rPr/>
        <w:t>al</w:t>
      </w:r>
      <w:r>
        <w:rPr>
          <w:spacing w:val="-1"/>
        </w:rPr>
        <w:t> </w:t>
      </w:r>
      <w:r>
        <w:rPr/>
        <w:t>inhibir</w:t>
      </w:r>
      <w:r>
        <w:rPr>
          <w:spacing w:val="-5"/>
        </w:rPr>
        <w:t> </w:t>
      </w:r>
      <w:r>
        <w:rPr/>
        <w:t>la</w:t>
      </w:r>
      <w:r>
        <w:rPr>
          <w:spacing w:val="-3"/>
        </w:rPr>
        <w:t> </w:t>
      </w:r>
      <w:r>
        <w:rPr/>
        <w:t>entrada</w:t>
      </w:r>
      <w:r>
        <w:rPr>
          <w:spacing w:val="-5"/>
        </w:rPr>
        <w:t> </w:t>
      </w:r>
      <w:r>
        <w:rPr/>
        <w:t>de</w:t>
      </w:r>
      <w:r>
        <w:rPr>
          <w:spacing w:val="-6"/>
        </w:rPr>
        <w:t> </w:t>
      </w:r>
      <w:r>
        <w:rPr/>
        <w:t>iones</w:t>
      </w:r>
      <w:r>
        <w:rPr>
          <w:spacing w:val="-5"/>
        </w:rPr>
        <w:t> </w:t>
      </w:r>
      <w:r>
        <w:rPr/>
        <w:t>sodio</w:t>
      </w:r>
      <w:r>
        <w:rPr>
          <w:spacing w:val="-2"/>
        </w:rPr>
        <w:t> </w:t>
      </w:r>
      <w:r>
        <w:rPr/>
        <w:t>a</w:t>
      </w:r>
      <w:r>
        <w:rPr>
          <w:spacing w:val="-6"/>
        </w:rPr>
        <w:t> </w:t>
      </w:r>
      <w:r>
        <w:rPr/>
        <w:t>través</w:t>
      </w:r>
      <w:r>
        <w:rPr>
          <w:spacing w:val="-4"/>
        </w:rPr>
        <w:t> </w:t>
      </w:r>
      <w:r>
        <w:rPr/>
        <w:t>de</w:t>
      </w:r>
      <w:r>
        <w:rPr>
          <w:spacing w:val="-6"/>
        </w:rPr>
        <w:t> </w:t>
      </w:r>
      <w:r>
        <w:rPr/>
        <w:t>los canales</w:t>
      </w:r>
      <w:r>
        <w:rPr>
          <w:spacing w:val="-4"/>
        </w:rPr>
        <w:t> </w:t>
      </w:r>
      <w:r>
        <w:rPr/>
        <w:t>de</w:t>
      </w:r>
      <w:r>
        <w:rPr>
          <w:spacing w:val="-3"/>
        </w:rPr>
        <w:t> </w:t>
      </w:r>
      <w:r>
        <w:rPr/>
        <w:t>sodio</w:t>
      </w:r>
      <w:r>
        <w:rPr>
          <w:spacing w:val="-5"/>
        </w:rPr>
        <w:t> </w:t>
      </w:r>
      <w:r>
        <w:rPr/>
        <w:t>en</w:t>
      </w:r>
      <w:r>
        <w:rPr>
          <w:spacing w:val="-5"/>
        </w:rPr>
        <w:t> </w:t>
      </w:r>
      <w:r>
        <w:rPr/>
        <w:t>las membranas de las células nerviosa (Farmer </w:t>
      </w:r>
      <w:r>
        <w:rPr>
          <w:i/>
        </w:rPr>
        <w:t>et al</w:t>
      </w:r>
      <w:r>
        <w:rPr/>
        <w:t>., 2022). También se puede encontrar en la actualidad bupivacaína liposomal que es una formulación de bupivacaína encapsulada en liposomas, lo que permite una liberación lenta y prolongada del fármaco. (Freitas </w:t>
      </w:r>
      <w:r>
        <w:rPr>
          <w:i/>
        </w:rPr>
        <w:t>et al</w:t>
      </w:r>
      <w:r>
        <w:rPr/>
        <w:t>., 2021).</w:t>
      </w:r>
    </w:p>
    <w:p>
      <w:pPr>
        <w:pStyle w:val="BodyText"/>
        <w:spacing w:line="360" w:lineRule="auto" w:before="242"/>
        <w:ind w:right="850"/>
        <w:jc w:val="both"/>
      </w:pPr>
      <w:r>
        <w:rPr/>
        <w:t>La bupivacaína liposomal se produce mediante un proceso de encapsulación en el que la bupivacaína se combina con lípidos para formar liposomas. Los liposomas son vesículas esféricas compuestas por una bicapa lipídica que puede contener fármacos en su interior. En el caso de la bupivacaína liposomal, la bupivacaína se encapsula dentro de estos liposomas, lo que permite una liberación controlada y prolongada del fármaco cuando se administra en el cuerpo (Freitas </w:t>
      </w:r>
      <w:r>
        <w:rPr>
          <w:i/>
        </w:rPr>
        <w:t>et al</w:t>
      </w:r>
      <w:r>
        <w:rPr/>
        <w:t>., 2021).</w:t>
      </w:r>
    </w:p>
    <w:p>
      <w:pPr>
        <w:pStyle w:val="BodyText"/>
        <w:spacing w:line="360" w:lineRule="auto" w:before="241"/>
        <w:ind w:right="844"/>
        <w:jc w:val="both"/>
      </w:pPr>
      <w:r>
        <w:rPr/>
        <w:t>Una</w:t>
      </w:r>
      <w:r>
        <w:rPr>
          <w:spacing w:val="-11"/>
        </w:rPr>
        <w:t> </w:t>
      </w:r>
      <w:r>
        <w:rPr/>
        <w:t>alternativa</w:t>
      </w:r>
      <w:r>
        <w:rPr>
          <w:spacing w:val="-9"/>
        </w:rPr>
        <w:t> </w:t>
      </w:r>
      <w:r>
        <w:rPr/>
        <w:t>reciente</w:t>
      </w:r>
      <w:r>
        <w:rPr>
          <w:spacing w:val="-10"/>
        </w:rPr>
        <w:t> </w:t>
      </w:r>
      <w:r>
        <w:rPr/>
        <w:t>es</w:t>
      </w:r>
      <w:r>
        <w:rPr>
          <w:spacing w:val="-9"/>
        </w:rPr>
        <w:t> </w:t>
      </w:r>
      <w:r>
        <w:rPr/>
        <w:t>el</w:t>
      </w:r>
      <w:r>
        <w:rPr>
          <w:spacing w:val="-7"/>
        </w:rPr>
        <w:t> </w:t>
      </w:r>
      <w:r>
        <w:rPr/>
        <w:t>uso</w:t>
      </w:r>
      <w:r>
        <w:rPr>
          <w:spacing w:val="-9"/>
        </w:rPr>
        <w:t> </w:t>
      </w:r>
      <w:r>
        <w:rPr/>
        <w:t>de</w:t>
      </w:r>
      <w:r>
        <w:rPr>
          <w:spacing w:val="-13"/>
        </w:rPr>
        <w:t> </w:t>
      </w:r>
      <w:r>
        <w:rPr/>
        <w:t>la</w:t>
      </w:r>
      <w:r>
        <w:rPr>
          <w:spacing w:val="-13"/>
        </w:rPr>
        <w:t> </w:t>
      </w:r>
      <w:r>
        <w:rPr/>
        <w:t>bupivacaína</w:t>
      </w:r>
      <w:r>
        <w:rPr>
          <w:spacing w:val="-3"/>
        </w:rPr>
        <w:t> </w:t>
      </w:r>
      <w:r>
        <w:rPr/>
        <w:t>tamponada</w:t>
      </w:r>
      <w:r>
        <w:rPr>
          <w:spacing w:val="-12"/>
        </w:rPr>
        <w:t> </w:t>
      </w:r>
      <w:r>
        <w:rPr/>
        <w:t>que</w:t>
      </w:r>
      <w:r>
        <w:rPr>
          <w:spacing w:val="-11"/>
        </w:rPr>
        <w:t> </w:t>
      </w:r>
      <w:r>
        <w:rPr/>
        <w:t>es</w:t>
      </w:r>
      <w:r>
        <w:rPr>
          <w:spacing w:val="-5"/>
        </w:rPr>
        <w:t> </w:t>
      </w:r>
      <w:r>
        <w:rPr/>
        <w:t>una</w:t>
      </w:r>
      <w:r>
        <w:rPr>
          <w:spacing w:val="-8"/>
        </w:rPr>
        <w:t> </w:t>
      </w:r>
      <w:r>
        <w:rPr/>
        <w:t>forma</w:t>
      </w:r>
      <w:r>
        <w:rPr>
          <w:spacing w:val="-13"/>
        </w:rPr>
        <w:t> </w:t>
      </w:r>
      <w:r>
        <w:rPr/>
        <w:t>de bupivacaína que se ha mezclado con un agente tampón, como el bicarbonato de sodio, para ajustar su pH y reducir así el dolor durante la inyección, la adición de un agente tampón, como el bicarbonato de sodio, aumenta el pH de la solución de bupivacaína, lo que hace que la inyección sea menos dolorosa para el paciente (Souza </w:t>
      </w:r>
      <w:r>
        <w:rPr>
          <w:i/>
        </w:rPr>
        <w:t>et al</w:t>
      </w:r>
      <w:r>
        <w:rPr/>
        <w:t>., 2020).</w:t>
      </w:r>
    </w:p>
    <w:p>
      <w:pPr>
        <w:pStyle w:val="BodyText"/>
        <w:spacing w:line="360" w:lineRule="auto" w:before="238"/>
        <w:ind w:right="848"/>
        <w:jc w:val="both"/>
      </w:pPr>
      <w:r>
        <w:rPr/>
        <w:t>La investigación sobre el uso de bupivacaína tamponada es limitada, lo que ha generado</w:t>
      </w:r>
      <w:r>
        <w:rPr>
          <w:spacing w:val="-15"/>
        </w:rPr>
        <w:t> </w:t>
      </w:r>
      <w:r>
        <w:rPr/>
        <w:t>un</w:t>
      </w:r>
      <w:r>
        <w:rPr>
          <w:spacing w:val="-15"/>
        </w:rPr>
        <w:t> </w:t>
      </w:r>
      <w:r>
        <w:rPr/>
        <w:t>vacío</w:t>
      </w:r>
      <w:r>
        <w:rPr>
          <w:spacing w:val="-15"/>
        </w:rPr>
        <w:t> </w:t>
      </w:r>
      <w:r>
        <w:rPr/>
        <w:t>en</w:t>
      </w:r>
      <w:r>
        <w:rPr>
          <w:spacing w:val="-15"/>
        </w:rPr>
        <w:t> </w:t>
      </w:r>
      <w:r>
        <w:rPr/>
        <w:t>el</w:t>
      </w:r>
      <w:r>
        <w:rPr>
          <w:spacing w:val="-15"/>
        </w:rPr>
        <w:t> </w:t>
      </w:r>
      <w:r>
        <w:rPr/>
        <w:t>conocimiento</w:t>
      </w:r>
      <w:r>
        <w:rPr>
          <w:spacing w:val="-15"/>
        </w:rPr>
        <w:t> </w:t>
      </w:r>
      <w:r>
        <w:rPr/>
        <w:t>sobre</w:t>
      </w:r>
      <w:r>
        <w:rPr>
          <w:spacing w:val="-15"/>
        </w:rPr>
        <w:t> </w:t>
      </w:r>
      <w:r>
        <w:rPr/>
        <w:t>su</w:t>
      </w:r>
      <w:r>
        <w:rPr>
          <w:spacing w:val="-15"/>
        </w:rPr>
        <w:t> </w:t>
      </w:r>
      <w:r>
        <w:rPr/>
        <w:t>eficacia</w:t>
      </w:r>
      <w:r>
        <w:rPr>
          <w:spacing w:val="-9"/>
        </w:rPr>
        <w:t> </w:t>
      </w:r>
      <w:r>
        <w:rPr/>
        <w:t>y</w:t>
      </w:r>
      <w:r>
        <w:rPr>
          <w:spacing w:val="-15"/>
        </w:rPr>
        <w:t> </w:t>
      </w:r>
      <w:r>
        <w:rPr/>
        <w:t>seguridad</w:t>
      </w:r>
      <w:r>
        <w:rPr>
          <w:spacing w:val="-13"/>
        </w:rPr>
        <w:t> </w:t>
      </w:r>
      <w:r>
        <w:rPr/>
        <w:t>en</w:t>
      </w:r>
      <w:r>
        <w:rPr>
          <w:spacing w:val="-14"/>
        </w:rPr>
        <w:t> </w:t>
      </w:r>
      <w:r>
        <w:rPr/>
        <w:t>comparación con la bupivacaína no tamponada. Aunque se han realizado algunos estudios que sugieren</w:t>
      </w:r>
      <w:r>
        <w:rPr>
          <w:spacing w:val="-7"/>
        </w:rPr>
        <w:t> </w:t>
      </w:r>
      <w:r>
        <w:rPr/>
        <w:t>que</w:t>
      </w:r>
      <w:r>
        <w:rPr>
          <w:spacing w:val="-7"/>
        </w:rPr>
        <w:t> </w:t>
      </w:r>
      <w:r>
        <w:rPr/>
        <w:t>la</w:t>
      </w:r>
      <w:r>
        <w:rPr>
          <w:spacing w:val="-8"/>
        </w:rPr>
        <w:t> </w:t>
      </w:r>
      <w:r>
        <w:rPr/>
        <w:t>bupivacaína</w:t>
      </w:r>
      <w:r>
        <w:rPr>
          <w:spacing w:val="-7"/>
        </w:rPr>
        <w:t> </w:t>
      </w:r>
      <w:r>
        <w:rPr/>
        <w:t>tamponada</w:t>
      </w:r>
      <w:r>
        <w:rPr>
          <w:spacing w:val="-7"/>
        </w:rPr>
        <w:t> </w:t>
      </w:r>
      <w:r>
        <w:rPr/>
        <w:t>puede</w:t>
      </w:r>
      <w:r>
        <w:rPr>
          <w:spacing w:val="-5"/>
        </w:rPr>
        <w:t> </w:t>
      </w:r>
      <w:r>
        <w:rPr/>
        <w:t>reducir</w:t>
      </w:r>
      <w:r>
        <w:rPr>
          <w:spacing w:val="-7"/>
        </w:rPr>
        <w:t> </w:t>
      </w:r>
      <w:r>
        <w:rPr/>
        <w:t>el</w:t>
      </w:r>
      <w:r>
        <w:rPr>
          <w:spacing w:val="-6"/>
        </w:rPr>
        <w:t> </w:t>
      </w:r>
      <w:r>
        <w:rPr/>
        <w:t>dolor</w:t>
      </w:r>
      <w:r>
        <w:rPr>
          <w:spacing w:val="-6"/>
        </w:rPr>
        <w:t> </w:t>
      </w:r>
      <w:r>
        <w:rPr/>
        <w:t>durante</w:t>
      </w:r>
      <w:r>
        <w:rPr>
          <w:spacing w:val="-7"/>
        </w:rPr>
        <w:t> </w:t>
      </w:r>
      <w:r>
        <w:rPr/>
        <w:t>la</w:t>
      </w:r>
      <w:r>
        <w:rPr>
          <w:spacing w:val="-8"/>
        </w:rPr>
        <w:t> </w:t>
      </w:r>
      <w:r>
        <w:rPr/>
        <w:t>inyección y mejorar la calidad de la anestesia (Venkatachalam, </w:t>
      </w:r>
      <w:r>
        <w:rPr>
          <w:i/>
        </w:rPr>
        <w:t>et al</w:t>
      </w:r>
      <w:r>
        <w:rPr/>
        <w:t>., 2022).</w:t>
      </w:r>
    </w:p>
    <w:p>
      <w:pPr>
        <w:pStyle w:val="BodyText"/>
        <w:spacing w:after="0" w:line="360" w:lineRule="auto"/>
        <w:jc w:val="both"/>
        <w:sectPr>
          <w:pgSz w:w="11900" w:h="16860"/>
          <w:pgMar w:header="0" w:footer="1084" w:top="1620" w:bottom="1280" w:left="1133" w:right="850"/>
        </w:sectPr>
      </w:pPr>
    </w:p>
    <w:p>
      <w:pPr>
        <w:pStyle w:val="Heading2"/>
        <w:numPr>
          <w:ilvl w:val="2"/>
          <w:numId w:val="12"/>
        </w:numPr>
        <w:tabs>
          <w:tab w:pos="1855" w:val="left" w:leader="none"/>
        </w:tabs>
        <w:spacing w:line="240" w:lineRule="auto" w:before="70" w:after="0"/>
        <w:ind w:left="1855" w:right="0" w:hanging="720"/>
        <w:jc w:val="left"/>
      </w:pPr>
      <w:bookmarkStart w:name="_bookmark32" w:id="33"/>
      <w:bookmarkEnd w:id="33"/>
      <w:r>
        <w:rPr>
          <w:b w:val="0"/>
        </w:rPr>
      </w:r>
      <w:r>
        <w:rPr/>
        <w:t>Escala</w:t>
      </w:r>
      <w:r>
        <w:rPr>
          <w:spacing w:val="-7"/>
        </w:rPr>
        <w:t> </w:t>
      </w:r>
      <w:r>
        <w:rPr/>
        <w:t>del</w:t>
      </w:r>
      <w:r>
        <w:rPr>
          <w:spacing w:val="-8"/>
        </w:rPr>
        <w:t> </w:t>
      </w:r>
      <w:r>
        <w:rPr/>
        <w:t>dolor</w:t>
      </w:r>
      <w:r>
        <w:rPr>
          <w:spacing w:val="-8"/>
        </w:rPr>
        <w:t> </w:t>
      </w:r>
      <w:r>
        <w:rPr/>
        <w:t>usada</w:t>
      </w:r>
      <w:r>
        <w:rPr>
          <w:spacing w:val="-11"/>
        </w:rPr>
        <w:t> </w:t>
      </w:r>
      <w:r>
        <w:rPr/>
        <w:t>en</w:t>
      </w:r>
      <w:r>
        <w:rPr>
          <w:spacing w:val="-7"/>
        </w:rPr>
        <w:t> </w:t>
      </w:r>
      <w:r>
        <w:rPr>
          <w:spacing w:val="-2"/>
        </w:rPr>
        <w:t>bovinos</w:t>
      </w:r>
    </w:p>
    <w:p>
      <w:pPr>
        <w:pStyle w:val="BodyText"/>
        <w:spacing w:before="101"/>
        <w:ind w:left="0"/>
        <w:rPr>
          <w:b/>
        </w:rPr>
      </w:pPr>
    </w:p>
    <w:p>
      <w:pPr>
        <w:spacing w:before="0"/>
        <w:ind w:left="1135" w:right="0" w:firstLine="0"/>
        <w:jc w:val="left"/>
        <w:rPr>
          <w:b/>
          <w:sz w:val="24"/>
        </w:rPr>
      </w:pPr>
      <w:bookmarkStart w:name="_bookmark33" w:id="34"/>
      <w:bookmarkEnd w:id="34"/>
      <w:r>
        <w:rPr/>
      </w:r>
      <w:r>
        <w:rPr>
          <w:b/>
          <w:sz w:val="24"/>
        </w:rPr>
        <w:t>Tabla </w:t>
      </w:r>
      <w:r>
        <w:rPr>
          <w:b/>
          <w:spacing w:val="-10"/>
          <w:sz w:val="24"/>
        </w:rPr>
        <w:t>1</w:t>
      </w:r>
    </w:p>
    <w:p>
      <w:pPr>
        <w:spacing w:before="0"/>
        <w:ind w:left="1135" w:right="0" w:firstLine="0"/>
        <w:jc w:val="left"/>
        <w:rPr>
          <w:i/>
          <w:sz w:val="24"/>
        </w:rPr>
      </w:pPr>
      <w:r>
        <w:rPr>
          <w:i/>
          <w:sz w:val="24"/>
        </w:rPr>
        <w:t>Escala</w:t>
      </w:r>
      <w:r>
        <w:rPr>
          <w:i/>
          <w:spacing w:val="-5"/>
          <w:sz w:val="24"/>
        </w:rPr>
        <w:t> </w:t>
      </w:r>
      <w:r>
        <w:rPr>
          <w:i/>
          <w:sz w:val="24"/>
        </w:rPr>
        <w:t>del dolor</w:t>
      </w:r>
      <w:r>
        <w:rPr>
          <w:i/>
          <w:spacing w:val="-1"/>
          <w:sz w:val="24"/>
        </w:rPr>
        <w:t> </w:t>
      </w:r>
      <w:r>
        <w:rPr>
          <w:i/>
          <w:sz w:val="24"/>
        </w:rPr>
        <w:t>modificada de</w:t>
      </w:r>
      <w:r>
        <w:rPr>
          <w:i/>
          <w:spacing w:val="-2"/>
          <w:sz w:val="24"/>
        </w:rPr>
        <w:t> </w:t>
      </w:r>
      <w:r>
        <w:rPr>
          <w:i/>
          <w:sz w:val="24"/>
        </w:rPr>
        <w:t>la Unesp-Botucatu </w:t>
      </w:r>
      <w:r>
        <w:rPr>
          <w:i/>
          <w:spacing w:val="-2"/>
          <w:sz w:val="24"/>
        </w:rPr>
        <w:t>(UCAPS).</w:t>
      </w:r>
    </w:p>
    <w:p>
      <w:pPr>
        <w:pStyle w:val="BodyText"/>
        <w:spacing w:before="7"/>
        <w:ind w:left="0"/>
        <w:rPr>
          <w:i/>
          <w:sz w:val="17"/>
        </w:rPr>
      </w:pPr>
    </w:p>
    <w:tbl>
      <w:tblPr>
        <w:tblW w:w="0" w:type="auto"/>
        <w:jc w:val="left"/>
        <w:tblInd w:w="1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43"/>
        <w:gridCol w:w="5206"/>
      </w:tblGrid>
      <w:tr>
        <w:trPr>
          <w:trHeight w:val="393" w:hRule="atLeast"/>
        </w:trPr>
        <w:tc>
          <w:tcPr>
            <w:tcW w:w="2743" w:type="dxa"/>
            <w:tcBorders>
              <w:top w:val="single" w:sz="4" w:space="0" w:color="000000"/>
              <w:bottom w:val="single" w:sz="4" w:space="0" w:color="000000"/>
            </w:tcBorders>
          </w:tcPr>
          <w:p>
            <w:pPr>
              <w:pStyle w:val="TableParagraph"/>
              <w:spacing w:line="275" w:lineRule="exact"/>
              <w:ind w:left="14"/>
              <w:rPr>
                <w:b/>
                <w:sz w:val="24"/>
              </w:rPr>
            </w:pPr>
            <w:r>
              <w:rPr>
                <w:b/>
                <w:spacing w:val="-2"/>
                <w:sz w:val="24"/>
              </w:rPr>
              <w:t>Comportamiento</w:t>
            </w:r>
          </w:p>
        </w:tc>
        <w:tc>
          <w:tcPr>
            <w:tcW w:w="5206" w:type="dxa"/>
            <w:tcBorders>
              <w:top w:val="single" w:sz="4" w:space="0" w:color="000000"/>
              <w:bottom w:val="single" w:sz="4" w:space="0" w:color="000000"/>
            </w:tcBorders>
          </w:tcPr>
          <w:p>
            <w:pPr>
              <w:pStyle w:val="TableParagraph"/>
              <w:spacing w:line="275" w:lineRule="exact"/>
              <w:ind w:left="94"/>
              <w:rPr>
                <w:b/>
                <w:sz w:val="24"/>
              </w:rPr>
            </w:pPr>
            <w:r>
              <w:rPr>
                <w:b/>
                <w:spacing w:val="-2"/>
                <w:sz w:val="24"/>
              </w:rPr>
              <w:t>Cuantificación</w:t>
            </w:r>
          </w:p>
        </w:tc>
      </w:tr>
      <w:tr>
        <w:trPr>
          <w:trHeight w:val="329" w:hRule="atLeast"/>
        </w:trPr>
        <w:tc>
          <w:tcPr>
            <w:tcW w:w="2743" w:type="dxa"/>
            <w:tcBorders>
              <w:top w:val="single" w:sz="4" w:space="0" w:color="000000"/>
            </w:tcBorders>
          </w:tcPr>
          <w:p>
            <w:pPr>
              <w:pStyle w:val="TableParagraph"/>
              <w:spacing w:line="251" w:lineRule="exact"/>
              <w:ind w:left="14"/>
              <w:rPr>
                <w:b/>
                <w:sz w:val="22"/>
              </w:rPr>
            </w:pPr>
            <w:r>
              <w:rPr>
                <w:b/>
                <w:spacing w:val="-2"/>
                <w:sz w:val="22"/>
              </w:rPr>
              <w:t>Vocalización</w:t>
            </w:r>
          </w:p>
        </w:tc>
        <w:tc>
          <w:tcPr>
            <w:tcW w:w="5206" w:type="dxa"/>
            <w:tcBorders>
              <w:top w:val="single" w:sz="4" w:space="0" w:color="000000"/>
            </w:tcBorders>
          </w:tcPr>
          <w:p>
            <w:pPr>
              <w:pStyle w:val="TableParagraph"/>
              <w:spacing w:line="251" w:lineRule="exact"/>
              <w:ind w:left="94"/>
              <w:rPr>
                <w:sz w:val="22"/>
              </w:rPr>
            </w:pPr>
            <w:r>
              <w:rPr>
                <w:sz w:val="22"/>
              </w:rPr>
              <w:t>(0)</w:t>
            </w:r>
            <w:r>
              <w:rPr>
                <w:spacing w:val="-5"/>
                <w:sz w:val="22"/>
              </w:rPr>
              <w:t> </w:t>
            </w:r>
            <w:r>
              <w:rPr>
                <w:sz w:val="22"/>
              </w:rPr>
              <w:t>Ausente</w:t>
            </w:r>
            <w:r>
              <w:rPr>
                <w:spacing w:val="-5"/>
                <w:sz w:val="22"/>
              </w:rPr>
              <w:t> </w:t>
            </w:r>
            <w:r>
              <w:rPr>
                <w:sz w:val="22"/>
              </w:rPr>
              <w:t>(1)</w:t>
            </w:r>
            <w:r>
              <w:rPr>
                <w:spacing w:val="-3"/>
                <w:sz w:val="22"/>
              </w:rPr>
              <w:t> </w:t>
            </w:r>
            <w:r>
              <w:rPr>
                <w:spacing w:val="-2"/>
                <w:sz w:val="22"/>
              </w:rPr>
              <w:t>presente.</w:t>
            </w:r>
          </w:p>
        </w:tc>
      </w:tr>
      <w:tr>
        <w:trPr>
          <w:trHeight w:val="398" w:hRule="atLeast"/>
        </w:trPr>
        <w:tc>
          <w:tcPr>
            <w:tcW w:w="2743" w:type="dxa"/>
          </w:tcPr>
          <w:p>
            <w:pPr>
              <w:pStyle w:val="TableParagraph"/>
              <w:spacing w:before="69"/>
              <w:ind w:left="14"/>
              <w:rPr>
                <w:b/>
                <w:sz w:val="22"/>
              </w:rPr>
            </w:pPr>
            <w:r>
              <w:rPr>
                <w:b/>
                <w:sz w:val="22"/>
              </w:rPr>
              <w:t>Sacudir</w:t>
            </w:r>
            <w:r>
              <w:rPr>
                <w:b/>
                <w:spacing w:val="-4"/>
                <w:sz w:val="22"/>
              </w:rPr>
              <w:t> </w:t>
            </w:r>
            <w:r>
              <w:rPr>
                <w:b/>
                <w:sz w:val="22"/>
              </w:rPr>
              <w:t>la</w:t>
            </w:r>
            <w:r>
              <w:rPr>
                <w:b/>
                <w:spacing w:val="-1"/>
                <w:sz w:val="22"/>
              </w:rPr>
              <w:t> </w:t>
            </w:r>
            <w:r>
              <w:rPr>
                <w:b/>
                <w:spacing w:val="-2"/>
                <w:sz w:val="22"/>
              </w:rPr>
              <w:t>cabeza</w:t>
            </w:r>
          </w:p>
        </w:tc>
        <w:tc>
          <w:tcPr>
            <w:tcW w:w="5206" w:type="dxa"/>
          </w:tcPr>
          <w:p>
            <w:pPr>
              <w:pStyle w:val="TableParagraph"/>
              <w:spacing w:before="69"/>
              <w:ind w:left="94"/>
              <w:rPr>
                <w:sz w:val="22"/>
              </w:rPr>
            </w:pPr>
            <w:r>
              <w:rPr>
                <w:sz w:val="22"/>
              </w:rPr>
              <w:t>(0)</w:t>
            </w:r>
            <w:r>
              <w:rPr>
                <w:spacing w:val="-5"/>
                <w:sz w:val="22"/>
              </w:rPr>
              <w:t> </w:t>
            </w:r>
            <w:r>
              <w:rPr>
                <w:sz w:val="22"/>
              </w:rPr>
              <w:t>Ausente</w:t>
            </w:r>
            <w:r>
              <w:rPr>
                <w:spacing w:val="-5"/>
                <w:sz w:val="22"/>
              </w:rPr>
              <w:t> </w:t>
            </w:r>
            <w:r>
              <w:rPr>
                <w:sz w:val="22"/>
              </w:rPr>
              <w:t>(1)</w:t>
            </w:r>
            <w:r>
              <w:rPr>
                <w:spacing w:val="-3"/>
                <w:sz w:val="22"/>
              </w:rPr>
              <w:t> </w:t>
            </w:r>
            <w:r>
              <w:rPr>
                <w:spacing w:val="-2"/>
                <w:sz w:val="22"/>
              </w:rPr>
              <w:t>presente.</w:t>
            </w:r>
          </w:p>
        </w:tc>
      </w:tr>
      <w:tr>
        <w:trPr>
          <w:trHeight w:val="395" w:hRule="atLeast"/>
        </w:trPr>
        <w:tc>
          <w:tcPr>
            <w:tcW w:w="2743" w:type="dxa"/>
          </w:tcPr>
          <w:p>
            <w:pPr>
              <w:pStyle w:val="TableParagraph"/>
              <w:spacing w:before="67"/>
              <w:ind w:left="14"/>
              <w:rPr>
                <w:b/>
                <w:sz w:val="22"/>
              </w:rPr>
            </w:pPr>
            <w:r>
              <w:rPr>
                <w:b/>
                <w:sz w:val="22"/>
              </w:rPr>
              <w:t>Mueve</w:t>
            </w:r>
            <w:r>
              <w:rPr>
                <w:b/>
                <w:spacing w:val="-4"/>
                <w:sz w:val="22"/>
              </w:rPr>
              <w:t> </w:t>
            </w:r>
            <w:r>
              <w:rPr>
                <w:b/>
                <w:sz w:val="22"/>
              </w:rPr>
              <w:t>la </w:t>
            </w:r>
            <w:r>
              <w:rPr>
                <w:b/>
                <w:spacing w:val="-2"/>
                <w:sz w:val="22"/>
              </w:rPr>
              <w:t>cabeza</w:t>
            </w:r>
          </w:p>
        </w:tc>
        <w:tc>
          <w:tcPr>
            <w:tcW w:w="5206" w:type="dxa"/>
          </w:tcPr>
          <w:p>
            <w:pPr>
              <w:pStyle w:val="TableParagraph"/>
              <w:spacing w:before="67"/>
              <w:ind w:left="94"/>
              <w:rPr>
                <w:sz w:val="22"/>
              </w:rPr>
            </w:pPr>
            <w:r>
              <w:rPr>
                <w:sz w:val="22"/>
              </w:rPr>
              <w:t>(0)</w:t>
            </w:r>
            <w:r>
              <w:rPr>
                <w:spacing w:val="-5"/>
                <w:sz w:val="22"/>
              </w:rPr>
              <w:t> </w:t>
            </w:r>
            <w:r>
              <w:rPr>
                <w:sz w:val="22"/>
              </w:rPr>
              <w:t>Ausente</w:t>
            </w:r>
            <w:r>
              <w:rPr>
                <w:spacing w:val="-5"/>
                <w:sz w:val="22"/>
              </w:rPr>
              <w:t> </w:t>
            </w:r>
            <w:r>
              <w:rPr>
                <w:sz w:val="22"/>
              </w:rPr>
              <w:t>(1)</w:t>
            </w:r>
            <w:r>
              <w:rPr>
                <w:spacing w:val="-3"/>
                <w:sz w:val="22"/>
              </w:rPr>
              <w:t> </w:t>
            </w:r>
            <w:r>
              <w:rPr>
                <w:spacing w:val="-2"/>
                <w:sz w:val="22"/>
              </w:rPr>
              <w:t>presente.</w:t>
            </w:r>
          </w:p>
        </w:tc>
      </w:tr>
      <w:tr>
        <w:trPr>
          <w:trHeight w:val="396" w:hRule="atLeast"/>
        </w:trPr>
        <w:tc>
          <w:tcPr>
            <w:tcW w:w="2743" w:type="dxa"/>
          </w:tcPr>
          <w:p>
            <w:pPr>
              <w:pStyle w:val="TableParagraph"/>
              <w:spacing w:before="67"/>
              <w:ind w:left="14"/>
              <w:rPr>
                <w:b/>
                <w:sz w:val="22"/>
              </w:rPr>
            </w:pPr>
            <w:r>
              <w:rPr>
                <w:b/>
                <w:sz w:val="22"/>
              </w:rPr>
              <w:t>Rascar</w:t>
            </w:r>
            <w:r>
              <w:rPr>
                <w:b/>
                <w:spacing w:val="-4"/>
                <w:sz w:val="22"/>
              </w:rPr>
              <w:t> </w:t>
            </w:r>
            <w:r>
              <w:rPr>
                <w:b/>
                <w:sz w:val="22"/>
              </w:rPr>
              <w:t>la</w:t>
            </w:r>
            <w:r>
              <w:rPr>
                <w:b/>
                <w:spacing w:val="-5"/>
                <w:sz w:val="22"/>
              </w:rPr>
              <w:t> </w:t>
            </w:r>
            <w:r>
              <w:rPr>
                <w:b/>
                <w:sz w:val="22"/>
              </w:rPr>
              <w:t>herida</w:t>
            </w:r>
            <w:r>
              <w:rPr>
                <w:b/>
                <w:spacing w:val="-3"/>
                <w:sz w:val="22"/>
              </w:rPr>
              <w:t> </w:t>
            </w:r>
            <w:r>
              <w:rPr>
                <w:b/>
                <w:spacing w:val="-2"/>
                <w:sz w:val="22"/>
              </w:rPr>
              <w:t>quirúrgica</w:t>
            </w:r>
          </w:p>
        </w:tc>
        <w:tc>
          <w:tcPr>
            <w:tcW w:w="5206" w:type="dxa"/>
          </w:tcPr>
          <w:p>
            <w:pPr>
              <w:pStyle w:val="TableParagraph"/>
              <w:spacing w:before="67"/>
              <w:ind w:left="94"/>
              <w:rPr>
                <w:sz w:val="22"/>
              </w:rPr>
            </w:pPr>
            <w:r>
              <w:rPr>
                <w:sz w:val="22"/>
              </w:rPr>
              <w:t>(0)</w:t>
            </w:r>
            <w:r>
              <w:rPr>
                <w:spacing w:val="-5"/>
                <w:sz w:val="22"/>
              </w:rPr>
              <w:t> </w:t>
            </w:r>
            <w:r>
              <w:rPr>
                <w:sz w:val="22"/>
              </w:rPr>
              <w:t>Ausente</w:t>
            </w:r>
            <w:r>
              <w:rPr>
                <w:spacing w:val="-5"/>
                <w:sz w:val="22"/>
              </w:rPr>
              <w:t> </w:t>
            </w:r>
            <w:r>
              <w:rPr>
                <w:sz w:val="22"/>
              </w:rPr>
              <w:t>(1)</w:t>
            </w:r>
            <w:r>
              <w:rPr>
                <w:spacing w:val="-3"/>
                <w:sz w:val="22"/>
              </w:rPr>
              <w:t> </w:t>
            </w:r>
            <w:r>
              <w:rPr>
                <w:spacing w:val="-2"/>
                <w:sz w:val="22"/>
              </w:rPr>
              <w:t>presente.</w:t>
            </w:r>
          </w:p>
        </w:tc>
      </w:tr>
      <w:tr>
        <w:trPr>
          <w:trHeight w:val="799" w:hRule="atLeast"/>
        </w:trPr>
        <w:tc>
          <w:tcPr>
            <w:tcW w:w="2743" w:type="dxa"/>
          </w:tcPr>
          <w:p>
            <w:pPr>
              <w:pStyle w:val="TableParagraph"/>
              <w:spacing w:before="67"/>
              <w:ind w:left="14"/>
              <w:rPr>
                <w:b/>
                <w:sz w:val="22"/>
              </w:rPr>
            </w:pPr>
            <w:r>
              <w:rPr>
                <w:b/>
                <w:sz w:val="22"/>
              </w:rPr>
              <w:t>Posición</w:t>
            </w:r>
            <w:r>
              <w:rPr>
                <w:b/>
                <w:spacing w:val="-3"/>
                <w:sz w:val="22"/>
              </w:rPr>
              <w:t> </w:t>
            </w:r>
            <w:r>
              <w:rPr>
                <w:b/>
                <w:sz w:val="22"/>
              </w:rPr>
              <w:t>de</w:t>
            </w:r>
            <w:r>
              <w:rPr>
                <w:b/>
                <w:spacing w:val="-3"/>
                <w:sz w:val="22"/>
              </w:rPr>
              <w:t> </w:t>
            </w:r>
            <w:r>
              <w:rPr>
                <w:b/>
                <w:sz w:val="22"/>
              </w:rPr>
              <w:t>la</w:t>
            </w:r>
            <w:r>
              <w:rPr>
                <w:b/>
                <w:spacing w:val="-2"/>
                <w:sz w:val="22"/>
              </w:rPr>
              <w:t> cabeza</w:t>
            </w:r>
          </w:p>
        </w:tc>
        <w:tc>
          <w:tcPr>
            <w:tcW w:w="5206" w:type="dxa"/>
          </w:tcPr>
          <w:p>
            <w:pPr>
              <w:pStyle w:val="TableParagraph"/>
              <w:spacing w:before="67"/>
              <w:ind w:left="94"/>
              <w:rPr>
                <w:sz w:val="22"/>
              </w:rPr>
            </w:pPr>
            <w:r>
              <w:rPr>
                <w:sz w:val="22"/>
              </w:rPr>
              <w:t>(0) Cabeza por</w:t>
            </w:r>
            <w:r>
              <w:rPr>
                <w:spacing w:val="1"/>
                <w:sz w:val="22"/>
              </w:rPr>
              <w:t> </w:t>
            </w:r>
            <w:r>
              <w:rPr>
                <w:sz w:val="22"/>
              </w:rPr>
              <w:t>encima</w:t>
            </w:r>
            <w:r>
              <w:rPr>
                <w:spacing w:val="-1"/>
                <w:sz w:val="22"/>
              </w:rPr>
              <w:t> </w:t>
            </w:r>
            <w:r>
              <w:rPr>
                <w:sz w:val="22"/>
              </w:rPr>
              <w:t>de la línea</w:t>
            </w:r>
            <w:r>
              <w:rPr>
                <w:spacing w:val="-1"/>
                <w:sz w:val="22"/>
              </w:rPr>
              <w:t> </w:t>
            </w:r>
            <w:r>
              <w:rPr>
                <w:sz w:val="22"/>
              </w:rPr>
              <w:t>de la</w:t>
            </w:r>
            <w:r>
              <w:rPr>
                <w:spacing w:val="-2"/>
                <w:sz w:val="22"/>
              </w:rPr>
              <w:t> </w:t>
            </w:r>
            <w:r>
              <w:rPr>
                <w:sz w:val="22"/>
              </w:rPr>
              <w:t>columna </w:t>
            </w:r>
            <w:r>
              <w:rPr>
                <w:spacing w:val="-2"/>
                <w:sz w:val="22"/>
              </w:rPr>
              <w:t>vertebral</w:t>
            </w:r>
          </w:p>
          <w:p>
            <w:pPr>
              <w:pStyle w:val="TableParagraph"/>
              <w:spacing w:before="2"/>
              <w:ind w:left="94"/>
              <w:rPr>
                <w:sz w:val="22"/>
              </w:rPr>
            </w:pPr>
            <w:r>
              <w:rPr>
                <w:sz w:val="22"/>
              </w:rPr>
              <w:t>(1)</w:t>
            </w:r>
            <w:r>
              <w:rPr>
                <w:spacing w:val="-3"/>
                <w:sz w:val="22"/>
              </w:rPr>
              <w:t> </w:t>
            </w:r>
            <w:r>
              <w:rPr>
                <w:sz w:val="22"/>
              </w:rPr>
              <w:t>Cabeza</w:t>
            </w:r>
            <w:r>
              <w:rPr>
                <w:spacing w:val="-2"/>
                <w:sz w:val="22"/>
              </w:rPr>
              <w:t> </w:t>
            </w:r>
            <w:r>
              <w:rPr>
                <w:sz w:val="22"/>
              </w:rPr>
              <w:t>por</w:t>
            </w:r>
            <w:r>
              <w:rPr>
                <w:spacing w:val="-4"/>
                <w:sz w:val="22"/>
              </w:rPr>
              <w:t> </w:t>
            </w:r>
            <w:r>
              <w:rPr>
                <w:sz w:val="22"/>
              </w:rPr>
              <w:t>debajo</w:t>
            </w:r>
            <w:r>
              <w:rPr>
                <w:spacing w:val="-2"/>
                <w:sz w:val="22"/>
              </w:rPr>
              <w:t> </w:t>
            </w:r>
            <w:r>
              <w:rPr>
                <w:sz w:val="22"/>
              </w:rPr>
              <w:t>de</w:t>
            </w:r>
            <w:r>
              <w:rPr>
                <w:spacing w:val="-2"/>
                <w:sz w:val="22"/>
              </w:rPr>
              <w:t> </w:t>
            </w:r>
            <w:r>
              <w:rPr>
                <w:sz w:val="22"/>
              </w:rPr>
              <w:t>la</w:t>
            </w:r>
            <w:r>
              <w:rPr>
                <w:spacing w:val="-4"/>
                <w:sz w:val="22"/>
              </w:rPr>
              <w:t> </w:t>
            </w:r>
            <w:r>
              <w:rPr>
                <w:sz w:val="22"/>
              </w:rPr>
              <w:t>línea</w:t>
            </w:r>
            <w:r>
              <w:rPr>
                <w:spacing w:val="-2"/>
                <w:sz w:val="22"/>
              </w:rPr>
              <w:t> </w:t>
            </w:r>
            <w:r>
              <w:rPr>
                <w:sz w:val="22"/>
              </w:rPr>
              <w:t>de</w:t>
            </w:r>
            <w:r>
              <w:rPr>
                <w:spacing w:val="-4"/>
                <w:sz w:val="22"/>
              </w:rPr>
              <w:t> </w:t>
            </w:r>
            <w:r>
              <w:rPr>
                <w:sz w:val="22"/>
              </w:rPr>
              <w:t>la</w:t>
            </w:r>
            <w:r>
              <w:rPr>
                <w:spacing w:val="-4"/>
                <w:sz w:val="22"/>
              </w:rPr>
              <w:t> </w:t>
            </w:r>
            <w:r>
              <w:rPr>
                <w:sz w:val="22"/>
              </w:rPr>
              <w:t>columna</w:t>
            </w:r>
            <w:r>
              <w:rPr>
                <w:spacing w:val="-2"/>
                <w:sz w:val="22"/>
              </w:rPr>
              <w:t> vertebral.</w:t>
            </w:r>
          </w:p>
        </w:tc>
      </w:tr>
      <w:tr>
        <w:trPr>
          <w:trHeight w:val="1603" w:hRule="atLeast"/>
        </w:trPr>
        <w:tc>
          <w:tcPr>
            <w:tcW w:w="2743" w:type="dxa"/>
          </w:tcPr>
          <w:p>
            <w:pPr>
              <w:pStyle w:val="TableParagraph"/>
              <w:spacing w:before="216"/>
              <w:ind w:left="14"/>
              <w:rPr>
                <w:b/>
                <w:sz w:val="22"/>
              </w:rPr>
            </w:pPr>
            <w:r>
              <w:rPr>
                <w:b/>
                <w:spacing w:val="-4"/>
                <w:sz w:val="22"/>
              </w:rPr>
              <w:t>Comportamiento</w:t>
            </w:r>
            <w:r>
              <w:rPr>
                <w:b/>
                <w:spacing w:val="15"/>
                <w:sz w:val="22"/>
              </w:rPr>
              <w:t> </w:t>
            </w:r>
            <w:r>
              <w:rPr>
                <w:b/>
                <w:spacing w:val="-2"/>
                <w:sz w:val="22"/>
              </w:rPr>
              <w:t>interactivo</w:t>
            </w:r>
          </w:p>
        </w:tc>
        <w:tc>
          <w:tcPr>
            <w:tcW w:w="5206" w:type="dxa"/>
          </w:tcPr>
          <w:p>
            <w:pPr>
              <w:pStyle w:val="TableParagraph"/>
              <w:spacing w:before="216"/>
              <w:ind w:left="94" w:right="1"/>
              <w:jc w:val="both"/>
              <w:rPr>
                <w:sz w:val="22"/>
              </w:rPr>
            </w:pPr>
            <w:r>
              <w:rPr>
                <w:sz w:val="22"/>
              </w:rPr>
              <w:t>(0) Activo; atención a estímulos ambientales táctiles y/o visuales</w:t>
            </w:r>
            <w:r>
              <w:rPr>
                <w:spacing w:val="-9"/>
                <w:sz w:val="22"/>
              </w:rPr>
              <w:t> </w:t>
            </w:r>
            <w:r>
              <w:rPr>
                <w:sz w:val="22"/>
              </w:rPr>
              <w:t>y/o</w:t>
            </w:r>
            <w:r>
              <w:rPr>
                <w:spacing w:val="-12"/>
                <w:sz w:val="22"/>
              </w:rPr>
              <w:t> </w:t>
            </w:r>
            <w:r>
              <w:rPr>
                <w:sz w:val="22"/>
              </w:rPr>
              <w:t>audibles;</w:t>
            </w:r>
            <w:r>
              <w:rPr>
                <w:spacing w:val="-11"/>
                <w:sz w:val="22"/>
              </w:rPr>
              <w:t> </w:t>
            </w:r>
            <w:r>
              <w:rPr>
                <w:sz w:val="22"/>
              </w:rPr>
              <w:t>cuando</w:t>
            </w:r>
            <w:r>
              <w:rPr>
                <w:spacing w:val="-12"/>
                <w:sz w:val="22"/>
              </w:rPr>
              <w:t> </w:t>
            </w:r>
            <w:r>
              <w:rPr>
                <w:sz w:val="22"/>
              </w:rPr>
              <w:t>está</w:t>
            </w:r>
            <w:r>
              <w:rPr>
                <w:spacing w:val="-14"/>
                <w:sz w:val="22"/>
              </w:rPr>
              <w:t> </w:t>
            </w:r>
            <w:r>
              <w:rPr>
                <w:sz w:val="22"/>
              </w:rPr>
              <w:t>cerca de</w:t>
            </w:r>
            <w:r>
              <w:rPr>
                <w:spacing w:val="-13"/>
                <w:sz w:val="22"/>
              </w:rPr>
              <w:t> </w:t>
            </w:r>
            <w:r>
              <w:rPr>
                <w:sz w:val="22"/>
              </w:rPr>
              <w:t>otros</w:t>
            </w:r>
            <w:r>
              <w:rPr>
                <w:spacing w:val="-14"/>
                <w:sz w:val="22"/>
              </w:rPr>
              <w:t> </w:t>
            </w:r>
            <w:r>
              <w:rPr>
                <w:sz w:val="22"/>
              </w:rPr>
              <w:t>animales, puede interactuar y/o acompañar al grupo. (1) Apático: puede</w:t>
            </w:r>
            <w:r>
              <w:rPr>
                <w:spacing w:val="-10"/>
                <w:sz w:val="22"/>
              </w:rPr>
              <w:t> </w:t>
            </w:r>
            <w:r>
              <w:rPr>
                <w:sz w:val="22"/>
              </w:rPr>
              <w:t>permanecer</w:t>
            </w:r>
            <w:r>
              <w:rPr>
                <w:spacing w:val="-9"/>
                <w:sz w:val="22"/>
              </w:rPr>
              <w:t> </w:t>
            </w:r>
            <w:r>
              <w:rPr>
                <w:sz w:val="22"/>
              </w:rPr>
              <w:t>cerca</w:t>
            </w:r>
            <w:r>
              <w:rPr>
                <w:spacing w:val="-10"/>
                <w:sz w:val="22"/>
              </w:rPr>
              <w:t> </w:t>
            </w:r>
            <w:r>
              <w:rPr>
                <w:sz w:val="22"/>
              </w:rPr>
              <w:t>de</w:t>
            </w:r>
            <w:r>
              <w:rPr>
                <w:spacing w:val="-12"/>
                <w:sz w:val="22"/>
              </w:rPr>
              <w:t> </w:t>
            </w:r>
            <w:r>
              <w:rPr>
                <w:sz w:val="22"/>
              </w:rPr>
              <w:t>otros</w:t>
            </w:r>
            <w:r>
              <w:rPr>
                <w:spacing w:val="-9"/>
                <w:sz w:val="22"/>
              </w:rPr>
              <w:t> </w:t>
            </w:r>
            <w:r>
              <w:rPr>
                <w:sz w:val="22"/>
              </w:rPr>
              <w:t>animales,</w:t>
            </w:r>
            <w:r>
              <w:rPr>
                <w:spacing w:val="-10"/>
                <w:sz w:val="22"/>
              </w:rPr>
              <w:t> </w:t>
            </w:r>
            <w:r>
              <w:rPr>
                <w:sz w:val="22"/>
              </w:rPr>
              <w:t>pero</w:t>
            </w:r>
            <w:r>
              <w:rPr>
                <w:spacing w:val="-13"/>
                <w:sz w:val="22"/>
              </w:rPr>
              <w:t> </w:t>
            </w:r>
            <w:r>
              <w:rPr>
                <w:sz w:val="22"/>
              </w:rPr>
              <w:t>interactúa al estímulo.</w:t>
            </w:r>
          </w:p>
        </w:tc>
      </w:tr>
      <w:tr>
        <w:trPr>
          <w:trHeight w:val="1235" w:hRule="atLeast"/>
        </w:trPr>
        <w:tc>
          <w:tcPr>
            <w:tcW w:w="2743" w:type="dxa"/>
          </w:tcPr>
          <w:p>
            <w:pPr>
              <w:pStyle w:val="TableParagraph"/>
              <w:spacing w:before="112"/>
              <w:ind w:left="14"/>
              <w:rPr>
                <w:b/>
                <w:sz w:val="22"/>
              </w:rPr>
            </w:pPr>
            <w:r>
              <w:rPr>
                <w:b/>
                <w:spacing w:val="-2"/>
                <w:sz w:val="22"/>
              </w:rPr>
              <w:t>Actividad</w:t>
            </w:r>
          </w:p>
        </w:tc>
        <w:tc>
          <w:tcPr>
            <w:tcW w:w="5206" w:type="dxa"/>
          </w:tcPr>
          <w:p>
            <w:pPr>
              <w:pStyle w:val="TableParagraph"/>
              <w:spacing w:before="112"/>
              <w:ind w:left="94" w:right="3"/>
              <w:jc w:val="both"/>
              <w:rPr>
                <w:sz w:val="22"/>
              </w:rPr>
            </w:pPr>
            <w:r>
              <w:rPr>
                <w:sz w:val="22"/>
              </w:rPr>
              <w:t>(0)</w:t>
            </w:r>
            <w:r>
              <w:rPr>
                <w:spacing w:val="-5"/>
                <w:sz w:val="22"/>
              </w:rPr>
              <w:t> </w:t>
            </w:r>
            <w:r>
              <w:rPr>
                <w:sz w:val="22"/>
              </w:rPr>
              <w:t>Se</w:t>
            </w:r>
            <w:r>
              <w:rPr>
                <w:spacing w:val="-3"/>
                <w:sz w:val="22"/>
              </w:rPr>
              <w:t> </w:t>
            </w:r>
            <w:r>
              <w:rPr>
                <w:sz w:val="22"/>
              </w:rPr>
              <w:t>mueve</w:t>
            </w:r>
            <w:r>
              <w:rPr>
                <w:spacing w:val="-1"/>
                <w:sz w:val="22"/>
              </w:rPr>
              <w:t> </w:t>
            </w:r>
            <w:r>
              <w:rPr>
                <w:sz w:val="22"/>
              </w:rPr>
              <w:t>normalmente</w:t>
            </w:r>
            <w:r>
              <w:rPr>
                <w:spacing w:val="-5"/>
                <w:sz w:val="22"/>
              </w:rPr>
              <w:t> </w:t>
            </w:r>
            <w:r>
              <w:rPr>
                <w:sz w:val="22"/>
              </w:rPr>
              <w:t>(1)</w:t>
            </w:r>
            <w:r>
              <w:rPr>
                <w:spacing w:val="-5"/>
                <w:sz w:val="22"/>
              </w:rPr>
              <w:t> </w:t>
            </w:r>
            <w:r>
              <w:rPr>
                <w:sz w:val="22"/>
              </w:rPr>
              <w:t>Inquieto,</w:t>
            </w:r>
            <w:r>
              <w:rPr>
                <w:spacing w:val="-6"/>
                <w:sz w:val="22"/>
              </w:rPr>
              <w:t> </w:t>
            </w:r>
            <w:r>
              <w:rPr>
                <w:sz w:val="22"/>
              </w:rPr>
              <w:t>se</w:t>
            </w:r>
            <w:r>
              <w:rPr>
                <w:spacing w:val="-5"/>
                <w:sz w:val="22"/>
              </w:rPr>
              <w:t> </w:t>
            </w:r>
            <w:r>
              <w:rPr>
                <w:sz w:val="22"/>
              </w:rPr>
              <w:t>mueve más</w:t>
            </w:r>
            <w:r>
              <w:rPr>
                <w:spacing w:val="-2"/>
                <w:sz w:val="22"/>
              </w:rPr>
              <w:t> </w:t>
            </w:r>
            <w:r>
              <w:rPr>
                <w:sz w:val="22"/>
              </w:rPr>
              <w:t>de lo normal, se acuesta y se levanta con frecuencia o se mueve con menos</w:t>
            </w:r>
            <w:r>
              <w:rPr>
                <w:spacing w:val="-1"/>
                <w:sz w:val="22"/>
              </w:rPr>
              <w:t> </w:t>
            </w:r>
            <w:r>
              <w:rPr>
                <w:sz w:val="22"/>
              </w:rPr>
              <w:t>frecuencia</w:t>
            </w:r>
            <w:r>
              <w:rPr>
                <w:spacing w:val="-2"/>
                <w:sz w:val="22"/>
              </w:rPr>
              <w:t> </w:t>
            </w:r>
            <w:r>
              <w:rPr>
                <w:sz w:val="22"/>
              </w:rPr>
              <w:t>en</w:t>
            </w:r>
            <w:r>
              <w:rPr>
                <w:spacing w:val="-2"/>
                <w:sz w:val="22"/>
              </w:rPr>
              <w:t> </w:t>
            </w:r>
            <w:r>
              <w:rPr>
                <w:sz w:val="22"/>
              </w:rPr>
              <w:t>el</w:t>
            </w:r>
            <w:r>
              <w:rPr>
                <w:spacing w:val="-1"/>
                <w:sz w:val="22"/>
              </w:rPr>
              <w:t> </w:t>
            </w:r>
            <w:r>
              <w:rPr>
                <w:sz w:val="22"/>
              </w:rPr>
              <w:t>pasto</w:t>
            </w:r>
            <w:r>
              <w:rPr>
                <w:spacing w:val="-2"/>
                <w:sz w:val="22"/>
              </w:rPr>
              <w:t> </w:t>
            </w:r>
            <w:r>
              <w:rPr>
                <w:sz w:val="22"/>
              </w:rPr>
              <w:t>o</w:t>
            </w:r>
            <w:r>
              <w:rPr>
                <w:spacing w:val="-2"/>
                <w:sz w:val="22"/>
              </w:rPr>
              <w:t> </w:t>
            </w:r>
            <w:r>
              <w:rPr>
                <w:sz w:val="22"/>
              </w:rPr>
              <w:t>solo cuando</w:t>
            </w:r>
            <w:r>
              <w:rPr>
                <w:spacing w:val="-2"/>
                <w:sz w:val="22"/>
              </w:rPr>
              <w:t> </w:t>
            </w:r>
            <w:r>
              <w:rPr>
                <w:sz w:val="22"/>
              </w:rPr>
              <w:t>es </w:t>
            </w:r>
            <w:r>
              <w:rPr>
                <w:spacing w:val="-2"/>
                <w:sz w:val="22"/>
              </w:rPr>
              <w:t>estimulado.</w:t>
            </w:r>
          </w:p>
        </w:tc>
      </w:tr>
      <w:tr>
        <w:trPr>
          <w:trHeight w:val="430" w:hRule="atLeast"/>
        </w:trPr>
        <w:tc>
          <w:tcPr>
            <w:tcW w:w="2743" w:type="dxa"/>
          </w:tcPr>
          <w:p>
            <w:pPr>
              <w:pStyle w:val="TableParagraph"/>
              <w:spacing w:before="102"/>
              <w:ind w:left="14"/>
              <w:rPr>
                <w:b/>
                <w:sz w:val="22"/>
              </w:rPr>
            </w:pPr>
            <w:r>
              <w:rPr>
                <w:b/>
                <w:spacing w:val="-2"/>
                <w:sz w:val="22"/>
              </w:rPr>
              <w:t>Apetito</w:t>
            </w:r>
          </w:p>
        </w:tc>
        <w:tc>
          <w:tcPr>
            <w:tcW w:w="5206" w:type="dxa"/>
          </w:tcPr>
          <w:p>
            <w:pPr>
              <w:pStyle w:val="TableParagraph"/>
              <w:spacing w:before="102"/>
              <w:ind w:left="94"/>
              <w:rPr>
                <w:sz w:val="22"/>
              </w:rPr>
            </w:pPr>
            <w:r>
              <w:rPr>
                <w:sz w:val="22"/>
              </w:rPr>
              <w:t>(0)</w:t>
            </w:r>
            <w:r>
              <w:rPr>
                <w:spacing w:val="-8"/>
                <w:sz w:val="22"/>
              </w:rPr>
              <w:t> </w:t>
            </w:r>
            <w:r>
              <w:rPr>
                <w:sz w:val="22"/>
              </w:rPr>
              <w:t>Normorexia</w:t>
            </w:r>
            <w:r>
              <w:rPr>
                <w:spacing w:val="-3"/>
                <w:sz w:val="22"/>
              </w:rPr>
              <w:t> </w:t>
            </w:r>
            <w:r>
              <w:rPr>
                <w:sz w:val="22"/>
              </w:rPr>
              <w:t>(1)</w:t>
            </w:r>
            <w:r>
              <w:rPr>
                <w:spacing w:val="-4"/>
                <w:sz w:val="22"/>
              </w:rPr>
              <w:t> </w:t>
            </w:r>
            <w:r>
              <w:rPr>
                <w:spacing w:val="-2"/>
                <w:sz w:val="22"/>
              </w:rPr>
              <w:t>Anorexia.</w:t>
            </w:r>
          </w:p>
        </w:tc>
      </w:tr>
      <w:tr>
        <w:trPr>
          <w:trHeight w:val="396" w:hRule="atLeast"/>
        </w:trPr>
        <w:tc>
          <w:tcPr>
            <w:tcW w:w="2743" w:type="dxa"/>
          </w:tcPr>
          <w:p>
            <w:pPr>
              <w:pStyle w:val="TableParagraph"/>
              <w:spacing w:before="67"/>
              <w:ind w:left="14"/>
              <w:rPr>
                <w:b/>
                <w:sz w:val="22"/>
              </w:rPr>
            </w:pPr>
            <w:r>
              <w:rPr>
                <w:b/>
                <w:spacing w:val="-2"/>
                <w:sz w:val="22"/>
              </w:rPr>
              <w:t>Rumia</w:t>
            </w:r>
          </w:p>
        </w:tc>
        <w:tc>
          <w:tcPr>
            <w:tcW w:w="5206" w:type="dxa"/>
          </w:tcPr>
          <w:p>
            <w:pPr>
              <w:pStyle w:val="TableParagraph"/>
              <w:spacing w:before="67"/>
              <w:ind w:left="94"/>
              <w:rPr>
                <w:sz w:val="22"/>
              </w:rPr>
            </w:pPr>
            <w:r>
              <w:rPr>
                <w:sz w:val="22"/>
              </w:rPr>
              <w:t>(0)</w:t>
            </w:r>
            <w:r>
              <w:rPr>
                <w:spacing w:val="-5"/>
                <w:sz w:val="22"/>
              </w:rPr>
              <w:t> </w:t>
            </w:r>
            <w:r>
              <w:rPr>
                <w:sz w:val="22"/>
              </w:rPr>
              <w:t>Ausente</w:t>
            </w:r>
            <w:r>
              <w:rPr>
                <w:spacing w:val="-5"/>
                <w:sz w:val="22"/>
              </w:rPr>
              <w:t> </w:t>
            </w:r>
            <w:r>
              <w:rPr>
                <w:sz w:val="22"/>
              </w:rPr>
              <w:t>(1)</w:t>
            </w:r>
            <w:r>
              <w:rPr>
                <w:spacing w:val="-3"/>
                <w:sz w:val="22"/>
              </w:rPr>
              <w:t> </w:t>
            </w:r>
            <w:r>
              <w:rPr>
                <w:spacing w:val="-2"/>
                <w:sz w:val="22"/>
              </w:rPr>
              <w:t>Presente.</w:t>
            </w:r>
          </w:p>
        </w:tc>
      </w:tr>
      <w:tr>
        <w:trPr>
          <w:trHeight w:val="1327" w:hRule="atLeast"/>
        </w:trPr>
        <w:tc>
          <w:tcPr>
            <w:tcW w:w="2743" w:type="dxa"/>
          </w:tcPr>
          <w:p>
            <w:pPr>
              <w:pStyle w:val="TableParagraph"/>
              <w:spacing w:before="67"/>
              <w:ind w:left="14"/>
              <w:rPr>
                <w:b/>
                <w:sz w:val="22"/>
              </w:rPr>
            </w:pPr>
            <w:r>
              <w:rPr>
                <w:b/>
                <w:spacing w:val="-2"/>
                <w:sz w:val="22"/>
              </w:rPr>
              <w:t>Locomoción</w:t>
            </w:r>
          </w:p>
        </w:tc>
        <w:tc>
          <w:tcPr>
            <w:tcW w:w="5206" w:type="dxa"/>
          </w:tcPr>
          <w:p>
            <w:pPr>
              <w:pStyle w:val="TableParagraph"/>
              <w:spacing w:before="67"/>
              <w:ind w:left="94" w:right="3"/>
              <w:jc w:val="both"/>
              <w:rPr>
                <w:sz w:val="22"/>
              </w:rPr>
            </w:pPr>
            <w:r>
              <w:rPr>
                <w:sz w:val="22"/>
              </w:rPr>
              <w:t>(0)</w:t>
            </w:r>
            <w:r>
              <w:rPr>
                <w:spacing w:val="-1"/>
                <w:sz w:val="22"/>
              </w:rPr>
              <w:t> </w:t>
            </w:r>
            <w:r>
              <w:rPr>
                <w:sz w:val="22"/>
              </w:rPr>
              <w:t>Caminar</w:t>
            </w:r>
            <w:r>
              <w:rPr>
                <w:spacing w:val="-1"/>
                <w:sz w:val="22"/>
              </w:rPr>
              <w:t> </w:t>
            </w:r>
            <w:r>
              <w:rPr>
                <w:sz w:val="22"/>
              </w:rPr>
              <w:t>sin</w:t>
            </w:r>
            <w:r>
              <w:rPr>
                <w:spacing w:val="-2"/>
                <w:sz w:val="22"/>
              </w:rPr>
              <w:t> </w:t>
            </w:r>
            <w:r>
              <w:rPr>
                <w:sz w:val="22"/>
              </w:rPr>
              <w:t>marcha</w:t>
            </w:r>
            <w:r>
              <w:rPr>
                <w:spacing w:val="-1"/>
                <w:sz w:val="22"/>
              </w:rPr>
              <w:t> </w:t>
            </w:r>
            <w:r>
              <w:rPr>
                <w:sz w:val="22"/>
              </w:rPr>
              <w:t>obviamente anormal (1) Caminar con</w:t>
            </w:r>
            <w:r>
              <w:rPr>
                <w:spacing w:val="-14"/>
                <w:sz w:val="22"/>
              </w:rPr>
              <w:t> </w:t>
            </w:r>
            <w:r>
              <w:rPr>
                <w:sz w:val="22"/>
              </w:rPr>
              <w:t>restricción,</w:t>
            </w:r>
            <w:r>
              <w:rPr>
                <w:spacing w:val="-14"/>
                <w:sz w:val="22"/>
              </w:rPr>
              <w:t> </w:t>
            </w:r>
            <w:r>
              <w:rPr>
                <w:sz w:val="22"/>
              </w:rPr>
              <w:t>puede</w:t>
            </w:r>
            <w:r>
              <w:rPr>
                <w:spacing w:val="-14"/>
                <w:sz w:val="22"/>
              </w:rPr>
              <w:t> </w:t>
            </w:r>
            <w:r>
              <w:rPr>
                <w:sz w:val="22"/>
              </w:rPr>
              <w:t>ser</w:t>
            </w:r>
            <w:r>
              <w:rPr>
                <w:spacing w:val="-13"/>
                <w:sz w:val="22"/>
              </w:rPr>
              <w:t> </w:t>
            </w:r>
            <w:r>
              <w:rPr>
                <w:sz w:val="22"/>
              </w:rPr>
              <w:t>con</w:t>
            </w:r>
            <w:r>
              <w:rPr>
                <w:spacing w:val="-14"/>
                <w:sz w:val="22"/>
              </w:rPr>
              <w:t> </w:t>
            </w:r>
            <w:r>
              <w:rPr>
                <w:sz w:val="22"/>
              </w:rPr>
              <w:t>la</w:t>
            </w:r>
            <w:r>
              <w:rPr>
                <w:spacing w:val="-14"/>
                <w:sz w:val="22"/>
              </w:rPr>
              <w:t> </w:t>
            </w:r>
            <w:r>
              <w:rPr>
                <w:sz w:val="22"/>
              </w:rPr>
              <w:t>espalda</w:t>
            </w:r>
            <w:r>
              <w:rPr>
                <w:spacing w:val="-14"/>
                <w:sz w:val="22"/>
              </w:rPr>
              <w:t> </w:t>
            </w:r>
            <w:r>
              <w:rPr>
                <w:sz w:val="22"/>
              </w:rPr>
              <w:t>encorvada</w:t>
            </w:r>
            <w:r>
              <w:rPr>
                <w:spacing w:val="-13"/>
                <w:sz w:val="22"/>
              </w:rPr>
              <w:t> </w:t>
            </w:r>
            <w:r>
              <w:rPr>
                <w:sz w:val="22"/>
              </w:rPr>
              <w:t>y/o</w:t>
            </w:r>
            <w:r>
              <w:rPr>
                <w:spacing w:val="-14"/>
                <w:sz w:val="22"/>
              </w:rPr>
              <w:t> </w:t>
            </w:r>
            <w:r>
              <w:rPr>
                <w:sz w:val="22"/>
              </w:rPr>
              <w:t>con pasos cortos o es reacio a ponerse de pie, se levanta con dificultad o no camina.</w:t>
            </w:r>
          </w:p>
        </w:tc>
      </w:tr>
      <w:tr>
        <w:trPr>
          <w:trHeight w:val="833" w:hRule="atLeast"/>
        </w:trPr>
        <w:tc>
          <w:tcPr>
            <w:tcW w:w="2743" w:type="dxa"/>
          </w:tcPr>
          <w:p>
            <w:pPr>
              <w:pStyle w:val="TableParagraph"/>
              <w:spacing w:before="240"/>
              <w:ind w:left="14"/>
              <w:rPr>
                <w:b/>
                <w:sz w:val="22"/>
              </w:rPr>
            </w:pPr>
            <w:r>
              <w:rPr>
                <w:b/>
                <w:sz w:val="22"/>
              </w:rPr>
              <w:t>Comportamientos</w:t>
            </w:r>
            <w:r>
              <w:rPr>
                <w:b/>
                <w:spacing w:val="-11"/>
                <w:sz w:val="22"/>
              </w:rPr>
              <w:t> </w:t>
            </w:r>
            <w:r>
              <w:rPr>
                <w:b/>
                <w:spacing w:val="-2"/>
                <w:sz w:val="22"/>
              </w:rPr>
              <w:t>varios</w:t>
            </w:r>
          </w:p>
        </w:tc>
        <w:tc>
          <w:tcPr>
            <w:tcW w:w="5206" w:type="dxa"/>
          </w:tcPr>
          <w:p>
            <w:pPr>
              <w:pStyle w:val="TableParagraph"/>
              <w:spacing w:line="252" w:lineRule="exact" w:before="240"/>
              <w:ind w:left="94"/>
              <w:rPr>
                <w:sz w:val="22"/>
              </w:rPr>
            </w:pPr>
            <w:r>
              <w:rPr>
                <w:sz w:val="22"/>
              </w:rPr>
              <w:t>Moviendo</w:t>
            </w:r>
            <w:r>
              <w:rPr>
                <w:spacing w:val="-12"/>
                <w:sz w:val="22"/>
              </w:rPr>
              <w:t> </w:t>
            </w:r>
            <w:r>
              <w:rPr>
                <w:sz w:val="22"/>
              </w:rPr>
              <w:t>la</w:t>
            </w:r>
            <w:r>
              <w:rPr>
                <w:spacing w:val="-9"/>
                <w:sz w:val="22"/>
              </w:rPr>
              <w:t> </w:t>
            </w:r>
            <w:r>
              <w:rPr>
                <w:sz w:val="22"/>
              </w:rPr>
              <w:t>cola</w:t>
            </w:r>
            <w:r>
              <w:rPr>
                <w:spacing w:val="-9"/>
                <w:sz w:val="22"/>
              </w:rPr>
              <w:t> </w:t>
            </w:r>
            <w:r>
              <w:rPr>
                <w:sz w:val="22"/>
              </w:rPr>
              <w:t>de</w:t>
            </w:r>
            <w:r>
              <w:rPr>
                <w:spacing w:val="-12"/>
                <w:sz w:val="22"/>
              </w:rPr>
              <w:t> </w:t>
            </w:r>
            <w:r>
              <w:rPr>
                <w:sz w:val="22"/>
              </w:rPr>
              <w:t>forma</w:t>
            </w:r>
            <w:r>
              <w:rPr>
                <w:spacing w:val="-9"/>
                <w:sz w:val="22"/>
              </w:rPr>
              <w:t> </w:t>
            </w:r>
            <w:r>
              <w:rPr>
                <w:sz w:val="22"/>
              </w:rPr>
              <w:t>abrupta</w:t>
            </w:r>
            <w:r>
              <w:rPr>
                <w:spacing w:val="-9"/>
                <w:sz w:val="22"/>
              </w:rPr>
              <w:t> </w:t>
            </w:r>
            <w:r>
              <w:rPr>
                <w:sz w:val="22"/>
              </w:rPr>
              <w:t>y</w:t>
            </w:r>
            <w:r>
              <w:rPr>
                <w:spacing w:val="-12"/>
                <w:sz w:val="22"/>
              </w:rPr>
              <w:t> </w:t>
            </w:r>
            <w:r>
              <w:rPr>
                <w:sz w:val="22"/>
              </w:rPr>
              <w:t>repetida.</w:t>
            </w:r>
            <w:r>
              <w:rPr>
                <w:spacing w:val="-9"/>
                <w:sz w:val="22"/>
              </w:rPr>
              <w:t> </w:t>
            </w:r>
            <w:r>
              <w:rPr>
                <w:sz w:val="22"/>
              </w:rPr>
              <w:t>(0)</w:t>
            </w:r>
            <w:r>
              <w:rPr>
                <w:spacing w:val="-8"/>
                <w:sz w:val="22"/>
              </w:rPr>
              <w:t> </w:t>
            </w:r>
            <w:r>
              <w:rPr>
                <w:spacing w:val="-2"/>
                <w:sz w:val="22"/>
              </w:rPr>
              <w:t>Ausente</w:t>
            </w:r>
          </w:p>
          <w:p>
            <w:pPr>
              <w:pStyle w:val="TableParagraph"/>
              <w:spacing w:line="252" w:lineRule="exact"/>
              <w:ind w:left="94"/>
              <w:rPr>
                <w:sz w:val="22"/>
              </w:rPr>
            </w:pPr>
            <w:r>
              <w:rPr>
                <w:sz w:val="22"/>
              </w:rPr>
              <w:t>(1) </w:t>
            </w:r>
            <w:r>
              <w:rPr>
                <w:spacing w:val="-2"/>
                <w:sz w:val="22"/>
              </w:rPr>
              <w:t>Presente.</w:t>
            </w:r>
          </w:p>
        </w:tc>
      </w:tr>
      <w:tr>
        <w:trPr>
          <w:trHeight w:val="810" w:hRule="atLeast"/>
        </w:trPr>
        <w:tc>
          <w:tcPr>
            <w:tcW w:w="2743" w:type="dxa"/>
          </w:tcPr>
          <w:p>
            <w:pPr>
              <w:pStyle w:val="TableParagraph"/>
              <w:rPr>
                <w:sz w:val="22"/>
              </w:rPr>
            </w:pPr>
          </w:p>
        </w:tc>
        <w:tc>
          <w:tcPr>
            <w:tcW w:w="5206" w:type="dxa"/>
          </w:tcPr>
          <w:p>
            <w:pPr>
              <w:pStyle w:val="TableParagraph"/>
              <w:spacing w:before="79"/>
              <w:ind w:left="94"/>
              <w:rPr>
                <w:sz w:val="22"/>
              </w:rPr>
            </w:pPr>
            <w:r>
              <w:rPr>
                <w:sz w:val="22"/>
              </w:rPr>
              <w:t>Extiende el cuello y el cuerpo hacia adelante cuando está acostado en decúbito ventral. (0) Ausente (1) Presente.</w:t>
            </w:r>
          </w:p>
        </w:tc>
      </w:tr>
      <w:tr>
        <w:trPr>
          <w:trHeight w:val="808" w:hRule="atLeast"/>
        </w:trPr>
        <w:tc>
          <w:tcPr>
            <w:tcW w:w="2743" w:type="dxa"/>
          </w:tcPr>
          <w:p>
            <w:pPr>
              <w:pStyle w:val="TableParagraph"/>
              <w:rPr>
                <w:sz w:val="22"/>
              </w:rPr>
            </w:pPr>
          </w:p>
        </w:tc>
        <w:tc>
          <w:tcPr>
            <w:tcW w:w="5206" w:type="dxa"/>
          </w:tcPr>
          <w:p>
            <w:pPr>
              <w:pStyle w:val="TableParagraph"/>
              <w:spacing w:line="252" w:lineRule="exact" w:before="217"/>
              <w:ind w:left="94"/>
              <w:rPr>
                <w:sz w:val="22"/>
              </w:rPr>
            </w:pPr>
            <w:r>
              <w:rPr>
                <w:sz w:val="22"/>
              </w:rPr>
              <w:t>Mueve</w:t>
            </w:r>
            <w:r>
              <w:rPr>
                <w:spacing w:val="-7"/>
                <w:sz w:val="22"/>
              </w:rPr>
              <w:t> </w:t>
            </w:r>
            <w:r>
              <w:rPr>
                <w:sz w:val="22"/>
              </w:rPr>
              <w:t>y</w:t>
            </w:r>
            <w:r>
              <w:rPr>
                <w:spacing w:val="-10"/>
                <w:sz w:val="22"/>
              </w:rPr>
              <w:t> </w:t>
            </w:r>
            <w:r>
              <w:rPr>
                <w:sz w:val="22"/>
              </w:rPr>
              <w:t>arquea</w:t>
            </w:r>
            <w:r>
              <w:rPr>
                <w:spacing w:val="-9"/>
                <w:sz w:val="22"/>
              </w:rPr>
              <w:t> </w:t>
            </w:r>
            <w:r>
              <w:rPr>
                <w:sz w:val="22"/>
              </w:rPr>
              <w:t>la</w:t>
            </w:r>
            <w:r>
              <w:rPr>
                <w:spacing w:val="-9"/>
                <w:sz w:val="22"/>
              </w:rPr>
              <w:t> </w:t>
            </w:r>
            <w:r>
              <w:rPr>
                <w:sz w:val="22"/>
              </w:rPr>
              <w:t>espalda</w:t>
            </w:r>
            <w:r>
              <w:rPr>
                <w:spacing w:val="-8"/>
                <w:sz w:val="22"/>
              </w:rPr>
              <w:t> </w:t>
            </w:r>
            <w:r>
              <w:rPr>
                <w:sz w:val="22"/>
              </w:rPr>
              <w:t>cuando</w:t>
            </w:r>
            <w:r>
              <w:rPr>
                <w:spacing w:val="-10"/>
                <w:sz w:val="22"/>
              </w:rPr>
              <w:t> </w:t>
            </w:r>
            <w:r>
              <w:rPr>
                <w:sz w:val="22"/>
              </w:rPr>
              <w:t>está</w:t>
            </w:r>
            <w:r>
              <w:rPr>
                <w:spacing w:val="-9"/>
                <w:sz w:val="22"/>
              </w:rPr>
              <w:t> </w:t>
            </w:r>
            <w:r>
              <w:rPr>
                <w:sz w:val="22"/>
              </w:rPr>
              <w:t>de</w:t>
            </w:r>
            <w:r>
              <w:rPr>
                <w:spacing w:val="-7"/>
                <w:sz w:val="22"/>
              </w:rPr>
              <w:t> </w:t>
            </w:r>
            <w:r>
              <w:rPr>
                <w:sz w:val="22"/>
              </w:rPr>
              <w:t>pie.</w:t>
            </w:r>
            <w:r>
              <w:rPr>
                <w:spacing w:val="-9"/>
                <w:sz w:val="22"/>
              </w:rPr>
              <w:t> </w:t>
            </w:r>
            <w:r>
              <w:rPr>
                <w:sz w:val="22"/>
              </w:rPr>
              <w:t>(0)</w:t>
            </w:r>
            <w:r>
              <w:rPr>
                <w:spacing w:val="-5"/>
                <w:sz w:val="22"/>
              </w:rPr>
              <w:t> </w:t>
            </w:r>
            <w:r>
              <w:rPr>
                <w:spacing w:val="-2"/>
                <w:sz w:val="22"/>
              </w:rPr>
              <w:t>Ausente</w:t>
            </w:r>
          </w:p>
          <w:p>
            <w:pPr>
              <w:pStyle w:val="TableParagraph"/>
              <w:spacing w:line="252" w:lineRule="exact"/>
              <w:ind w:left="94"/>
              <w:rPr>
                <w:sz w:val="22"/>
              </w:rPr>
            </w:pPr>
            <w:r>
              <w:rPr>
                <w:sz w:val="22"/>
              </w:rPr>
              <w:t>(1) </w:t>
            </w:r>
            <w:r>
              <w:rPr>
                <w:spacing w:val="-2"/>
                <w:sz w:val="22"/>
              </w:rPr>
              <w:t>Presente.</w:t>
            </w:r>
          </w:p>
        </w:tc>
      </w:tr>
      <w:tr>
        <w:trPr>
          <w:trHeight w:val="406" w:hRule="atLeast"/>
        </w:trPr>
        <w:tc>
          <w:tcPr>
            <w:tcW w:w="2743" w:type="dxa"/>
          </w:tcPr>
          <w:p>
            <w:pPr>
              <w:pStyle w:val="TableParagraph"/>
              <w:rPr>
                <w:sz w:val="22"/>
              </w:rPr>
            </w:pPr>
          </w:p>
        </w:tc>
        <w:tc>
          <w:tcPr>
            <w:tcW w:w="5206" w:type="dxa"/>
          </w:tcPr>
          <w:p>
            <w:pPr>
              <w:pStyle w:val="TableParagraph"/>
              <w:spacing w:before="78"/>
              <w:ind w:left="94"/>
              <w:rPr>
                <w:sz w:val="22"/>
              </w:rPr>
            </w:pPr>
            <w:r>
              <w:rPr>
                <w:sz w:val="22"/>
              </w:rPr>
              <w:t>Patear/patear</w:t>
            </w:r>
            <w:r>
              <w:rPr>
                <w:spacing w:val="-5"/>
                <w:sz w:val="22"/>
              </w:rPr>
              <w:t> </w:t>
            </w:r>
            <w:r>
              <w:rPr>
                <w:sz w:val="22"/>
              </w:rPr>
              <w:t>con</w:t>
            </w:r>
            <w:r>
              <w:rPr>
                <w:spacing w:val="-3"/>
                <w:sz w:val="22"/>
              </w:rPr>
              <w:t> </w:t>
            </w:r>
            <w:r>
              <w:rPr>
                <w:sz w:val="22"/>
              </w:rPr>
              <w:t>el</w:t>
            </w:r>
            <w:r>
              <w:rPr>
                <w:spacing w:val="-4"/>
                <w:sz w:val="22"/>
              </w:rPr>
              <w:t> </w:t>
            </w:r>
            <w:r>
              <w:rPr>
                <w:sz w:val="22"/>
              </w:rPr>
              <w:t>pie.</w:t>
            </w:r>
            <w:r>
              <w:rPr>
                <w:spacing w:val="-5"/>
                <w:sz w:val="22"/>
              </w:rPr>
              <w:t> </w:t>
            </w:r>
            <w:r>
              <w:rPr>
                <w:sz w:val="22"/>
              </w:rPr>
              <w:t>(0)</w:t>
            </w:r>
            <w:r>
              <w:rPr>
                <w:spacing w:val="-6"/>
                <w:sz w:val="22"/>
              </w:rPr>
              <w:t> </w:t>
            </w:r>
            <w:r>
              <w:rPr>
                <w:sz w:val="22"/>
              </w:rPr>
              <w:t>Ausente</w:t>
            </w:r>
            <w:r>
              <w:rPr>
                <w:spacing w:val="-2"/>
                <w:sz w:val="22"/>
              </w:rPr>
              <w:t> </w:t>
            </w:r>
            <w:r>
              <w:rPr>
                <w:sz w:val="22"/>
              </w:rPr>
              <w:t>(1)</w:t>
            </w:r>
            <w:r>
              <w:rPr>
                <w:spacing w:val="-4"/>
                <w:sz w:val="22"/>
              </w:rPr>
              <w:t> </w:t>
            </w:r>
            <w:r>
              <w:rPr>
                <w:spacing w:val="-2"/>
                <w:sz w:val="22"/>
              </w:rPr>
              <w:t>Presente.</w:t>
            </w:r>
          </w:p>
        </w:tc>
      </w:tr>
      <w:tr>
        <w:trPr>
          <w:trHeight w:val="1011" w:hRule="atLeast"/>
        </w:trPr>
        <w:tc>
          <w:tcPr>
            <w:tcW w:w="2743" w:type="dxa"/>
            <w:tcBorders>
              <w:bottom w:val="single" w:sz="4" w:space="0" w:color="000000"/>
            </w:tcBorders>
          </w:tcPr>
          <w:p>
            <w:pPr>
              <w:pStyle w:val="TableParagraph"/>
              <w:rPr>
                <w:sz w:val="22"/>
              </w:rPr>
            </w:pPr>
          </w:p>
        </w:tc>
        <w:tc>
          <w:tcPr>
            <w:tcW w:w="5206" w:type="dxa"/>
            <w:tcBorders>
              <w:bottom w:val="single" w:sz="4" w:space="0" w:color="000000"/>
            </w:tcBorders>
          </w:tcPr>
          <w:p>
            <w:pPr>
              <w:pStyle w:val="TableParagraph"/>
              <w:spacing w:before="67"/>
              <w:ind w:left="94"/>
              <w:rPr>
                <w:sz w:val="22"/>
              </w:rPr>
            </w:pPr>
            <w:r>
              <w:rPr>
                <w:sz w:val="22"/>
              </w:rPr>
              <w:t>Acostado</w:t>
            </w:r>
            <w:r>
              <w:rPr>
                <w:spacing w:val="-6"/>
                <w:sz w:val="22"/>
              </w:rPr>
              <w:t> </w:t>
            </w:r>
            <w:r>
              <w:rPr>
                <w:sz w:val="22"/>
              </w:rPr>
              <w:t>en</w:t>
            </w:r>
            <w:r>
              <w:rPr>
                <w:spacing w:val="-4"/>
                <w:sz w:val="22"/>
              </w:rPr>
              <w:t> </w:t>
            </w:r>
            <w:r>
              <w:rPr>
                <w:sz w:val="22"/>
              </w:rPr>
              <w:t>decúbito</w:t>
            </w:r>
            <w:r>
              <w:rPr>
                <w:spacing w:val="-4"/>
                <w:sz w:val="22"/>
              </w:rPr>
              <w:t> </w:t>
            </w:r>
            <w:r>
              <w:rPr>
                <w:sz w:val="22"/>
              </w:rPr>
              <w:t>ventral</w:t>
            </w:r>
            <w:r>
              <w:rPr>
                <w:spacing w:val="-4"/>
                <w:sz w:val="22"/>
              </w:rPr>
              <w:t> </w:t>
            </w:r>
            <w:r>
              <w:rPr>
                <w:sz w:val="22"/>
              </w:rPr>
              <w:t>con</w:t>
            </w:r>
            <w:r>
              <w:rPr>
                <w:spacing w:val="-6"/>
                <w:sz w:val="22"/>
              </w:rPr>
              <w:t> </w:t>
            </w:r>
            <w:r>
              <w:rPr>
                <w:sz w:val="22"/>
              </w:rPr>
              <w:t>extensión</w:t>
            </w:r>
            <w:r>
              <w:rPr>
                <w:spacing w:val="-6"/>
                <w:sz w:val="22"/>
              </w:rPr>
              <w:t> </w:t>
            </w:r>
            <w:r>
              <w:rPr>
                <w:sz w:val="22"/>
              </w:rPr>
              <w:t>total</w:t>
            </w:r>
            <w:r>
              <w:rPr>
                <w:spacing w:val="-7"/>
                <w:sz w:val="22"/>
              </w:rPr>
              <w:t> </w:t>
            </w:r>
            <w:r>
              <w:rPr>
                <w:sz w:val="22"/>
              </w:rPr>
              <w:t>o</w:t>
            </w:r>
            <w:r>
              <w:rPr>
                <w:spacing w:val="-1"/>
                <w:sz w:val="22"/>
              </w:rPr>
              <w:t> </w:t>
            </w:r>
            <w:r>
              <w:rPr>
                <w:sz w:val="22"/>
              </w:rPr>
              <w:t>parcial de una o ambas extremidades posteriores.</w:t>
            </w:r>
          </w:p>
          <w:p>
            <w:pPr>
              <w:pStyle w:val="TableParagraph"/>
              <w:ind w:left="94"/>
              <w:rPr>
                <w:sz w:val="22"/>
              </w:rPr>
            </w:pPr>
            <w:r>
              <w:rPr>
                <w:sz w:val="22"/>
              </w:rPr>
              <w:t>(0)</w:t>
            </w:r>
            <w:r>
              <w:rPr>
                <w:spacing w:val="-5"/>
                <w:sz w:val="22"/>
              </w:rPr>
              <w:t> </w:t>
            </w:r>
            <w:r>
              <w:rPr>
                <w:sz w:val="22"/>
              </w:rPr>
              <w:t>Ausente</w:t>
            </w:r>
            <w:r>
              <w:rPr>
                <w:spacing w:val="-5"/>
                <w:sz w:val="22"/>
              </w:rPr>
              <w:t> </w:t>
            </w:r>
            <w:r>
              <w:rPr>
                <w:sz w:val="22"/>
              </w:rPr>
              <w:t>(1)</w:t>
            </w:r>
            <w:r>
              <w:rPr>
                <w:spacing w:val="-3"/>
                <w:sz w:val="22"/>
              </w:rPr>
              <w:t> </w:t>
            </w:r>
            <w:r>
              <w:rPr>
                <w:spacing w:val="-2"/>
                <w:sz w:val="22"/>
              </w:rPr>
              <w:t>Presente</w:t>
            </w:r>
          </w:p>
        </w:tc>
      </w:tr>
    </w:tbl>
    <w:p>
      <w:pPr>
        <w:spacing w:before="7"/>
        <w:ind w:left="1135" w:right="0" w:firstLine="0"/>
        <w:jc w:val="left"/>
        <w:rPr>
          <w:sz w:val="22"/>
        </w:rPr>
      </w:pPr>
      <w:r>
        <w:rPr>
          <w:b/>
          <w:sz w:val="22"/>
        </w:rPr>
        <w:t>Fuente:</w:t>
      </w:r>
      <w:r>
        <w:rPr>
          <w:b/>
          <w:spacing w:val="-2"/>
          <w:sz w:val="22"/>
        </w:rPr>
        <w:t> </w:t>
      </w:r>
      <w:r>
        <w:rPr>
          <w:sz w:val="22"/>
        </w:rPr>
        <w:t>(Trevisan</w:t>
      </w:r>
      <w:r>
        <w:rPr>
          <w:spacing w:val="-3"/>
          <w:sz w:val="22"/>
        </w:rPr>
        <w:t> </w:t>
      </w:r>
      <w:r>
        <w:rPr>
          <w:i/>
          <w:sz w:val="22"/>
        </w:rPr>
        <w:t>et</w:t>
      </w:r>
      <w:r>
        <w:rPr>
          <w:i/>
          <w:spacing w:val="-4"/>
          <w:sz w:val="22"/>
        </w:rPr>
        <w:t> </w:t>
      </w:r>
      <w:r>
        <w:rPr>
          <w:i/>
          <w:sz w:val="22"/>
        </w:rPr>
        <w:t>al</w:t>
      </w:r>
      <w:r>
        <w:rPr>
          <w:sz w:val="22"/>
        </w:rPr>
        <w:t>.,</w:t>
      </w:r>
      <w:r>
        <w:rPr>
          <w:spacing w:val="-4"/>
          <w:sz w:val="22"/>
        </w:rPr>
        <w:t> </w:t>
      </w:r>
      <w:r>
        <w:rPr>
          <w:spacing w:val="-2"/>
          <w:sz w:val="22"/>
        </w:rPr>
        <w:t>2022)</w:t>
      </w:r>
    </w:p>
    <w:p>
      <w:pPr>
        <w:spacing w:after="0"/>
        <w:jc w:val="left"/>
        <w:rPr>
          <w:sz w:val="22"/>
        </w:rPr>
        <w:sectPr>
          <w:pgSz w:w="11900" w:h="16860"/>
          <w:pgMar w:header="0" w:footer="1084" w:top="1620" w:bottom="1280" w:left="1133" w:right="850"/>
        </w:sectPr>
      </w:pPr>
    </w:p>
    <w:p>
      <w:pPr>
        <w:pStyle w:val="Heading2"/>
        <w:numPr>
          <w:ilvl w:val="2"/>
          <w:numId w:val="12"/>
        </w:numPr>
        <w:tabs>
          <w:tab w:pos="1855" w:val="left" w:leader="none"/>
        </w:tabs>
        <w:spacing w:line="240" w:lineRule="auto" w:before="70" w:after="0"/>
        <w:ind w:left="1855" w:right="0" w:hanging="720"/>
        <w:jc w:val="left"/>
      </w:pPr>
      <w:bookmarkStart w:name="_bookmark34" w:id="35"/>
      <w:bookmarkEnd w:id="35"/>
      <w:r>
        <w:rPr>
          <w:b w:val="0"/>
        </w:rPr>
      </w:r>
      <w:r>
        <w:rPr/>
        <w:t>Escala</w:t>
      </w:r>
      <w:r>
        <w:rPr>
          <w:spacing w:val="-7"/>
        </w:rPr>
        <w:t> </w:t>
      </w:r>
      <w:r>
        <w:rPr/>
        <w:t>de</w:t>
      </w:r>
      <w:r>
        <w:rPr>
          <w:spacing w:val="-10"/>
        </w:rPr>
        <w:t> </w:t>
      </w:r>
      <w:r>
        <w:rPr/>
        <w:t>valoración</w:t>
      </w:r>
      <w:r>
        <w:rPr>
          <w:spacing w:val="-7"/>
        </w:rPr>
        <w:t> </w:t>
      </w:r>
      <w:r>
        <w:rPr/>
        <w:t>de</w:t>
      </w:r>
      <w:r>
        <w:rPr>
          <w:spacing w:val="-10"/>
        </w:rPr>
        <w:t> </w:t>
      </w:r>
      <w:r>
        <w:rPr/>
        <w:t>heridas</w:t>
      </w:r>
      <w:r>
        <w:rPr>
          <w:spacing w:val="-8"/>
        </w:rPr>
        <w:t> </w:t>
      </w:r>
      <w:r>
        <w:rPr/>
        <w:t>en</w:t>
      </w:r>
      <w:r>
        <w:rPr>
          <w:spacing w:val="-7"/>
        </w:rPr>
        <w:t> </w:t>
      </w:r>
      <w:r>
        <w:rPr>
          <w:spacing w:val="-2"/>
        </w:rPr>
        <w:t>descorne</w:t>
      </w:r>
    </w:p>
    <w:p>
      <w:pPr>
        <w:pStyle w:val="BodyText"/>
        <w:spacing w:before="101"/>
        <w:ind w:left="0"/>
        <w:rPr>
          <w:b/>
        </w:rPr>
      </w:pPr>
    </w:p>
    <w:p>
      <w:pPr>
        <w:pStyle w:val="Heading3"/>
        <w:spacing w:before="0"/>
      </w:pPr>
      <w:bookmarkStart w:name="_bookmark35" w:id="36"/>
      <w:bookmarkEnd w:id="36"/>
      <w:r>
        <w:rPr>
          <w:b w:val="0"/>
          <w:i w:val="0"/>
        </w:rPr>
      </w:r>
      <w:r>
        <w:rPr/>
        <w:t>Tabla</w:t>
      </w:r>
      <w:r>
        <w:rPr>
          <w:spacing w:val="-1"/>
        </w:rPr>
        <w:t> </w:t>
      </w:r>
      <w:r>
        <w:rPr>
          <w:spacing w:val="-10"/>
        </w:rPr>
        <w:t>2</w:t>
      </w:r>
    </w:p>
    <w:p>
      <w:pPr>
        <w:spacing w:before="140"/>
        <w:ind w:left="1135" w:right="0" w:firstLine="0"/>
        <w:jc w:val="left"/>
        <w:rPr>
          <w:i/>
          <w:sz w:val="24"/>
        </w:rPr>
      </w:pPr>
      <w:r>
        <w:rPr>
          <w:i/>
          <w:sz w:val="24"/>
        </w:rPr>
        <w:t>Escala</w:t>
      </w:r>
      <w:r>
        <w:rPr>
          <w:i/>
          <w:spacing w:val="-3"/>
          <w:sz w:val="24"/>
        </w:rPr>
        <w:t> </w:t>
      </w:r>
      <w:r>
        <w:rPr>
          <w:i/>
          <w:sz w:val="24"/>
        </w:rPr>
        <w:t>de</w:t>
      </w:r>
      <w:r>
        <w:rPr>
          <w:i/>
          <w:spacing w:val="-2"/>
          <w:sz w:val="24"/>
        </w:rPr>
        <w:t> </w:t>
      </w:r>
      <w:r>
        <w:rPr>
          <w:i/>
          <w:sz w:val="24"/>
        </w:rPr>
        <w:t>valoración de</w:t>
      </w:r>
      <w:r>
        <w:rPr>
          <w:i/>
          <w:spacing w:val="-1"/>
          <w:sz w:val="24"/>
        </w:rPr>
        <w:t> </w:t>
      </w:r>
      <w:r>
        <w:rPr>
          <w:i/>
          <w:sz w:val="24"/>
        </w:rPr>
        <w:t>las heridas</w:t>
      </w:r>
      <w:r>
        <w:rPr>
          <w:i/>
          <w:spacing w:val="-1"/>
          <w:sz w:val="24"/>
        </w:rPr>
        <w:t> </w:t>
      </w:r>
      <w:r>
        <w:rPr>
          <w:i/>
          <w:sz w:val="24"/>
        </w:rPr>
        <w:t>en </w:t>
      </w:r>
      <w:r>
        <w:rPr>
          <w:i/>
          <w:spacing w:val="-2"/>
          <w:sz w:val="24"/>
        </w:rPr>
        <w:t>terneros</w:t>
      </w:r>
    </w:p>
    <w:p>
      <w:pPr>
        <w:pStyle w:val="BodyText"/>
        <w:spacing w:before="11"/>
        <w:ind w:left="0"/>
        <w:rPr>
          <w:i/>
          <w:sz w:val="11"/>
        </w:rPr>
      </w:pPr>
    </w:p>
    <w:tbl>
      <w:tblPr>
        <w:tblW w:w="0" w:type="auto"/>
        <w:jc w:val="left"/>
        <w:tblInd w:w="1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38"/>
        <w:gridCol w:w="5610"/>
      </w:tblGrid>
      <w:tr>
        <w:trPr>
          <w:trHeight w:val="626" w:hRule="atLeast"/>
        </w:trPr>
        <w:tc>
          <w:tcPr>
            <w:tcW w:w="2338" w:type="dxa"/>
            <w:tcBorders>
              <w:top w:val="single" w:sz="4" w:space="0" w:color="000000"/>
              <w:bottom w:val="single" w:sz="4" w:space="0" w:color="000000"/>
            </w:tcBorders>
          </w:tcPr>
          <w:p>
            <w:pPr>
              <w:pStyle w:val="TableParagraph"/>
              <w:spacing w:line="275" w:lineRule="exact"/>
              <w:ind w:left="14"/>
              <w:rPr>
                <w:b/>
                <w:sz w:val="24"/>
              </w:rPr>
            </w:pPr>
            <w:r>
              <w:rPr>
                <w:b/>
                <w:color w:val="202020"/>
                <w:spacing w:val="-2"/>
                <w:sz w:val="24"/>
              </w:rPr>
              <w:t>Dominio</w:t>
            </w:r>
          </w:p>
        </w:tc>
        <w:tc>
          <w:tcPr>
            <w:tcW w:w="5610" w:type="dxa"/>
            <w:tcBorders>
              <w:top w:val="single" w:sz="4" w:space="0" w:color="000000"/>
              <w:bottom w:val="single" w:sz="4" w:space="0" w:color="000000"/>
            </w:tcBorders>
          </w:tcPr>
          <w:p>
            <w:pPr>
              <w:pStyle w:val="TableParagraph"/>
              <w:spacing w:line="275" w:lineRule="exact"/>
              <w:rPr>
                <w:b/>
                <w:sz w:val="24"/>
              </w:rPr>
            </w:pPr>
            <w:r>
              <w:rPr>
                <w:b/>
                <w:color w:val="202020"/>
                <w:spacing w:val="-2"/>
                <w:sz w:val="24"/>
              </w:rPr>
              <w:t>Evaluación</w:t>
            </w:r>
          </w:p>
        </w:tc>
      </w:tr>
      <w:tr>
        <w:trPr>
          <w:trHeight w:val="1350" w:hRule="atLeast"/>
        </w:trPr>
        <w:tc>
          <w:tcPr>
            <w:tcW w:w="2338" w:type="dxa"/>
            <w:tcBorders>
              <w:top w:val="single" w:sz="4" w:space="0" w:color="000000"/>
            </w:tcBorders>
          </w:tcPr>
          <w:p>
            <w:pPr>
              <w:pStyle w:val="TableParagraph"/>
              <w:spacing w:before="251"/>
              <w:rPr>
                <w:i/>
                <w:sz w:val="22"/>
              </w:rPr>
            </w:pPr>
          </w:p>
          <w:p>
            <w:pPr>
              <w:pStyle w:val="TableParagraph"/>
              <w:spacing w:before="1"/>
              <w:ind w:left="14"/>
              <w:rPr>
                <w:b/>
                <w:sz w:val="22"/>
              </w:rPr>
            </w:pPr>
            <w:r>
              <w:rPr>
                <w:b/>
                <w:color w:val="202020"/>
                <w:spacing w:val="-2"/>
                <w:sz w:val="22"/>
              </w:rPr>
              <w:t>Bordes</w:t>
            </w:r>
          </w:p>
        </w:tc>
        <w:tc>
          <w:tcPr>
            <w:tcW w:w="5610" w:type="dxa"/>
            <w:tcBorders>
              <w:top w:val="single" w:sz="4" w:space="0" w:color="000000"/>
            </w:tcBorders>
          </w:tcPr>
          <w:p>
            <w:pPr>
              <w:pStyle w:val="TableParagraph"/>
              <w:spacing w:line="251" w:lineRule="exact"/>
              <w:rPr>
                <w:sz w:val="22"/>
              </w:rPr>
            </w:pPr>
            <w:r>
              <w:rPr>
                <w:color w:val="202020"/>
                <w:sz w:val="22"/>
              </w:rPr>
              <w:t>1</w:t>
            </w:r>
            <w:r>
              <w:rPr>
                <w:color w:val="202020"/>
                <w:spacing w:val="-7"/>
                <w:sz w:val="22"/>
              </w:rPr>
              <w:t> </w:t>
            </w:r>
            <w:r>
              <w:rPr>
                <w:color w:val="202020"/>
                <w:sz w:val="22"/>
              </w:rPr>
              <w:t>=</w:t>
            </w:r>
            <w:r>
              <w:rPr>
                <w:color w:val="202020"/>
                <w:spacing w:val="-4"/>
                <w:sz w:val="22"/>
              </w:rPr>
              <w:t> </w:t>
            </w:r>
            <w:r>
              <w:rPr>
                <w:color w:val="202020"/>
                <w:sz w:val="22"/>
              </w:rPr>
              <w:t>Indistinto,</w:t>
            </w:r>
            <w:r>
              <w:rPr>
                <w:color w:val="202020"/>
                <w:spacing w:val="-6"/>
                <w:sz w:val="22"/>
              </w:rPr>
              <w:t> </w:t>
            </w:r>
            <w:r>
              <w:rPr>
                <w:color w:val="202020"/>
                <w:sz w:val="22"/>
              </w:rPr>
              <w:t>difuso,</w:t>
            </w:r>
            <w:r>
              <w:rPr>
                <w:color w:val="202020"/>
                <w:spacing w:val="-6"/>
                <w:sz w:val="22"/>
              </w:rPr>
              <w:t> </w:t>
            </w:r>
            <w:r>
              <w:rPr>
                <w:color w:val="202020"/>
                <w:sz w:val="22"/>
              </w:rPr>
              <w:t>ninguno</w:t>
            </w:r>
            <w:r>
              <w:rPr>
                <w:color w:val="202020"/>
                <w:spacing w:val="-4"/>
                <w:sz w:val="22"/>
              </w:rPr>
              <w:t> </w:t>
            </w:r>
            <w:r>
              <w:rPr>
                <w:color w:val="202020"/>
                <w:sz w:val="22"/>
              </w:rPr>
              <w:t>claramente</w:t>
            </w:r>
            <w:r>
              <w:rPr>
                <w:color w:val="202020"/>
                <w:spacing w:val="-2"/>
                <w:sz w:val="22"/>
              </w:rPr>
              <w:t> visible</w:t>
            </w:r>
          </w:p>
          <w:p>
            <w:pPr>
              <w:pStyle w:val="TableParagraph"/>
              <w:spacing w:line="252" w:lineRule="exact"/>
              <w:rPr>
                <w:sz w:val="22"/>
              </w:rPr>
            </w:pPr>
            <w:r>
              <w:rPr>
                <w:color w:val="202020"/>
                <w:sz w:val="22"/>
              </w:rPr>
              <w:t>2</w:t>
            </w:r>
            <w:r>
              <w:rPr>
                <w:color w:val="202020"/>
                <w:spacing w:val="-7"/>
                <w:sz w:val="22"/>
              </w:rPr>
              <w:t> </w:t>
            </w:r>
            <w:r>
              <w:rPr>
                <w:color w:val="202020"/>
                <w:sz w:val="22"/>
              </w:rPr>
              <w:t>=</w:t>
            </w:r>
            <w:r>
              <w:rPr>
                <w:color w:val="202020"/>
                <w:spacing w:val="-6"/>
                <w:sz w:val="22"/>
              </w:rPr>
              <w:t> </w:t>
            </w:r>
            <w:r>
              <w:rPr>
                <w:color w:val="202020"/>
                <w:sz w:val="22"/>
              </w:rPr>
              <w:t>Distinto,</w:t>
            </w:r>
            <w:r>
              <w:rPr>
                <w:color w:val="202020"/>
                <w:spacing w:val="-6"/>
                <w:sz w:val="22"/>
              </w:rPr>
              <w:t> </w:t>
            </w:r>
            <w:r>
              <w:rPr>
                <w:color w:val="202020"/>
                <w:sz w:val="22"/>
              </w:rPr>
              <w:t>contorno</w:t>
            </w:r>
            <w:r>
              <w:rPr>
                <w:color w:val="202020"/>
                <w:spacing w:val="-4"/>
                <w:sz w:val="22"/>
              </w:rPr>
              <w:t> </w:t>
            </w:r>
            <w:r>
              <w:rPr>
                <w:color w:val="202020"/>
                <w:sz w:val="22"/>
              </w:rPr>
              <w:t>claramente</w:t>
            </w:r>
            <w:r>
              <w:rPr>
                <w:color w:val="202020"/>
                <w:spacing w:val="-5"/>
                <w:sz w:val="22"/>
              </w:rPr>
              <w:t> </w:t>
            </w:r>
            <w:r>
              <w:rPr>
                <w:color w:val="202020"/>
                <w:spacing w:val="-2"/>
                <w:sz w:val="22"/>
              </w:rPr>
              <w:t>visible</w:t>
            </w:r>
          </w:p>
          <w:p>
            <w:pPr>
              <w:pStyle w:val="TableParagraph"/>
              <w:spacing w:line="252" w:lineRule="exact" w:before="1"/>
              <w:rPr>
                <w:sz w:val="22"/>
              </w:rPr>
            </w:pPr>
            <w:r>
              <w:rPr>
                <w:color w:val="202020"/>
                <w:sz w:val="22"/>
              </w:rPr>
              <w:t>3</w:t>
            </w:r>
            <w:r>
              <w:rPr>
                <w:color w:val="202020"/>
                <w:spacing w:val="-4"/>
                <w:sz w:val="22"/>
              </w:rPr>
              <w:t> </w:t>
            </w:r>
            <w:r>
              <w:rPr>
                <w:color w:val="202020"/>
                <w:sz w:val="22"/>
              </w:rPr>
              <w:t>=</w:t>
            </w:r>
            <w:r>
              <w:rPr>
                <w:color w:val="202020"/>
                <w:spacing w:val="-2"/>
                <w:sz w:val="22"/>
              </w:rPr>
              <w:t> </w:t>
            </w:r>
            <w:r>
              <w:rPr>
                <w:color w:val="202020"/>
                <w:sz w:val="22"/>
              </w:rPr>
              <w:t>Bien</w:t>
            </w:r>
            <w:r>
              <w:rPr>
                <w:color w:val="202020"/>
                <w:spacing w:val="-3"/>
                <w:sz w:val="22"/>
              </w:rPr>
              <w:t> </w:t>
            </w:r>
            <w:r>
              <w:rPr>
                <w:color w:val="202020"/>
                <w:sz w:val="22"/>
              </w:rPr>
              <w:t>definido,</w:t>
            </w:r>
            <w:r>
              <w:rPr>
                <w:color w:val="202020"/>
                <w:spacing w:val="-2"/>
                <w:sz w:val="22"/>
              </w:rPr>
              <w:t> </w:t>
            </w:r>
            <w:r>
              <w:rPr>
                <w:color w:val="202020"/>
                <w:sz w:val="22"/>
              </w:rPr>
              <w:t>no</w:t>
            </w:r>
            <w:r>
              <w:rPr>
                <w:color w:val="202020"/>
                <w:spacing w:val="-5"/>
                <w:sz w:val="22"/>
              </w:rPr>
              <w:t> </w:t>
            </w:r>
            <w:r>
              <w:rPr>
                <w:color w:val="202020"/>
                <w:sz w:val="22"/>
              </w:rPr>
              <w:t>adherido</w:t>
            </w:r>
            <w:r>
              <w:rPr>
                <w:color w:val="202020"/>
                <w:spacing w:val="-2"/>
                <w:sz w:val="22"/>
              </w:rPr>
              <w:t> </w:t>
            </w:r>
            <w:r>
              <w:rPr>
                <w:color w:val="202020"/>
                <w:sz w:val="22"/>
              </w:rPr>
              <w:t>a</w:t>
            </w:r>
            <w:r>
              <w:rPr>
                <w:color w:val="202020"/>
                <w:spacing w:val="-4"/>
                <w:sz w:val="22"/>
              </w:rPr>
              <w:t> </w:t>
            </w:r>
            <w:r>
              <w:rPr>
                <w:color w:val="202020"/>
                <w:sz w:val="22"/>
              </w:rPr>
              <w:t>la</w:t>
            </w:r>
            <w:r>
              <w:rPr>
                <w:color w:val="202020"/>
                <w:spacing w:val="-4"/>
                <w:sz w:val="22"/>
              </w:rPr>
              <w:t> </w:t>
            </w:r>
            <w:r>
              <w:rPr>
                <w:color w:val="202020"/>
                <w:sz w:val="22"/>
              </w:rPr>
              <w:t>base de</w:t>
            </w:r>
            <w:r>
              <w:rPr>
                <w:color w:val="202020"/>
                <w:spacing w:val="-4"/>
                <w:sz w:val="22"/>
              </w:rPr>
              <w:t> </w:t>
            </w:r>
            <w:r>
              <w:rPr>
                <w:color w:val="202020"/>
                <w:sz w:val="22"/>
              </w:rPr>
              <w:t>la</w:t>
            </w:r>
            <w:r>
              <w:rPr>
                <w:color w:val="202020"/>
                <w:spacing w:val="-1"/>
                <w:sz w:val="22"/>
              </w:rPr>
              <w:t> </w:t>
            </w:r>
            <w:r>
              <w:rPr>
                <w:color w:val="202020"/>
                <w:spacing w:val="-2"/>
                <w:sz w:val="22"/>
              </w:rPr>
              <w:t>herida</w:t>
            </w:r>
          </w:p>
          <w:p>
            <w:pPr>
              <w:pStyle w:val="TableParagraph"/>
              <w:spacing w:line="252" w:lineRule="exact"/>
              <w:rPr>
                <w:sz w:val="22"/>
              </w:rPr>
            </w:pPr>
            <w:r>
              <w:rPr>
                <w:color w:val="202020"/>
                <w:sz w:val="22"/>
              </w:rPr>
              <w:t>4</w:t>
            </w:r>
            <w:r>
              <w:rPr>
                <w:color w:val="202020"/>
                <w:spacing w:val="-3"/>
                <w:sz w:val="22"/>
              </w:rPr>
              <w:t> </w:t>
            </w:r>
            <w:r>
              <w:rPr>
                <w:color w:val="202020"/>
                <w:sz w:val="22"/>
              </w:rPr>
              <w:t>=</w:t>
            </w:r>
            <w:r>
              <w:rPr>
                <w:color w:val="202020"/>
                <w:spacing w:val="-5"/>
                <w:sz w:val="22"/>
              </w:rPr>
              <w:t> </w:t>
            </w:r>
            <w:r>
              <w:rPr>
                <w:color w:val="202020"/>
                <w:sz w:val="22"/>
              </w:rPr>
              <w:t>Bien</w:t>
            </w:r>
            <w:r>
              <w:rPr>
                <w:color w:val="202020"/>
                <w:spacing w:val="-2"/>
                <w:sz w:val="22"/>
              </w:rPr>
              <w:t> </w:t>
            </w:r>
            <w:r>
              <w:rPr>
                <w:color w:val="202020"/>
                <w:sz w:val="22"/>
              </w:rPr>
              <w:t>definido,</w:t>
            </w:r>
            <w:r>
              <w:rPr>
                <w:color w:val="202020"/>
                <w:spacing w:val="-3"/>
                <w:sz w:val="22"/>
              </w:rPr>
              <w:t> </w:t>
            </w:r>
            <w:r>
              <w:rPr>
                <w:color w:val="202020"/>
                <w:sz w:val="22"/>
              </w:rPr>
              <w:t>no</w:t>
            </w:r>
            <w:r>
              <w:rPr>
                <w:color w:val="202020"/>
                <w:spacing w:val="-4"/>
                <w:sz w:val="22"/>
              </w:rPr>
              <w:t> </w:t>
            </w:r>
            <w:r>
              <w:rPr>
                <w:color w:val="202020"/>
                <w:sz w:val="22"/>
              </w:rPr>
              <w:t>adherido,</w:t>
            </w:r>
            <w:r>
              <w:rPr>
                <w:color w:val="202020"/>
                <w:spacing w:val="-6"/>
                <w:sz w:val="22"/>
              </w:rPr>
              <w:t> </w:t>
            </w:r>
            <w:r>
              <w:rPr>
                <w:color w:val="202020"/>
                <w:sz w:val="22"/>
              </w:rPr>
              <w:t>enrollado,</w:t>
            </w:r>
            <w:r>
              <w:rPr>
                <w:color w:val="202020"/>
                <w:spacing w:val="-1"/>
                <w:sz w:val="22"/>
              </w:rPr>
              <w:t> </w:t>
            </w:r>
            <w:r>
              <w:rPr>
                <w:color w:val="202020"/>
                <w:spacing w:val="-2"/>
                <w:sz w:val="22"/>
              </w:rPr>
              <w:t>engrosado</w:t>
            </w:r>
          </w:p>
          <w:p>
            <w:pPr>
              <w:pStyle w:val="TableParagraph"/>
              <w:spacing w:before="2"/>
              <w:rPr>
                <w:sz w:val="22"/>
              </w:rPr>
            </w:pPr>
            <w:r>
              <w:rPr>
                <w:color w:val="202020"/>
                <w:sz w:val="22"/>
              </w:rPr>
              <w:t>5</w:t>
            </w:r>
            <w:r>
              <w:rPr>
                <w:color w:val="202020"/>
                <w:spacing w:val="-3"/>
                <w:sz w:val="22"/>
              </w:rPr>
              <w:t> </w:t>
            </w:r>
            <w:r>
              <w:rPr>
                <w:color w:val="202020"/>
                <w:sz w:val="22"/>
              </w:rPr>
              <w:t>=</w:t>
            </w:r>
            <w:r>
              <w:rPr>
                <w:color w:val="202020"/>
                <w:spacing w:val="-3"/>
                <w:sz w:val="22"/>
              </w:rPr>
              <w:t> </w:t>
            </w:r>
            <w:r>
              <w:rPr>
                <w:color w:val="202020"/>
                <w:sz w:val="22"/>
              </w:rPr>
              <w:t>Bien</w:t>
            </w:r>
            <w:r>
              <w:rPr>
                <w:color w:val="202020"/>
                <w:spacing w:val="-4"/>
                <w:sz w:val="22"/>
              </w:rPr>
              <w:t> </w:t>
            </w:r>
            <w:r>
              <w:rPr>
                <w:color w:val="202020"/>
                <w:sz w:val="22"/>
              </w:rPr>
              <w:t>definido,</w:t>
            </w:r>
            <w:r>
              <w:rPr>
                <w:color w:val="202020"/>
                <w:spacing w:val="-6"/>
                <w:sz w:val="22"/>
              </w:rPr>
              <w:t> </w:t>
            </w:r>
            <w:r>
              <w:rPr>
                <w:color w:val="202020"/>
                <w:sz w:val="22"/>
              </w:rPr>
              <w:t>fibrótico,</w:t>
            </w:r>
            <w:r>
              <w:rPr>
                <w:color w:val="202020"/>
                <w:spacing w:val="-3"/>
                <w:sz w:val="22"/>
              </w:rPr>
              <w:t> </w:t>
            </w:r>
            <w:r>
              <w:rPr>
                <w:color w:val="202020"/>
                <w:sz w:val="22"/>
              </w:rPr>
              <w:t>o</w:t>
            </w:r>
            <w:r>
              <w:rPr>
                <w:color w:val="202020"/>
                <w:spacing w:val="-1"/>
                <w:sz w:val="22"/>
              </w:rPr>
              <w:t> </w:t>
            </w:r>
            <w:r>
              <w:rPr>
                <w:color w:val="202020"/>
                <w:spacing w:val="-2"/>
                <w:sz w:val="22"/>
              </w:rPr>
              <w:t>hiperqueratósico</w:t>
            </w:r>
          </w:p>
        </w:tc>
      </w:tr>
      <w:tr>
        <w:trPr>
          <w:trHeight w:val="1420" w:hRule="atLeast"/>
        </w:trPr>
        <w:tc>
          <w:tcPr>
            <w:tcW w:w="2338" w:type="dxa"/>
          </w:tcPr>
          <w:p>
            <w:pPr>
              <w:pStyle w:val="TableParagraph"/>
              <w:rPr>
                <w:i/>
                <w:sz w:val="22"/>
              </w:rPr>
            </w:pPr>
          </w:p>
          <w:p>
            <w:pPr>
              <w:pStyle w:val="TableParagraph"/>
              <w:spacing w:before="74"/>
              <w:rPr>
                <w:i/>
                <w:sz w:val="22"/>
              </w:rPr>
            </w:pPr>
          </w:p>
          <w:p>
            <w:pPr>
              <w:pStyle w:val="TableParagraph"/>
              <w:ind w:left="14"/>
              <w:rPr>
                <w:b/>
                <w:sz w:val="22"/>
              </w:rPr>
            </w:pPr>
            <w:r>
              <w:rPr>
                <w:b/>
                <w:color w:val="202020"/>
                <w:sz w:val="22"/>
              </w:rPr>
              <w:t>Tipo</w:t>
            </w:r>
            <w:r>
              <w:rPr>
                <w:b/>
                <w:color w:val="202020"/>
                <w:spacing w:val="-15"/>
                <w:sz w:val="22"/>
              </w:rPr>
              <w:t> </w:t>
            </w:r>
            <w:r>
              <w:rPr>
                <w:b/>
                <w:color w:val="202020"/>
                <w:sz w:val="22"/>
              </w:rPr>
              <w:t>de</w:t>
            </w:r>
            <w:r>
              <w:rPr>
                <w:b/>
                <w:color w:val="202020"/>
                <w:spacing w:val="-17"/>
                <w:sz w:val="22"/>
              </w:rPr>
              <w:t> </w:t>
            </w:r>
            <w:r>
              <w:rPr>
                <w:b/>
                <w:color w:val="202020"/>
                <w:sz w:val="22"/>
              </w:rPr>
              <w:t>tejido</w:t>
            </w:r>
            <w:r>
              <w:rPr>
                <w:b/>
                <w:color w:val="202020"/>
                <w:spacing w:val="-6"/>
                <w:sz w:val="22"/>
              </w:rPr>
              <w:t> </w:t>
            </w:r>
            <w:r>
              <w:rPr>
                <w:b/>
                <w:color w:val="202020"/>
                <w:spacing w:val="-2"/>
                <w:sz w:val="22"/>
              </w:rPr>
              <w:t>necrótico</w:t>
            </w:r>
          </w:p>
        </w:tc>
        <w:tc>
          <w:tcPr>
            <w:tcW w:w="5610" w:type="dxa"/>
          </w:tcPr>
          <w:p>
            <w:pPr>
              <w:pStyle w:val="TableParagraph"/>
              <w:spacing w:line="252" w:lineRule="exact" w:before="76"/>
              <w:rPr>
                <w:sz w:val="22"/>
              </w:rPr>
            </w:pPr>
            <w:r>
              <w:rPr>
                <w:color w:val="202020"/>
                <w:sz w:val="22"/>
              </w:rPr>
              <w:t>1</w:t>
            </w:r>
            <w:r>
              <w:rPr>
                <w:color w:val="202020"/>
                <w:spacing w:val="-2"/>
                <w:sz w:val="22"/>
              </w:rPr>
              <w:t> </w:t>
            </w:r>
            <w:r>
              <w:rPr>
                <w:color w:val="202020"/>
                <w:sz w:val="22"/>
              </w:rPr>
              <w:t>=</w:t>
            </w:r>
            <w:r>
              <w:rPr>
                <w:color w:val="202020"/>
                <w:spacing w:val="-4"/>
                <w:sz w:val="22"/>
              </w:rPr>
              <w:t> </w:t>
            </w:r>
            <w:r>
              <w:rPr>
                <w:color w:val="202020"/>
                <w:sz w:val="22"/>
              </w:rPr>
              <w:t>Ninguno</w:t>
            </w:r>
            <w:r>
              <w:rPr>
                <w:color w:val="202020"/>
                <w:spacing w:val="-3"/>
                <w:sz w:val="22"/>
              </w:rPr>
              <w:t> </w:t>
            </w:r>
            <w:r>
              <w:rPr>
                <w:color w:val="202020"/>
                <w:spacing w:val="-2"/>
                <w:sz w:val="22"/>
              </w:rPr>
              <w:t>visible</w:t>
            </w:r>
          </w:p>
          <w:p>
            <w:pPr>
              <w:pStyle w:val="TableParagraph"/>
              <w:spacing w:line="252" w:lineRule="exact"/>
              <w:rPr>
                <w:sz w:val="22"/>
              </w:rPr>
            </w:pPr>
            <w:r>
              <w:rPr>
                <w:color w:val="202020"/>
                <w:sz w:val="22"/>
              </w:rPr>
              <w:t>2</w:t>
            </w:r>
            <w:r>
              <w:rPr>
                <w:color w:val="202020"/>
                <w:spacing w:val="-3"/>
                <w:sz w:val="22"/>
              </w:rPr>
              <w:t> </w:t>
            </w:r>
            <w:r>
              <w:rPr>
                <w:color w:val="202020"/>
                <w:sz w:val="22"/>
              </w:rPr>
              <w:t>=</w:t>
            </w:r>
            <w:r>
              <w:rPr>
                <w:color w:val="202020"/>
                <w:spacing w:val="-8"/>
                <w:sz w:val="22"/>
              </w:rPr>
              <w:t> </w:t>
            </w:r>
            <w:r>
              <w:rPr>
                <w:color w:val="202020"/>
                <w:sz w:val="22"/>
              </w:rPr>
              <w:t>Tejido</w:t>
            </w:r>
            <w:r>
              <w:rPr>
                <w:color w:val="202020"/>
                <w:spacing w:val="-3"/>
                <w:sz w:val="22"/>
              </w:rPr>
              <w:t> </w:t>
            </w:r>
            <w:r>
              <w:rPr>
                <w:color w:val="202020"/>
                <w:sz w:val="22"/>
              </w:rPr>
              <w:t>blanco/gris</w:t>
            </w:r>
            <w:r>
              <w:rPr>
                <w:color w:val="202020"/>
                <w:spacing w:val="-2"/>
                <w:sz w:val="22"/>
              </w:rPr>
              <w:t> </w:t>
            </w:r>
            <w:r>
              <w:rPr>
                <w:color w:val="202020"/>
                <w:sz w:val="22"/>
              </w:rPr>
              <w:t>no</w:t>
            </w:r>
            <w:r>
              <w:rPr>
                <w:color w:val="202020"/>
                <w:spacing w:val="-3"/>
                <w:sz w:val="22"/>
              </w:rPr>
              <w:t> </w:t>
            </w:r>
            <w:r>
              <w:rPr>
                <w:color w:val="202020"/>
                <w:sz w:val="22"/>
              </w:rPr>
              <w:t>viable,</w:t>
            </w:r>
            <w:r>
              <w:rPr>
                <w:color w:val="202020"/>
                <w:spacing w:val="-5"/>
                <w:sz w:val="22"/>
              </w:rPr>
              <w:t> </w:t>
            </w:r>
            <w:r>
              <w:rPr>
                <w:color w:val="202020"/>
                <w:sz w:val="22"/>
              </w:rPr>
              <w:t>amarillo</w:t>
            </w:r>
            <w:r>
              <w:rPr>
                <w:color w:val="202020"/>
                <w:spacing w:val="-5"/>
                <w:sz w:val="22"/>
              </w:rPr>
              <w:t> </w:t>
            </w:r>
            <w:r>
              <w:rPr>
                <w:color w:val="202020"/>
                <w:sz w:val="22"/>
              </w:rPr>
              <w:t>no</w:t>
            </w:r>
            <w:r>
              <w:rPr>
                <w:color w:val="202020"/>
                <w:spacing w:val="-5"/>
                <w:sz w:val="22"/>
              </w:rPr>
              <w:t> </w:t>
            </w:r>
            <w:r>
              <w:rPr>
                <w:color w:val="202020"/>
                <w:spacing w:val="-2"/>
                <w:sz w:val="22"/>
              </w:rPr>
              <w:t>adherente</w:t>
            </w:r>
          </w:p>
          <w:p>
            <w:pPr>
              <w:pStyle w:val="TableParagraph"/>
              <w:spacing w:line="252" w:lineRule="exact"/>
              <w:rPr>
                <w:sz w:val="22"/>
              </w:rPr>
            </w:pPr>
            <w:r>
              <w:rPr>
                <w:color w:val="202020"/>
                <w:sz w:val="22"/>
              </w:rPr>
              <w:t>3</w:t>
            </w:r>
            <w:r>
              <w:rPr>
                <w:color w:val="202020"/>
                <w:spacing w:val="-7"/>
                <w:sz w:val="22"/>
              </w:rPr>
              <w:t> </w:t>
            </w:r>
            <w:r>
              <w:rPr>
                <w:color w:val="202020"/>
                <w:sz w:val="22"/>
              </w:rPr>
              <w:t>=</w:t>
            </w:r>
            <w:r>
              <w:rPr>
                <w:color w:val="202020"/>
                <w:spacing w:val="-6"/>
                <w:sz w:val="22"/>
              </w:rPr>
              <w:t> </w:t>
            </w:r>
            <w:r>
              <w:rPr>
                <w:color w:val="202020"/>
                <w:sz w:val="22"/>
              </w:rPr>
              <w:t>Esfacelo</w:t>
            </w:r>
            <w:r>
              <w:rPr>
                <w:color w:val="202020"/>
                <w:spacing w:val="-6"/>
                <w:sz w:val="22"/>
              </w:rPr>
              <w:t> </w:t>
            </w:r>
            <w:r>
              <w:rPr>
                <w:color w:val="202020"/>
                <w:sz w:val="22"/>
              </w:rPr>
              <w:t>amarillo</w:t>
            </w:r>
            <w:r>
              <w:rPr>
                <w:color w:val="202020"/>
                <w:spacing w:val="-6"/>
                <w:sz w:val="22"/>
              </w:rPr>
              <w:t> </w:t>
            </w:r>
            <w:r>
              <w:rPr>
                <w:color w:val="202020"/>
                <w:sz w:val="22"/>
              </w:rPr>
              <w:t>ligeramente</w:t>
            </w:r>
            <w:r>
              <w:rPr>
                <w:color w:val="202020"/>
                <w:spacing w:val="-2"/>
                <w:sz w:val="22"/>
              </w:rPr>
              <w:t> adherente</w:t>
            </w:r>
          </w:p>
          <w:p>
            <w:pPr>
              <w:pStyle w:val="TableParagraph"/>
              <w:spacing w:line="252" w:lineRule="exact" w:before="2"/>
              <w:rPr>
                <w:sz w:val="22"/>
              </w:rPr>
            </w:pPr>
            <w:r>
              <w:rPr>
                <w:color w:val="202020"/>
                <w:sz w:val="22"/>
              </w:rPr>
              <w:t>4</w:t>
            </w:r>
            <w:r>
              <w:rPr>
                <w:color w:val="202020"/>
                <w:spacing w:val="-2"/>
                <w:sz w:val="22"/>
              </w:rPr>
              <w:t> </w:t>
            </w:r>
            <w:r>
              <w:rPr>
                <w:color w:val="202020"/>
                <w:sz w:val="22"/>
              </w:rPr>
              <w:t>=</w:t>
            </w:r>
            <w:r>
              <w:rPr>
                <w:color w:val="202020"/>
                <w:spacing w:val="-2"/>
                <w:sz w:val="22"/>
              </w:rPr>
              <w:t> </w:t>
            </w:r>
            <w:r>
              <w:rPr>
                <w:color w:val="202020"/>
                <w:sz w:val="22"/>
              </w:rPr>
              <w:t>Escara</w:t>
            </w:r>
            <w:r>
              <w:rPr>
                <w:color w:val="202020"/>
                <w:spacing w:val="-4"/>
                <w:sz w:val="22"/>
              </w:rPr>
              <w:t> </w:t>
            </w:r>
            <w:r>
              <w:rPr>
                <w:color w:val="202020"/>
                <w:sz w:val="22"/>
              </w:rPr>
              <w:t>negra,</w:t>
            </w:r>
            <w:r>
              <w:rPr>
                <w:color w:val="202020"/>
                <w:spacing w:val="-2"/>
                <w:sz w:val="22"/>
              </w:rPr>
              <w:t> </w:t>
            </w:r>
            <w:r>
              <w:rPr>
                <w:color w:val="202020"/>
                <w:sz w:val="22"/>
              </w:rPr>
              <w:t>blanda</w:t>
            </w:r>
            <w:r>
              <w:rPr>
                <w:color w:val="202020"/>
                <w:spacing w:val="-1"/>
                <w:sz w:val="22"/>
              </w:rPr>
              <w:t> </w:t>
            </w:r>
            <w:r>
              <w:rPr>
                <w:color w:val="202020"/>
                <w:sz w:val="22"/>
              </w:rPr>
              <w:t>y</w:t>
            </w:r>
            <w:r>
              <w:rPr>
                <w:color w:val="202020"/>
                <w:spacing w:val="-6"/>
                <w:sz w:val="22"/>
              </w:rPr>
              <w:t> </w:t>
            </w:r>
            <w:r>
              <w:rPr>
                <w:color w:val="202020"/>
                <w:spacing w:val="-2"/>
                <w:sz w:val="22"/>
              </w:rPr>
              <w:t>adherente</w:t>
            </w:r>
          </w:p>
          <w:p>
            <w:pPr>
              <w:pStyle w:val="TableParagraph"/>
              <w:spacing w:line="252" w:lineRule="exact"/>
              <w:rPr>
                <w:sz w:val="22"/>
              </w:rPr>
            </w:pPr>
            <w:r>
              <w:rPr>
                <w:color w:val="202020"/>
                <w:sz w:val="22"/>
              </w:rPr>
              <w:t>5</w:t>
            </w:r>
            <w:r>
              <w:rPr>
                <w:color w:val="202020"/>
                <w:spacing w:val="-4"/>
                <w:sz w:val="22"/>
              </w:rPr>
              <w:t> </w:t>
            </w:r>
            <w:r>
              <w:rPr>
                <w:color w:val="202020"/>
                <w:sz w:val="22"/>
              </w:rPr>
              <w:t>=</w:t>
            </w:r>
            <w:r>
              <w:rPr>
                <w:color w:val="202020"/>
                <w:spacing w:val="-3"/>
                <w:sz w:val="22"/>
              </w:rPr>
              <w:t> </w:t>
            </w:r>
            <w:r>
              <w:rPr>
                <w:color w:val="202020"/>
                <w:sz w:val="22"/>
              </w:rPr>
              <w:t>Escara</w:t>
            </w:r>
            <w:r>
              <w:rPr>
                <w:color w:val="202020"/>
                <w:spacing w:val="-4"/>
                <w:sz w:val="22"/>
              </w:rPr>
              <w:t> </w:t>
            </w:r>
            <w:r>
              <w:rPr>
                <w:color w:val="202020"/>
                <w:sz w:val="22"/>
              </w:rPr>
              <w:t>negra,</w:t>
            </w:r>
            <w:r>
              <w:rPr>
                <w:color w:val="202020"/>
                <w:spacing w:val="-3"/>
                <w:sz w:val="22"/>
              </w:rPr>
              <w:t> </w:t>
            </w:r>
            <w:r>
              <w:rPr>
                <w:color w:val="202020"/>
                <w:sz w:val="22"/>
              </w:rPr>
              <w:t>dura</w:t>
            </w:r>
            <w:r>
              <w:rPr>
                <w:color w:val="202020"/>
                <w:spacing w:val="-1"/>
                <w:sz w:val="22"/>
              </w:rPr>
              <w:t> </w:t>
            </w:r>
            <w:r>
              <w:rPr>
                <w:color w:val="202020"/>
                <w:sz w:val="22"/>
              </w:rPr>
              <w:t>y</w:t>
            </w:r>
            <w:r>
              <w:rPr>
                <w:color w:val="202020"/>
                <w:spacing w:val="-7"/>
                <w:sz w:val="22"/>
              </w:rPr>
              <w:t> </w:t>
            </w:r>
            <w:r>
              <w:rPr>
                <w:color w:val="202020"/>
                <w:sz w:val="22"/>
              </w:rPr>
              <w:t>firmemente</w:t>
            </w:r>
            <w:r>
              <w:rPr>
                <w:color w:val="202020"/>
                <w:spacing w:val="-2"/>
                <w:sz w:val="22"/>
              </w:rPr>
              <w:t> adherente</w:t>
            </w:r>
          </w:p>
        </w:tc>
      </w:tr>
      <w:tr>
        <w:trPr>
          <w:trHeight w:val="1340" w:hRule="atLeast"/>
        </w:trPr>
        <w:tc>
          <w:tcPr>
            <w:tcW w:w="2338" w:type="dxa"/>
          </w:tcPr>
          <w:p>
            <w:pPr>
              <w:pStyle w:val="TableParagraph"/>
              <w:rPr>
                <w:i/>
                <w:sz w:val="22"/>
              </w:rPr>
            </w:pPr>
          </w:p>
          <w:p>
            <w:pPr>
              <w:pStyle w:val="TableParagraph"/>
              <w:spacing w:before="69"/>
              <w:rPr>
                <w:i/>
                <w:sz w:val="22"/>
              </w:rPr>
            </w:pPr>
          </w:p>
          <w:p>
            <w:pPr>
              <w:pStyle w:val="TableParagraph"/>
              <w:spacing w:before="1"/>
              <w:ind w:left="14"/>
              <w:rPr>
                <w:b/>
                <w:sz w:val="22"/>
              </w:rPr>
            </w:pPr>
            <w:r>
              <w:rPr>
                <w:b/>
                <w:color w:val="202020"/>
                <w:sz w:val="22"/>
              </w:rPr>
              <w:t>Tipo</w:t>
            </w:r>
            <w:r>
              <w:rPr>
                <w:b/>
                <w:color w:val="202020"/>
                <w:spacing w:val="-2"/>
                <w:sz w:val="22"/>
              </w:rPr>
              <w:t> </w:t>
            </w:r>
            <w:r>
              <w:rPr>
                <w:b/>
                <w:color w:val="202020"/>
                <w:sz w:val="22"/>
              </w:rPr>
              <w:t>de</w:t>
            </w:r>
            <w:r>
              <w:rPr>
                <w:b/>
                <w:color w:val="202020"/>
                <w:spacing w:val="-2"/>
                <w:sz w:val="22"/>
              </w:rPr>
              <w:t> exudado</w:t>
            </w:r>
          </w:p>
        </w:tc>
        <w:tc>
          <w:tcPr>
            <w:tcW w:w="5610" w:type="dxa"/>
          </w:tcPr>
          <w:p>
            <w:pPr>
              <w:pStyle w:val="TableParagraph"/>
              <w:spacing w:line="252" w:lineRule="exact" w:before="72"/>
              <w:rPr>
                <w:sz w:val="22"/>
              </w:rPr>
            </w:pPr>
            <w:r>
              <w:rPr>
                <w:color w:val="202020"/>
                <w:sz w:val="22"/>
              </w:rPr>
              <w:t>1</w:t>
            </w:r>
            <w:r>
              <w:rPr>
                <w:color w:val="202020"/>
                <w:spacing w:val="-2"/>
                <w:sz w:val="22"/>
              </w:rPr>
              <w:t> </w:t>
            </w:r>
            <w:r>
              <w:rPr>
                <w:color w:val="202020"/>
                <w:sz w:val="22"/>
              </w:rPr>
              <w:t>= </w:t>
            </w:r>
            <w:r>
              <w:rPr>
                <w:color w:val="202020"/>
                <w:spacing w:val="-2"/>
                <w:sz w:val="22"/>
              </w:rPr>
              <w:t>Ninguna</w:t>
            </w:r>
          </w:p>
          <w:p>
            <w:pPr>
              <w:pStyle w:val="TableParagraph"/>
              <w:spacing w:line="252" w:lineRule="exact"/>
              <w:rPr>
                <w:sz w:val="22"/>
              </w:rPr>
            </w:pPr>
            <w:r>
              <w:rPr>
                <w:color w:val="202020"/>
                <w:sz w:val="22"/>
              </w:rPr>
              <w:t>2 = </w:t>
            </w:r>
            <w:r>
              <w:rPr>
                <w:color w:val="202020"/>
                <w:spacing w:val="-2"/>
                <w:sz w:val="22"/>
              </w:rPr>
              <w:t>Sanguinolenta</w:t>
            </w:r>
          </w:p>
          <w:p>
            <w:pPr>
              <w:pStyle w:val="TableParagraph"/>
              <w:spacing w:line="252" w:lineRule="exact"/>
              <w:rPr>
                <w:sz w:val="22"/>
              </w:rPr>
            </w:pPr>
            <w:r>
              <w:rPr>
                <w:color w:val="202020"/>
                <w:sz w:val="22"/>
              </w:rPr>
              <w:t>3</w:t>
            </w:r>
            <w:r>
              <w:rPr>
                <w:color w:val="202020"/>
                <w:spacing w:val="-7"/>
                <w:sz w:val="22"/>
              </w:rPr>
              <w:t> </w:t>
            </w:r>
            <w:r>
              <w:rPr>
                <w:color w:val="202020"/>
                <w:sz w:val="22"/>
              </w:rPr>
              <w:t>=</w:t>
            </w:r>
            <w:r>
              <w:rPr>
                <w:color w:val="202020"/>
                <w:spacing w:val="-6"/>
                <w:sz w:val="22"/>
              </w:rPr>
              <w:t> </w:t>
            </w:r>
            <w:r>
              <w:rPr>
                <w:color w:val="202020"/>
                <w:sz w:val="22"/>
              </w:rPr>
              <w:t>Serosanguinolenta:</w:t>
            </w:r>
            <w:r>
              <w:rPr>
                <w:color w:val="202020"/>
                <w:spacing w:val="-4"/>
                <w:sz w:val="22"/>
              </w:rPr>
              <w:t> </w:t>
            </w:r>
            <w:r>
              <w:rPr>
                <w:color w:val="202020"/>
                <w:sz w:val="22"/>
              </w:rPr>
              <w:t>líquida,</w:t>
            </w:r>
            <w:r>
              <w:rPr>
                <w:color w:val="202020"/>
                <w:spacing w:val="-6"/>
                <w:sz w:val="22"/>
              </w:rPr>
              <w:t> </w:t>
            </w:r>
            <w:r>
              <w:rPr>
                <w:color w:val="202020"/>
                <w:sz w:val="22"/>
              </w:rPr>
              <w:t>acuosa,</w:t>
            </w:r>
            <w:r>
              <w:rPr>
                <w:color w:val="202020"/>
                <w:spacing w:val="-4"/>
                <w:sz w:val="22"/>
              </w:rPr>
              <w:t> </w:t>
            </w:r>
            <w:r>
              <w:rPr>
                <w:color w:val="202020"/>
                <w:sz w:val="22"/>
              </w:rPr>
              <w:t>rojo</w:t>
            </w:r>
            <w:r>
              <w:rPr>
                <w:color w:val="202020"/>
                <w:spacing w:val="-2"/>
                <w:sz w:val="22"/>
              </w:rPr>
              <w:t> rosado</w:t>
            </w:r>
          </w:p>
          <w:p>
            <w:pPr>
              <w:pStyle w:val="TableParagraph"/>
              <w:spacing w:line="252" w:lineRule="exact" w:before="1"/>
              <w:rPr>
                <w:sz w:val="22"/>
              </w:rPr>
            </w:pPr>
            <w:r>
              <w:rPr>
                <w:color w:val="202020"/>
                <w:sz w:val="22"/>
              </w:rPr>
              <w:t>4</w:t>
            </w:r>
            <w:r>
              <w:rPr>
                <w:color w:val="202020"/>
                <w:spacing w:val="-3"/>
                <w:sz w:val="22"/>
              </w:rPr>
              <w:t> </w:t>
            </w:r>
            <w:r>
              <w:rPr>
                <w:color w:val="202020"/>
                <w:sz w:val="22"/>
              </w:rPr>
              <w:t>=</w:t>
            </w:r>
            <w:r>
              <w:rPr>
                <w:color w:val="202020"/>
                <w:spacing w:val="-4"/>
                <w:sz w:val="22"/>
              </w:rPr>
              <w:t> </w:t>
            </w:r>
            <w:r>
              <w:rPr>
                <w:color w:val="202020"/>
                <w:sz w:val="22"/>
              </w:rPr>
              <w:t>Serosa:</w:t>
            </w:r>
            <w:r>
              <w:rPr>
                <w:color w:val="202020"/>
                <w:spacing w:val="-4"/>
                <w:sz w:val="22"/>
              </w:rPr>
              <w:t> </w:t>
            </w:r>
            <w:r>
              <w:rPr>
                <w:color w:val="202020"/>
                <w:sz w:val="22"/>
              </w:rPr>
              <w:t>líquida,</w:t>
            </w:r>
            <w:r>
              <w:rPr>
                <w:color w:val="202020"/>
                <w:spacing w:val="-4"/>
                <w:sz w:val="22"/>
              </w:rPr>
              <w:t> </w:t>
            </w:r>
            <w:r>
              <w:rPr>
                <w:color w:val="202020"/>
                <w:sz w:val="22"/>
              </w:rPr>
              <w:t>acuosa,</w:t>
            </w:r>
            <w:r>
              <w:rPr>
                <w:color w:val="202020"/>
                <w:spacing w:val="-4"/>
                <w:sz w:val="22"/>
              </w:rPr>
              <w:t> </w:t>
            </w:r>
            <w:r>
              <w:rPr>
                <w:color w:val="202020"/>
                <w:spacing w:val="-2"/>
                <w:sz w:val="22"/>
              </w:rPr>
              <w:t>transparente</w:t>
            </w:r>
          </w:p>
          <w:p>
            <w:pPr>
              <w:pStyle w:val="TableParagraph"/>
              <w:spacing w:line="238" w:lineRule="exact"/>
              <w:rPr>
                <w:sz w:val="22"/>
              </w:rPr>
            </w:pPr>
            <w:r>
              <w:rPr>
                <w:color w:val="202020"/>
                <w:sz w:val="22"/>
              </w:rPr>
              <w:t>5</w:t>
            </w:r>
            <w:r>
              <w:rPr>
                <w:color w:val="202020"/>
                <w:spacing w:val="-3"/>
                <w:sz w:val="22"/>
              </w:rPr>
              <w:t> </w:t>
            </w:r>
            <w:r>
              <w:rPr>
                <w:color w:val="202020"/>
                <w:sz w:val="22"/>
              </w:rPr>
              <w:t>=</w:t>
            </w:r>
            <w:r>
              <w:rPr>
                <w:color w:val="202020"/>
                <w:spacing w:val="-5"/>
                <w:sz w:val="22"/>
              </w:rPr>
              <w:t> </w:t>
            </w:r>
            <w:r>
              <w:rPr>
                <w:color w:val="202020"/>
                <w:sz w:val="22"/>
              </w:rPr>
              <w:t>Purulenta:</w:t>
            </w:r>
            <w:r>
              <w:rPr>
                <w:color w:val="202020"/>
                <w:spacing w:val="-4"/>
                <w:sz w:val="22"/>
              </w:rPr>
              <w:t> </w:t>
            </w:r>
            <w:r>
              <w:rPr>
                <w:color w:val="202020"/>
                <w:sz w:val="22"/>
              </w:rPr>
              <w:t>líquida</w:t>
            </w:r>
            <w:r>
              <w:rPr>
                <w:color w:val="202020"/>
                <w:spacing w:val="-1"/>
                <w:sz w:val="22"/>
              </w:rPr>
              <w:t> </w:t>
            </w:r>
            <w:r>
              <w:rPr>
                <w:color w:val="202020"/>
                <w:sz w:val="22"/>
              </w:rPr>
              <w:t>o</w:t>
            </w:r>
            <w:r>
              <w:rPr>
                <w:color w:val="202020"/>
                <w:spacing w:val="-6"/>
                <w:sz w:val="22"/>
              </w:rPr>
              <w:t> </w:t>
            </w:r>
            <w:r>
              <w:rPr>
                <w:color w:val="202020"/>
                <w:sz w:val="22"/>
              </w:rPr>
              <w:t>espesa,</w:t>
            </w:r>
            <w:r>
              <w:rPr>
                <w:color w:val="202020"/>
                <w:spacing w:val="-1"/>
                <w:sz w:val="22"/>
              </w:rPr>
              <w:t> </w:t>
            </w:r>
            <w:r>
              <w:rPr>
                <w:color w:val="202020"/>
                <w:spacing w:val="-2"/>
                <w:sz w:val="22"/>
              </w:rPr>
              <w:t>opaca</w:t>
            </w:r>
          </w:p>
        </w:tc>
      </w:tr>
      <w:tr>
        <w:trPr>
          <w:trHeight w:val="1344" w:hRule="atLeast"/>
        </w:trPr>
        <w:tc>
          <w:tcPr>
            <w:tcW w:w="2338" w:type="dxa"/>
          </w:tcPr>
          <w:p>
            <w:pPr>
              <w:pStyle w:val="TableParagraph"/>
              <w:spacing w:before="247"/>
              <w:rPr>
                <w:i/>
                <w:sz w:val="22"/>
              </w:rPr>
            </w:pPr>
          </w:p>
          <w:p>
            <w:pPr>
              <w:pStyle w:val="TableParagraph"/>
              <w:ind w:left="14"/>
              <w:rPr>
                <w:b/>
                <w:sz w:val="22"/>
              </w:rPr>
            </w:pPr>
            <w:r>
              <w:rPr>
                <w:b/>
                <w:color w:val="202020"/>
                <w:sz w:val="22"/>
              </w:rPr>
              <w:t>Cantidad</w:t>
            </w:r>
            <w:r>
              <w:rPr>
                <w:b/>
                <w:color w:val="202020"/>
                <w:spacing w:val="-4"/>
                <w:sz w:val="22"/>
              </w:rPr>
              <w:t> </w:t>
            </w:r>
            <w:r>
              <w:rPr>
                <w:b/>
                <w:color w:val="202020"/>
                <w:sz w:val="22"/>
              </w:rPr>
              <w:t>de</w:t>
            </w:r>
            <w:r>
              <w:rPr>
                <w:b/>
                <w:color w:val="202020"/>
                <w:spacing w:val="-3"/>
                <w:sz w:val="22"/>
              </w:rPr>
              <w:t> </w:t>
            </w:r>
            <w:r>
              <w:rPr>
                <w:b/>
                <w:color w:val="202020"/>
                <w:spacing w:val="-2"/>
                <w:sz w:val="22"/>
              </w:rPr>
              <w:t>exudado</w:t>
            </w:r>
          </w:p>
        </w:tc>
        <w:tc>
          <w:tcPr>
            <w:tcW w:w="5610" w:type="dxa"/>
          </w:tcPr>
          <w:p>
            <w:pPr>
              <w:pStyle w:val="TableParagraph"/>
              <w:spacing w:line="249" w:lineRule="exact"/>
              <w:rPr>
                <w:sz w:val="22"/>
              </w:rPr>
            </w:pPr>
            <w:r>
              <w:rPr>
                <w:color w:val="202020"/>
                <w:sz w:val="22"/>
              </w:rPr>
              <w:t>1</w:t>
            </w:r>
            <w:r>
              <w:rPr>
                <w:color w:val="202020"/>
                <w:spacing w:val="-6"/>
                <w:sz w:val="22"/>
              </w:rPr>
              <w:t> </w:t>
            </w:r>
            <w:r>
              <w:rPr>
                <w:color w:val="202020"/>
                <w:sz w:val="22"/>
              </w:rPr>
              <w:t>=</w:t>
            </w:r>
            <w:r>
              <w:rPr>
                <w:color w:val="202020"/>
                <w:spacing w:val="-3"/>
                <w:sz w:val="22"/>
              </w:rPr>
              <w:t> </w:t>
            </w:r>
            <w:r>
              <w:rPr>
                <w:color w:val="202020"/>
                <w:sz w:val="22"/>
              </w:rPr>
              <w:t>Ninguna,</w:t>
            </w:r>
            <w:r>
              <w:rPr>
                <w:color w:val="202020"/>
                <w:spacing w:val="-3"/>
                <w:sz w:val="22"/>
              </w:rPr>
              <w:t> </w:t>
            </w:r>
            <w:r>
              <w:rPr>
                <w:color w:val="202020"/>
                <w:sz w:val="22"/>
              </w:rPr>
              <w:t>herida</w:t>
            </w:r>
            <w:r>
              <w:rPr>
                <w:color w:val="202020"/>
                <w:spacing w:val="-4"/>
                <w:sz w:val="22"/>
              </w:rPr>
              <w:t> seca</w:t>
            </w:r>
          </w:p>
          <w:p>
            <w:pPr>
              <w:pStyle w:val="TableParagraph"/>
              <w:spacing w:line="252" w:lineRule="exact"/>
              <w:rPr>
                <w:sz w:val="22"/>
              </w:rPr>
            </w:pPr>
            <w:r>
              <w:rPr>
                <w:color w:val="202020"/>
                <w:sz w:val="22"/>
              </w:rPr>
              <w:t>2</w:t>
            </w:r>
            <w:r>
              <w:rPr>
                <w:color w:val="202020"/>
                <w:spacing w:val="-6"/>
                <w:sz w:val="22"/>
              </w:rPr>
              <w:t> </w:t>
            </w:r>
            <w:r>
              <w:rPr>
                <w:color w:val="202020"/>
                <w:sz w:val="22"/>
              </w:rPr>
              <w:t>=</w:t>
            </w:r>
            <w:r>
              <w:rPr>
                <w:color w:val="202020"/>
                <w:spacing w:val="-2"/>
                <w:sz w:val="22"/>
              </w:rPr>
              <w:t> </w:t>
            </w:r>
            <w:r>
              <w:rPr>
                <w:color w:val="202020"/>
                <w:sz w:val="22"/>
              </w:rPr>
              <w:t>Escasa,</w:t>
            </w:r>
            <w:r>
              <w:rPr>
                <w:color w:val="202020"/>
                <w:spacing w:val="-3"/>
                <w:sz w:val="22"/>
              </w:rPr>
              <w:t> </w:t>
            </w:r>
            <w:r>
              <w:rPr>
                <w:color w:val="202020"/>
                <w:sz w:val="22"/>
              </w:rPr>
              <w:t>herida</w:t>
            </w:r>
            <w:r>
              <w:rPr>
                <w:color w:val="202020"/>
                <w:spacing w:val="-3"/>
                <w:sz w:val="22"/>
              </w:rPr>
              <w:t> </w:t>
            </w:r>
            <w:r>
              <w:rPr>
                <w:color w:val="202020"/>
                <w:sz w:val="22"/>
              </w:rPr>
              <w:t>húmeda,</w:t>
            </w:r>
            <w:r>
              <w:rPr>
                <w:color w:val="202020"/>
                <w:spacing w:val="-3"/>
                <w:sz w:val="22"/>
              </w:rPr>
              <w:t> </w:t>
            </w:r>
            <w:r>
              <w:rPr>
                <w:color w:val="202020"/>
                <w:sz w:val="22"/>
              </w:rPr>
              <w:t>pero</w:t>
            </w:r>
            <w:r>
              <w:rPr>
                <w:color w:val="202020"/>
                <w:spacing w:val="-2"/>
                <w:sz w:val="22"/>
              </w:rPr>
              <w:t> </w:t>
            </w:r>
            <w:r>
              <w:rPr>
                <w:color w:val="202020"/>
                <w:sz w:val="22"/>
              </w:rPr>
              <w:t>sin</w:t>
            </w:r>
            <w:r>
              <w:rPr>
                <w:color w:val="202020"/>
                <w:spacing w:val="-3"/>
                <w:sz w:val="22"/>
              </w:rPr>
              <w:t> </w:t>
            </w:r>
            <w:r>
              <w:rPr>
                <w:color w:val="202020"/>
                <w:sz w:val="22"/>
              </w:rPr>
              <w:t>exudado</w:t>
            </w:r>
            <w:r>
              <w:rPr>
                <w:color w:val="202020"/>
                <w:spacing w:val="-1"/>
                <w:sz w:val="22"/>
              </w:rPr>
              <w:t> </w:t>
            </w:r>
            <w:r>
              <w:rPr>
                <w:color w:val="202020"/>
                <w:spacing w:val="-2"/>
                <w:sz w:val="22"/>
              </w:rPr>
              <w:t>observable</w:t>
            </w:r>
          </w:p>
          <w:p>
            <w:pPr>
              <w:pStyle w:val="TableParagraph"/>
              <w:spacing w:line="253" w:lineRule="exact"/>
              <w:rPr>
                <w:sz w:val="22"/>
              </w:rPr>
            </w:pPr>
            <w:r>
              <w:rPr>
                <w:color w:val="202020"/>
                <w:sz w:val="22"/>
              </w:rPr>
              <w:t>3</w:t>
            </w:r>
            <w:r>
              <w:rPr>
                <w:color w:val="202020"/>
                <w:spacing w:val="-2"/>
                <w:sz w:val="22"/>
              </w:rPr>
              <w:t> </w:t>
            </w:r>
            <w:r>
              <w:rPr>
                <w:color w:val="202020"/>
                <w:sz w:val="22"/>
              </w:rPr>
              <w:t>= </w:t>
            </w:r>
            <w:r>
              <w:rPr>
                <w:color w:val="202020"/>
                <w:spacing w:val="-2"/>
                <w:sz w:val="22"/>
              </w:rPr>
              <w:t>Pequeña</w:t>
            </w:r>
          </w:p>
          <w:p>
            <w:pPr>
              <w:pStyle w:val="TableParagraph"/>
              <w:spacing w:line="252" w:lineRule="exact" w:before="1"/>
              <w:rPr>
                <w:sz w:val="22"/>
              </w:rPr>
            </w:pPr>
            <w:r>
              <w:rPr>
                <w:color w:val="202020"/>
                <w:sz w:val="22"/>
              </w:rPr>
              <w:t>4</w:t>
            </w:r>
            <w:r>
              <w:rPr>
                <w:color w:val="202020"/>
                <w:spacing w:val="-2"/>
                <w:sz w:val="22"/>
              </w:rPr>
              <w:t> </w:t>
            </w:r>
            <w:r>
              <w:rPr>
                <w:color w:val="202020"/>
                <w:sz w:val="22"/>
              </w:rPr>
              <w:t>= </w:t>
            </w:r>
            <w:r>
              <w:rPr>
                <w:color w:val="202020"/>
                <w:spacing w:val="-2"/>
                <w:sz w:val="22"/>
              </w:rPr>
              <w:t>Moderada</w:t>
            </w:r>
          </w:p>
          <w:p>
            <w:pPr>
              <w:pStyle w:val="TableParagraph"/>
              <w:spacing w:line="252" w:lineRule="exact"/>
              <w:rPr>
                <w:sz w:val="22"/>
              </w:rPr>
            </w:pPr>
            <w:r>
              <w:rPr>
                <w:color w:val="202020"/>
                <w:sz w:val="22"/>
              </w:rPr>
              <w:t>5</w:t>
            </w:r>
            <w:r>
              <w:rPr>
                <w:color w:val="202020"/>
                <w:spacing w:val="-2"/>
                <w:sz w:val="22"/>
              </w:rPr>
              <w:t> </w:t>
            </w:r>
            <w:r>
              <w:rPr>
                <w:color w:val="202020"/>
                <w:sz w:val="22"/>
              </w:rPr>
              <w:t>= </w:t>
            </w:r>
            <w:r>
              <w:rPr>
                <w:color w:val="202020"/>
                <w:spacing w:val="-2"/>
                <w:sz w:val="22"/>
              </w:rPr>
              <w:t>Grande</w:t>
            </w:r>
          </w:p>
        </w:tc>
      </w:tr>
      <w:tr>
        <w:trPr>
          <w:trHeight w:val="1351" w:hRule="atLeast"/>
        </w:trPr>
        <w:tc>
          <w:tcPr>
            <w:tcW w:w="2338" w:type="dxa"/>
          </w:tcPr>
          <w:p>
            <w:pPr>
              <w:pStyle w:val="TableParagraph"/>
              <w:rPr>
                <w:i/>
                <w:sz w:val="22"/>
              </w:rPr>
            </w:pPr>
          </w:p>
          <w:p>
            <w:pPr>
              <w:pStyle w:val="TableParagraph"/>
              <w:spacing w:before="75"/>
              <w:rPr>
                <w:i/>
                <w:sz w:val="22"/>
              </w:rPr>
            </w:pPr>
          </w:p>
          <w:p>
            <w:pPr>
              <w:pStyle w:val="TableParagraph"/>
              <w:spacing w:before="1"/>
              <w:ind w:left="14"/>
              <w:rPr>
                <w:b/>
                <w:sz w:val="22"/>
              </w:rPr>
            </w:pPr>
            <w:r>
              <w:rPr>
                <w:b/>
                <w:color w:val="202020"/>
                <w:sz w:val="22"/>
              </w:rPr>
              <w:t>Color</w:t>
            </w:r>
            <w:r>
              <w:rPr>
                <w:b/>
                <w:color w:val="202020"/>
                <w:spacing w:val="80"/>
                <w:sz w:val="22"/>
              </w:rPr>
              <w:t> </w:t>
            </w:r>
            <w:r>
              <w:rPr>
                <w:b/>
                <w:color w:val="202020"/>
                <w:sz w:val="22"/>
              </w:rPr>
              <w:t>de</w:t>
            </w:r>
            <w:r>
              <w:rPr>
                <w:b/>
                <w:color w:val="202020"/>
                <w:spacing w:val="80"/>
                <w:sz w:val="22"/>
              </w:rPr>
              <w:t> </w:t>
            </w:r>
            <w:r>
              <w:rPr>
                <w:b/>
                <w:color w:val="202020"/>
                <w:sz w:val="22"/>
              </w:rPr>
              <w:t>la</w:t>
            </w:r>
            <w:r>
              <w:rPr>
                <w:b/>
                <w:color w:val="202020"/>
                <w:spacing w:val="80"/>
                <w:sz w:val="22"/>
              </w:rPr>
              <w:t> </w:t>
            </w:r>
            <w:r>
              <w:rPr>
                <w:b/>
                <w:color w:val="202020"/>
                <w:sz w:val="22"/>
              </w:rPr>
              <w:t>piel</w:t>
            </w:r>
            <w:r>
              <w:rPr>
                <w:b/>
                <w:color w:val="202020"/>
                <w:spacing w:val="80"/>
                <w:sz w:val="22"/>
              </w:rPr>
              <w:t> </w:t>
            </w:r>
            <w:r>
              <w:rPr>
                <w:b/>
                <w:color w:val="202020"/>
                <w:sz w:val="22"/>
              </w:rPr>
              <w:t>que rodea la herida</w:t>
            </w:r>
          </w:p>
        </w:tc>
        <w:tc>
          <w:tcPr>
            <w:tcW w:w="5610" w:type="dxa"/>
          </w:tcPr>
          <w:p>
            <w:pPr>
              <w:pStyle w:val="TableParagraph"/>
              <w:spacing w:before="75"/>
              <w:rPr>
                <w:sz w:val="22"/>
              </w:rPr>
            </w:pPr>
            <w:r>
              <w:rPr>
                <w:color w:val="202020"/>
                <w:sz w:val="22"/>
              </w:rPr>
              <w:t>1</w:t>
            </w:r>
            <w:r>
              <w:rPr>
                <w:color w:val="202020"/>
                <w:spacing w:val="-3"/>
                <w:sz w:val="22"/>
              </w:rPr>
              <w:t> </w:t>
            </w:r>
            <w:r>
              <w:rPr>
                <w:color w:val="202020"/>
                <w:sz w:val="22"/>
              </w:rPr>
              <w:t>=</w:t>
            </w:r>
            <w:r>
              <w:rPr>
                <w:color w:val="202020"/>
                <w:spacing w:val="-2"/>
                <w:sz w:val="22"/>
              </w:rPr>
              <w:t> </w:t>
            </w:r>
            <w:r>
              <w:rPr>
                <w:color w:val="202020"/>
                <w:sz w:val="22"/>
              </w:rPr>
              <w:t>Rosado</w:t>
            </w:r>
            <w:r>
              <w:rPr>
                <w:color w:val="202020"/>
                <w:spacing w:val="-5"/>
                <w:sz w:val="22"/>
              </w:rPr>
              <w:t> </w:t>
            </w:r>
            <w:r>
              <w:rPr>
                <w:color w:val="202020"/>
                <w:sz w:val="22"/>
              </w:rPr>
              <w:t>o</w:t>
            </w:r>
            <w:r>
              <w:rPr>
                <w:color w:val="202020"/>
                <w:spacing w:val="-2"/>
                <w:sz w:val="22"/>
              </w:rPr>
              <w:t> </w:t>
            </w:r>
            <w:r>
              <w:rPr>
                <w:color w:val="202020"/>
                <w:sz w:val="22"/>
              </w:rPr>
              <w:t>normal</w:t>
            </w:r>
            <w:r>
              <w:rPr>
                <w:color w:val="202020"/>
                <w:spacing w:val="-1"/>
                <w:sz w:val="22"/>
              </w:rPr>
              <w:t> </w:t>
            </w:r>
            <w:r>
              <w:rPr>
                <w:color w:val="202020"/>
                <w:sz w:val="22"/>
              </w:rPr>
              <w:t>para</w:t>
            </w:r>
            <w:r>
              <w:rPr>
                <w:color w:val="202020"/>
                <w:spacing w:val="-4"/>
                <w:sz w:val="22"/>
              </w:rPr>
              <w:t> </w:t>
            </w:r>
            <w:r>
              <w:rPr>
                <w:color w:val="202020"/>
                <w:sz w:val="22"/>
              </w:rPr>
              <w:t>la</w:t>
            </w:r>
            <w:r>
              <w:rPr>
                <w:color w:val="202020"/>
                <w:spacing w:val="-2"/>
                <w:sz w:val="22"/>
              </w:rPr>
              <w:t> </w:t>
            </w:r>
            <w:r>
              <w:rPr>
                <w:color w:val="202020"/>
                <w:spacing w:val="-4"/>
                <w:sz w:val="22"/>
              </w:rPr>
              <w:t>raza</w:t>
            </w:r>
          </w:p>
          <w:p>
            <w:pPr>
              <w:pStyle w:val="TableParagraph"/>
              <w:spacing w:line="252" w:lineRule="exact" w:before="2"/>
              <w:rPr>
                <w:sz w:val="22"/>
              </w:rPr>
            </w:pPr>
            <w:r>
              <w:rPr>
                <w:color w:val="202020"/>
                <w:sz w:val="22"/>
              </w:rPr>
              <w:t>2</w:t>
            </w:r>
            <w:r>
              <w:rPr>
                <w:color w:val="202020"/>
                <w:spacing w:val="-4"/>
                <w:sz w:val="22"/>
              </w:rPr>
              <w:t> </w:t>
            </w:r>
            <w:r>
              <w:rPr>
                <w:color w:val="202020"/>
                <w:sz w:val="22"/>
              </w:rPr>
              <w:t>=</w:t>
            </w:r>
            <w:r>
              <w:rPr>
                <w:color w:val="202020"/>
                <w:spacing w:val="-4"/>
                <w:sz w:val="22"/>
              </w:rPr>
              <w:t> </w:t>
            </w:r>
            <w:r>
              <w:rPr>
                <w:color w:val="202020"/>
                <w:sz w:val="22"/>
              </w:rPr>
              <w:t>Rojo</w:t>
            </w:r>
            <w:r>
              <w:rPr>
                <w:color w:val="202020"/>
                <w:spacing w:val="-3"/>
                <w:sz w:val="22"/>
              </w:rPr>
              <w:t> </w:t>
            </w:r>
            <w:r>
              <w:rPr>
                <w:color w:val="202020"/>
                <w:sz w:val="22"/>
              </w:rPr>
              <w:t>brillante</w:t>
            </w:r>
            <w:r>
              <w:rPr>
                <w:color w:val="202020"/>
                <w:spacing w:val="-3"/>
                <w:sz w:val="22"/>
              </w:rPr>
              <w:t> </w:t>
            </w:r>
            <w:r>
              <w:rPr>
                <w:color w:val="202020"/>
                <w:sz w:val="22"/>
              </w:rPr>
              <w:t>y/o</w:t>
            </w:r>
            <w:r>
              <w:rPr>
                <w:color w:val="202020"/>
                <w:spacing w:val="-2"/>
                <w:sz w:val="22"/>
              </w:rPr>
              <w:t> congestionado</w:t>
            </w:r>
          </w:p>
          <w:p>
            <w:pPr>
              <w:pStyle w:val="TableParagraph"/>
              <w:spacing w:line="252" w:lineRule="exact"/>
              <w:rPr>
                <w:sz w:val="22"/>
              </w:rPr>
            </w:pPr>
            <w:r>
              <w:rPr>
                <w:color w:val="202020"/>
                <w:sz w:val="22"/>
              </w:rPr>
              <w:t>3</w:t>
            </w:r>
            <w:r>
              <w:rPr>
                <w:color w:val="202020"/>
                <w:spacing w:val="-2"/>
                <w:sz w:val="22"/>
              </w:rPr>
              <w:t> </w:t>
            </w:r>
            <w:r>
              <w:rPr>
                <w:color w:val="202020"/>
                <w:sz w:val="22"/>
              </w:rPr>
              <w:t>=</w:t>
            </w:r>
            <w:r>
              <w:rPr>
                <w:color w:val="202020"/>
                <w:spacing w:val="-4"/>
                <w:sz w:val="22"/>
              </w:rPr>
              <w:t> </w:t>
            </w:r>
            <w:r>
              <w:rPr>
                <w:color w:val="202020"/>
                <w:sz w:val="22"/>
              </w:rPr>
              <w:t>Palidez</w:t>
            </w:r>
            <w:r>
              <w:rPr>
                <w:color w:val="202020"/>
                <w:spacing w:val="-3"/>
                <w:sz w:val="22"/>
              </w:rPr>
              <w:t> </w:t>
            </w:r>
            <w:r>
              <w:rPr>
                <w:color w:val="202020"/>
                <w:sz w:val="22"/>
              </w:rPr>
              <w:t>blanca</w:t>
            </w:r>
            <w:r>
              <w:rPr>
                <w:color w:val="202020"/>
                <w:spacing w:val="-3"/>
                <w:sz w:val="22"/>
              </w:rPr>
              <w:t> </w:t>
            </w:r>
            <w:r>
              <w:rPr>
                <w:color w:val="202020"/>
                <w:sz w:val="22"/>
              </w:rPr>
              <w:t>o</w:t>
            </w:r>
            <w:r>
              <w:rPr>
                <w:color w:val="202020"/>
                <w:spacing w:val="-1"/>
                <w:sz w:val="22"/>
              </w:rPr>
              <w:t> </w:t>
            </w:r>
            <w:r>
              <w:rPr>
                <w:color w:val="202020"/>
                <w:sz w:val="22"/>
              </w:rPr>
              <w:t>gris</w:t>
            </w:r>
            <w:r>
              <w:rPr>
                <w:color w:val="202020"/>
                <w:spacing w:val="-1"/>
                <w:sz w:val="22"/>
              </w:rPr>
              <w:t> </w:t>
            </w:r>
            <w:r>
              <w:rPr>
                <w:color w:val="202020"/>
                <w:sz w:val="22"/>
              </w:rPr>
              <w:t>o</w:t>
            </w:r>
            <w:r>
              <w:rPr>
                <w:color w:val="202020"/>
                <w:spacing w:val="-4"/>
                <w:sz w:val="22"/>
              </w:rPr>
              <w:t> </w:t>
            </w:r>
            <w:r>
              <w:rPr>
                <w:color w:val="202020"/>
                <w:spacing w:val="-2"/>
                <w:sz w:val="22"/>
              </w:rPr>
              <w:t>hipopigmentada</w:t>
            </w:r>
          </w:p>
          <w:p>
            <w:pPr>
              <w:pStyle w:val="TableParagraph"/>
              <w:spacing w:line="252" w:lineRule="exact" w:before="1"/>
              <w:rPr>
                <w:sz w:val="22"/>
              </w:rPr>
            </w:pPr>
            <w:r>
              <w:rPr>
                <w:color w:val="202020"/>
                <w:sz w:val="22"/>
              </w:rPr>
              <w:t>4</w:t>
            </w:r>
            <w:r>
              <w:rPr>
                <w:color w:val="202020"/>
                <w:spacing w:val="-3"/>
                <w:sz w:val="22"/>
              </w:rPr>
              <w:t> </w:t>
            </w:r>
            <w:r>
              <w:rPr>
                <w:color w:val="202020"/>
                <w:sz w:val="22"/>
              </w:rPr>
              <w:t>=</w:t>
            </w:r>
            <w:r>
              <w:rPr>
                <w:color w:val="202020"/>
                <w:spacing w:val="-4"/>
                <w:sz w:val="22"/>
              </w:rPr>
              <w:t> </w:t>
            </w:r>
            <w:r>
              <w:rPr>
                <w:color w:val="202020"/>
                <w:sz w:val="22"/>
              </w:rPr>
              <w:t>Rojo</w:t>
            </w:r>
            <w:r>
              <w:rPr>
                <w:color w:val="202020"/>
                <w:spacing w:val="-3"/>
                <w:sz w:val="22"/>
              </w:rPr>
              <w:t> </w:t>
            </w:r>
            <w:r>
              <w:rPr>
                <w:color w:val="202020"/>
                <w:sz w:val="22"/>
              </w:rPr>
              <w:t>oscuro</w:t>
            </w:r>
            <w:r>
              <w:rPr>
                <w:color w:val="202020"/>
                <w:spacing w:val="-1"/>
                <w:sz w:val="22"/>
              </w:rPr>
              <w:t> </w:t>
            </w:r>
            <w:r>
              <w:rPr>
                <w:color w:val="202020"/>
                <w:sz w:val="22"/>
              </w:rPr>
              <w:t>o</w:t>
            </w:r>
            <w:r>
              <w:rPr>
                <w:color w:val="202020"/>
                <w:spacing w:val="-6"/>
                <w:sz w:val="22"/>
              </w:rPr>
              <w:t> </w:t>
            </w:r>
            <w:r>
              <w:rPr>
                <w:color w:val="202020"/>
                <w:sz w:val="22"/>
              </w:rPr>
              <w:t>morado</w:t>
            </w:r>
            <w:r>
              <w:rPr>
                <w:color w:val="202020"/>
                <w:spacing w:val="-4"/>
                <w:sz w:val="22"/>
              </w:rPr>
              <w:t> </w:t>
            </w:r>
            <w:r>
              <w:rPr>
                <w:color w:val="202020"/>
                <w:sz w:val="22"/>
              </w:rPr>
              <w:t>y/o</w:t>
            </w:r>
            <w:r>
              <w:rPr>
                <w:color w:val="202020"/>
                <w:spacing w:val="-2"/>
                <w:sz w:val="22"/>
              </w:rPr>
              <w:t> hemorrágica</w:t>
            </w:r>
          </w:p>
          <w:p>
            <w:pPr>
              <w:pStyle w:val="TableParagraph"/>
              <w:spacing w:line="242" w:lineRule="exact"/>
              <w:rPr>
                <w:sz w:val="22"/>
              </w:rPr>
            </w:pPr>
            <w:r>
              <w:rPr>
                <w:color w:val="202020"/>
                <w:sz w:val="22"/>
              </w:rPr>
              <w:t>5</w:t>
            </w:r>
            <w:r>
              <w:rPr>
                <w:color w:val="202020"/>
                <w:spacing w:val="-2"/>
                <w:sz w:val="22"/>
              </w:rPr>
              <w:t> </w:t>
            </w:r>
            <w:r>
              <w:rPr>
                <w:color w:val="202020"/>
                <w:sz w:val="22"/>
              </w:rPr>
              <w:t>=</w:t>
            </w:r>
            <w:r>
              <w:rPr>
                <w:color w:val="202020"/>
                <w:spacing w:val="-2"/>
                <w:sz w:val="22"/>
              </w:rPr>
              <w:t> </w:t>
            </w:r>
            <w:r>
              <w:rPr>
                <w:color w:val="202020"/>
                <w:sz w:val="22"/>
              </w:rPr>
              <w:t>Negra</w:t>
            </w:r>
            <w:r>
              <w:rPr>
                <w:color w:val="202020"/>
                <w:spacing w:val="-3"/>
                <w:sz w:val="22"/>
              </w:rPr>
              <w:t> </w:t>
            </w:r>
            <w:r>
              <w:rPr>
                <w:color w:val="202020"/>
                <w:sz w:val="22"/>
              </w:rPr>
              <w:t>o</w:t>
            </w:r>
            <w:r>
              <w:rPr>
                <w:color w:val="202020"/>
                <w:spacing w:val="-1"/>
                <w:sz w:val="22"/>
              </w:rPr>
              <w:t> </w:t>
            </w:r>
            <w:r>
              <w:rPr>
                <w:color w:val="202020"/>
                <w:spacing w:val="-2"/>
                <w:sz w:val="22"/>
              </w:rPr>
              <w:t>hiperpigmentada</w:t>
            </w:r>
          </w:p>
        </w:tc>
      </w:tr>
      <w:tr>
        <w:trPr>
          <w:trHeight w:val="1601" w:hRule="atLeast"/>
        </w:trPr>
        <w:tc>
          <w:tcPr>
            <w:tcW w:w="2338" w:type="dxa"/>
            <w:tcBorders>
              <w:bottom w:val="single" w:sz="4" w:space="0" w:color="000000"/>
            </w:tcBorders>
          </w:tcPr>
          <w:p>
            <w:pPr>
              <w:pStyle w:val="TableParagraph"/>
              <w:rPr>
                <w:i/>
                <w:sz w:val="22"/>
              </w:rPr>
            </w:pPr>
          </w:p>
          <w:p>
            <w:pPr>
              <w:pStyle w:val="TableParagraph"/>
              <w:rPr>
                <w:i/>
                <w:sz w:val="22"/>
              </w:rPr>
            </w:pPr>
          </w:p>
          <w:p>
            <w:pPr>
              <w:pStyle w:val="TableParagraph"/>
              <w:rPr>
                <w:i/>
                <w:sz w:val="22"/>
              </w:rPr>
            </w:pPr>
          </w:p>
          <w:p>
            <w:pPr>
              <w:pStyle w:val="TableParagraph"/>
              <w:ind w:left="14"/>
              <w:rPr>
                <w:b/>
                <w:sz w:val="22"/>
              </w:rPr>
            </w:pPr>
            <w:r>
              <w:rPr>
                <w:b/>
                <w:color w:val="202020"/>
                <w:sz w:val="22"/>
              </w:rPr>
              <w:t>Tipo</w:t>
            </w:r>
            <w:r>
              <w:rPr>
                <w:b/>
                <w:color w:val="202020"/>
                <w:spacing w:val="-4"/>
                <w:sz w:val="22"/>
              </w:rPr>
              <w:t> </w:t>
            </w:r>
            <w:r>
              <w:rPr>
                <w:b/>
                <w:color w:val="202020"/>
                <w:sz w:val="22"/>
              </w:rPr>
              <w:t>de</w:t>
            </w:r>
            <w:r>
              <w:rPr>
                <w:b/>
                <w:color w:val="202020"/>
                <w:spacing w:val="-3"/>
                <w:sz w:val="22"/>
              </w:rPr>
              <w:t> </w:t>
            </w:r>
            <w:r>
              <w:rPr>
                <w:b/>
                <w:color w:val="202020"/>
                <w:spacing w:val="-2"/>
                <w:sz w:val="22"/>
              </w:rPr>
              <w:t>tejido</w:t>
            </w:r>
          </w:p>
        </w:tc>
        <w:tc>
          <w:tcPr>
            <w:tcW w:w="5610" w:type="dxa"/>
            <w:tcBorders>
              <w:bottom w:val="single" w:sz="4" w:space="0" w:color="000000"/>
            </w:tcBorders>
          </w:tcPr>
          <w:p>
            <w:pPr>
              <w:pStyle w:val="TableParagraph"/>
              <w:spacing w:line="252" w:lineRule="exact" w:before="1"/>
              <w:rPr>
                <w:sz w:val="22"/>
              </w:rPr>
            </w:pPr>
            <w:r>
              <w:rPr>
                <w:color w:val="202020"/>
                <w:sz w:val="22"/>
              </w:rPr>
              <w:t>1</w:t>
            </w:r>
            <w:r>
              <w:rPr>
                <w:color w:val="202020"/>
                <w:spacing w:val="-2"/>
                <w:sz w:val="22"/>
              </w:rPr>
              <w:t> </w:t>
            </w:r>
            <w:r>
              <w:rPr>
                <w:color w:val="202020"/>
                <w:sz w:val="22"/>
              </w:rPr>
              <w:t>=</w:t>
            </w:r>
            <w:r>
              <w:rPr>
                <w:color w:val="202020"/>
                <w:spacing w:val="-4"/>
                <w:sz w:val="22"/>
              </w:rPr>
              <w:t> </w:t>
            </w:r>
            <w:r>
              <w:rPr>
                <w:color w:val="202020"/>
                <w:sz w:val="22"/>
              </w:rPr>
              <w:t>Piel</w:t>
            </w:r>
            <w:r>
              <w:rPr>
                <w:color w:val="202020"/>
                <w:spacing w:val="-2"/>
                <w:sz w:val="22"/>
              </w:rPr>
              <w:t> </w:t>
            </w:r>
            <w:r>
              <w:rPr>
                <w:color w:val="202020"/>
                <w:sz w:val="22"/>
              </w:rPr>
              <w:t>intacta</w:t>
            </w:r>
            <w:r>
              <w:rPr>
                <w:color w:val="202020"/>
                <w:spacing w:val="-4"/>
                <w:sz w:val="22"/>
              </w:rPr>
              <w:t> </w:t>
            </w:r>
            <w:r>
              <w:rPr>
                <w:color w:val="202020"/>
                <w:sz w:val="22"/>
              </w:rPr>
              <w:t>o</w:t>
            </w:r>
            <w:r>
              <w:rPr>
                <w:color w:val="202020"/>
                <w:spacing w:val="-1"/>
                <w:sz w:val="22"/>
              </w:rPr>
              <w:t> </w:t>
            </w:r>
            <w:r>
              <w:rPr>
                <w:color w:val="202020"/>
                <w:sz w:val="22"/>
              </w:rPr>
              <w:t>herida</w:t>
            </w:r>
            <w:r>
              <w:rPr>
                <w:color w:val="202020"/>
                <w:spacing w:val="-3"/>
                <w:sz w:val="22"/>
              </w:rPr>
              <w:t> </w:t>
            </w:r>
            <w:r>
              <w:rPr>
                <w:color w:val="202020"/>
                <w:sz w:val="22"/>
              </w:rPr>
              <w:t>de</w:t>
            </w:r>
            <w:r>
              <w:rPr>
                <w:color w:val="202020"/>
                <w:spacing w:val="-7"/>
                <w:sz w:val="22"/>
              </w:rPr>
              <w:t> </w:t>
            </w:r>
            <w:r>
              <w:rPr>
                <w:color w:val="202020"/>
                <w:sz w:val="22"/>
              </w:rPr>
              <w:t>espesor </w:t>
            </w:r>
            <w:r>
              <w:rPr>
                <w:color w:val="202020"/>
                <w:spacing w:val="-2"/>
                <w:sz w:val="22"/>
              </w:rPr>
              <w:t>parcial</w:t>
            </w:r>
          </w:p>
          <w:p>
            <w:pPr>
              <w:pStyle w:val="TableParagraph"/>
              <w:rPr>
                <w:sz w:val="22"/>
              </w:rPr>
            </w:pPr>
            <w:r>
              <w:rPr>
                <w:color w:val="202020"/>
                <w:sz w:val="22"/>
              </w:rPr>
              <w:t>2 = Rojo carnoso brillante; 75% a 100% de la herida llena y/o crecimiento excesivo de tejido</w:t>
            </w:r>
          </w:p>
          <w:p>
            <w:pPr>
              <w:pStyle w:val="TableParagraph"/>
              <w:rPr>
                <w:sz w:val="22"/>
              </w:rPr>
            </w:pPr>
            <w:r>
              <w:rPr>
                <w:color w:val="202020"/>
                <w:sz w:val="22"/>
              </w:rPr>
              <w:t>3</w:t>
            </w:r>
            <w:r>
              <w:rPr>
                <w:color w:val="202020"/>
                <w:spacing w:val="-3"/>
                <w:sz w:val="22"/>
              </w:rPr>
              <w:t> </w:t>
            </w:r>
            <w:r>
              <w:rPr>
                <w:color w:val="202020"/>
                <w:sz w:val="22"/>
              </w:rPr>
              <w:t>=</w:t>
            </w:r>
            <w:r>
              <w:rPr>
                <w:color w:val="202020"/>
                <w:spacing w:val="-2"/>
                <w:sz w:val="22"/>
              </w:rPr>
              <w:t> </w:t>
            </w:r>
            <w:r>
              <w:rPr>
                <w:color w:val="202020"/>
                <w:sz w:val="22"/>
              </w:rPr>
              <w:t>Rojo</w:t>
            </w:r>
            <w:r>
              <w:rPr>
                <w:color w:val="202020"/>
                <w:spacing w:val="-4"/>
                <w:sz w:val="22"/>
              </w:rPr>
              <w:t> </w:t>
            </w:r>
            <w:r>
              <w:rPr>
                <w:color w:val="202020"/>
                <w:sz w:val="22"/>
              </w:rPr>
              <w:t>carnoso</w:t>
            </w:r>
            <w:r>
              <w:rPr>
                <w:color w:val="202020"/>
                <w:spacing w:val="-3"/>
                <w:sz w:val="22"/>
              </w:rPr>
              <w:t> </w:t>
            </w:r>
            <w:r>
              <w:rPr>
                <w:color w:val="202020"/>
                <w:sz w:val="22"/>
              </w:rPr>
              <w:t>brillante;</w:t>
            </w:r>
            <w:r>
              <w:rPr>
                <w:color w:val="202020"/>
                <w:spacing w:val="-2"/>
                <w:sz w:val="22"/>
              </w:rPr>
              <w:t> </w:t>
            </w:r>
            <w:r>
              <w:rPr>
                <w:color w:val="202020"/>
                <w:sz w:val="22"/>
              </w:rPr>
              <w:t>&lt;75%</w:t>
            </w:r>
            <w:r>
              <w:rPr>
                <w:color w:val="202020"/>
                <w:spacing w:val="1"/>
                <w:sz w:val="22"/>
              </w:rPr>
              <w:t> </w:t>
            </w:r>
            <w:r>
              <w:rPr>
                <w:color w:val="202020"/>
                <w:sz w:val="22"/>
              </w:rPr>
              <w:t>y</w:t>
            </w:r>
            <w:r>
              <w:rPr>
                <w:color w:val="202020"/>
                <w:spacing w:val="-9"/>
                <w:sz w:val="22"/>
              </w:rPr>
              <w:t> </w:t>
            </w:r>
            <w:r>
              <w:rPr>
                <w:color w:val="202020"/>
                <w:spacing w:val="-4"/>
                <w:sz w:val="22"/>
              </w:rPr>
              <w:t>&gt;25%</w:t>
            </w:r>
          </w:p>
          <w:p>
            <w:pPr>
              <w:pStyle w:val="TableParagraph"/>
              <w:spacing w:line="253" w:lineRule="exact" w:before="1"/>
              <w:rPr>
                <w:sz w:val="22"/>
              </w:rPr>
            </w:pPr>
            <w:r>
              <w:rPr>
                <w:color w:val="202020"/>
                <w:sz w:val="22"/>
              </w:rPr>
              <w:t>4</w:t>
            </w:r>
            <w:r>
              <w:rPr>
                <w:color w:val="202020"/>
                <w:spacing w:val="-5"/>
                <w:sz w:val="22"/>
              </w:rPr>
              <w:t> </w:t>
            </w:r>
            <w:r>
              <w:rPr>
                <w:color w:val="202020"/>
                <w:sz w:val="22"/>
              </w:rPr>
              <w:t>=</w:t>
            </w:r>
            <w:r>
              <w:rPr>
                <w:color w:val="202020"/>
                <w:spacing w:val="-4"/>
                <w:sz w:val="22"/>
              </w:rPr>
              <w:t> </w:t>
            </w:r>
            <w:r>
              <w:rPr>
                <w:color w:val="202020"/>
                <w:sz w:val="22"/>
              </w:rPr>
              <w:t>Rosado</w:t>
            </w:r>
            <w:r>
              <w:rPr>
                <w:color w:val="202020"/>
                <w:spacing w:val="-1"/>
                <w:sz w:val="22"/>
              </w:rPr>
              <w:t> </w:t>
            </w:r>
            <w:r>
              <w:rPr>
                <w:color w:val="202020"/>
                <w:sz w:val="22"/>
              </w:rPr>
              <w:t>y/o</w:t>
            </w:r>
            <w:r>
              <w:rPr>
                <w:color w:val="202020"/>
                <w:spacing w:val="-2"/>
                <w:sz w:val="22"/>
              </w:rPr>
              <w:t> </w:t>
            </w:r>
            <w:r>
              <w:rPr>
                <w:color w:val="202020"/>
                <w:sz w:val="22"/>
              </w:rPr>
              <w:t>rojo</w:t>
            </w:r>
            <w:r>
              <w:rPr>
                <w:color w:val="202020"/>
                <w:spacing w:val="-1"/>
                <w:sz w:val="22"/>
              </w:rPr>
              <w:t> </w:t>
            </w:r>
            <w:r>
              <w:rPr>
                <w:color w:val="202020"/>
                <w:sz w:val="22"/>
              </w:rPr>
              <w:t>opaco</w:t>
            </w:r>
            <w:r>
              <w:rPr>
                <w:color w:val="202020"/>
                <w:spacing w:val="-5"/>
                <w:sz w:val="22"/>
              </w:rPr>
              <w:t> </w:t>
            </w:r>
            <w:r>
              <w:rPr>
                <w:color w:val="202020"/>
                <w:sz w:val="22"/>
              </w:rPr>
              <w:t>y/o</w:t>
            </w:r>
            <w:r>
              <w:rPr>
                <w:color w:val="202020"/>
                <w:spacing w:val="-1"/>
                <w:sz w:val="22"/>
              </w:rPr>
              <w:t> </w:t>
            </w:r>
            <w:r>
              <w:rPr>
                <w:color w:val="202020"/>
                <w:sz w:val="22"/>
              </w:rPr>
              <w:t>llena</w:t>
            </w:r>
            <w:r>
              <w:rPr>
                <w:color w:val="202020"/>
                <w:spacing w:val="-4"/>
                <w:sz w:val="22"/>
              </w:rPr>
              <w:t> </w:t>
            </w:r>
            <w:r>
              <w:rPr>
                <w:color w:val="202020"/>
                <w:sz w:val="22"/>
              </w:rPr>
              <w:t>&lt;25%</w:t>
            </w:r>
            <w:r>
              <w:rPr>
                <w:color w:val="202020"/>
                <w:spacing w:val="-3"/>
                <w:sz w:val="22"/>
              </w:rPr>
              <w:t> </w:t>
            </w:r>
            <w:r>
              <w:rPr>
                <w:color w:val="202020"/>
                <w:sz w:val="22"/>
              </w:rPr>
              <w:t>de</w:t>
            </w:r>
            <w:r>
              <w:rPr>
                <w:color w:val="202020"/>
                <w:spacing w:val="-6"/>
                <w:sz w:val="22"/>
              </w:rPr>
              <w:t> </w:t>
            </w:r>
            <w:r>
              <w:rPr>
                <w:color w:val="202020"/>
                <w:sz w:val="22"/>
              </w:rPr>
              <w:t>la</w:t>
            </w:r>
            <w:r>
              <w:rPr>
                <w:color w:val="202020"/>
                <w:spacing w:val="-3"/>
                <w:sz w:val="22"/>
              </w:rPr>
              <w:t> </w:t>
            </w:r>
            <w:r>
              <w:rPr>
                <w:color w:val="202020"/>
                <w:spacing w:val="-2"/>
                <w:sz w:val="22"/>
              </w:rPr>
              <w:t>herida</w:t>
            </w:r>
          </w:p>
          <w:p>
            <w:pPr>
              <w:pStyle w:val="TableParagraph"/>
              <w:rPr>
                <w:sz w:val="22"/>
              </w:rPr>
            </w:pPr>
            <w:r>
              <w:rPr>
                <w:color w:val="202020"/>
                <w:sz w:val="22"/>
              </w:rPr>
              <w:t>5</w:t>
            </w:r>
            <w:r>
              <w:rPr>
                <w:color w:val="202020"/>
                <w:spacing w:val="-3"/>
                <w:sz w:val="22"/>
              </w:rPr>
              <w:t> </w:t>
            </w:r>
            <w:r>
              <w:rPr>
                <w:color w:val="202020"/>
                <w:sz w:val="22"/>
              </w:rPr>
              <w:t>=</w:t>
            </w:r>
            <w:r>
              <w:rPr>
                <w:color w:val="202020"/>
                <w:spacing w:val="-2"/>
                <w:sz w:val="22"/>
              </w:rPr>
              <w:t> </w:t>
            </w:r>
            <w:r>
              <w:rPr>
                <w:color w:val="202020"/>
                <w:sz w:val="22"/>
              </w:rPr>
              <w:t>No</w:t>
            </w:r>
            <w:r>
              <w:rPr>
                <w:color w:val="202020"/>
                <w:spacing w:val="-2"/>
                <w:sz w:val="22"/>
              </w:rPr>
              <w:t> </w:t>
            </w:r>
            <w:r>
              <w:rPr>
                <w:color w:val="202020"/>
                <w:sz w:val="22"/>
              </w:rPr>
              <w:t>hay</w:t>
            </w:r>
            <w:r>
              <w:rPr>
                <w:color w:val="202020"/>
                <w:spacing w:val="-9"/>
                <w:sz w:val="22"/>
              </w:rPr>
              <w:t> </w:t>
            </w:r>
            <w:r>
              <w:rPr>
                <w:color w:val="202020"/>
                <w:sz w:val="22"/>
              </w:rPr>
              <w:t>tejido</w:t>
            </w:r>
            <w:r>
              <w:rPr>
                <w:color w:val="202020"/>
                <w:spacing w:val="-2"/>
                <w:sz w:val="22"/>
              </w:rPr>
              <w:t> </w:t>
            </w:r>
            <w:r>
              <w:rPr>
                <w:color w:val="202020"/>
                <w:sz w:val="22"/>
              </w:rPr>
              <w:t>de</w:t>
            </w:r>
            <w:r>
              <w:rPr>
                <w:color w:val="202020"/>
                <w:spacing w:val="-1"/>
                <w:sz w:val="22"/>
              </w:rPr>
              <w:t> </w:t>
            </w:r>
            <w:r>
              <w:rPr>
                <w:color w:val="202020"/>
                <w:sz w:val="22"/>
              </w:rPr>
              <w:t>granulación</w:t>
            </w:r>
            <w:r>
              <w:rPr>
                <w:color w:val="202020"/>
                <w:spacing w:val="-1"/>
                <w:sz w:val="22"/>
              </w:rPr>
              <w:t> </w:t>
            </w:r>
            <w:r>
              <w:rPr>
                <w:color w:val="202020"/>
                <w:spacing w:val="-2"/>
                <w:sz w:val="22"/>
              </w:rPr>
              <w:t>presente</w:t>
            </w:r>
          </w:p>
        </w:tc>
      </w:tr>
    </w:tbl>
    <w:p>
      <w:pPr>
        <w:spacing w:before="2"/>
        <w:ind w:left="1135" w:right="0" w:firstLine="0"/>
        <w:jc w:val="left"/>
        <w:rPr>
          <w:sz w:val="20"/>
        </w:rPr>
      </w:pPr>
      <w:r>
        <w:rPr>
          <w:b/>
          <w:sz w:val="20"/>
        </w:rPr>
        <w:t>Fuente:</w:t>
      </w:r>
      <w:r>
        <w:rPr>
          <w:b/>
          <w:spacing w:val="29"/>
          <w:sz w:val="20"/>
        </w:rPr>
        <w:t> </w:t>
      </w:r>
      <w:r>
        <w:rPr>
          <w:sz w:val="20"/>
        </w:rPr>
        <w:t>(Martins</w:t>
      </w:r>
      <w:r>
        <w:rPr>
          <w:spacing w:val="31"/>
          <w:sz w:val="20"/>
        </w:rPr>
        <w:t> </w:t>
      </w:r>
      <w:r>
        <w:rPr>
          <w:sz w:val="20"/>
        </w:rPr>
        <w:t>&amp;</w:t>
      </w:r>
      <w:r>
        <w:rPr>
          <w:spacing w:val="24"/>
          <w:sz w:val="20"/>
        </w:rPr>
        <w:t> </w:t>
      </w:r>
      <w:r>
        <w:rPr>
          <w:sz w:val="20"/>
        </w:rPr>
        <w:t>Stilwell,</w:t>
      </w:r>
      <w:r>
        <w:rPr>
          <w:spacing w:val="33"/>
          <w:sz w:val="20"/>
        </w:rPr>
        <w:t> </w:t>
      </w:r>
      <w:r>
        <w:rPr>
          <w:spacing w:val="-4"/>
          <w:sz w:val="20"/>
        </w:rPr>
        <w:t>2024)</w:t>
      </w:r>
    </w:p>
    <w:p>
      <w:pPr>
        <w:spacing w:after="0"/>
        <w:jc w:val="left"/>
        <w:rPr>
          <w:sz w:val="20"/>
        </w:rPr>
        <w:sectPr>
          <w:pgSz w:w="11900" w:h="16860"/>
          <w:pgMar w:header="0" w:footer="1084" w:top="1620" w:bottom="1280" w:left="1133" w:right="850"/>
        </w:sectPr>
      </w:pPr>
    </w:p>
    <w:p>
      <w:pPr>
        <w:spacing w:before="70"/>
        <w:ind w:left="1135" w:right="0" w:firstLine="0"/>
        <w:jc w:val="both"/>
        <w:rPr>
          <w:b/>
          <w:sz w:val="24"/>
        </w:rPr>
      </w:pPr>
      <w:r>
        <w:rPr>
          <w:b/>
          <w:sz w:val="24"/>
        </w:rPr>
        <w:t>CAPÍTULO</w:t>
      </w:r>
      <w:r>
        <w:rPr>
          <w:b/>
          <w:spacing w:val="-3"/>
          <w:sz w:val="24"/>
        </w:rPr>
        <w:t> </w:t>
      </w:r>
      <w:r>
        <w:rPr>
          <w:b/>
          <w:sz w:val="24"/>
        </w:rPr>
        <w:t>IV</w:t>
      </w:r>
      <w:r>
        <w:rPr>
          <w:b/>
          <w:spacing w:val="-8"/>
          <w:sz w:val="24"/>
        </w:rPr>
        <w:t> </w:t>
      </w:r>
      <w:r>
        <w:rPr>
          <w:b/>
          <w:sz w:val="24"/>
        </w:rPr>
        <w:t>MARCO</w:t>
      </w:r>
      <w:r>
        <w:rPr>
          <w:b/>
          <w:spacing w:val="-3"/>
          <w:sz w:val="24"/>
        </w:rPr>
        <w:t> </w:t>
      </w:r>
      <w:r>
        <w:rPr>
          <w:b/>
          <w:spacing w:val="-2"/>
          <w:sz w:val="24"/>
        </w:rPr>
        <w:t>METODOLOGÍCO</w:t>
      </w:r>
    </w:p>
    <w:p>
      <w:pPr>
        <w:pStyle w:val="BodyText"/>
        <w:spacing w:before="101"/>
        <w:ind w:left="0"/>
        <w:rPr>
          <w:b/>
        </w:rPr>
      </w:pPr>
    </w:p>
    <w:p>
      <w:pPr>
        <w:pStyle w:val="Heading2"/>
        <w:numPr>
          <w:ilvl w:val="1"/>
          <w:numId w:val="13"/>
        </w:numPr>
        <w:tabs>
          <w:tab w:pos="1843" w:val="left" w:leader="none"/>
        </w:tabs>
        <w:spacing w:line="240" w:lineRule="auto" w:before="0" w:after="0"/>
        <w:ind w:left="1843" w:right="0" w:hanging="708"/>
        <w:jc w:val="left"/>
      </w:pPr>
      <w:bookmarkStart w:name="_bookmark36" w:id="37"/>
      <w:bookmarkEnd w:id="37"/>
      <w:r>
        <w:rPr>
          <w:spacing w:val="-2"/>
        </w:rPr>
        <w:t>M</w:t>
      </w:r>
      <w:r>
        <w:rPr>
          <w:spacing w:val="-2"/>
        </w:rPr>
        <w:t>ateriales</w:t>
      </w:r>
    </w:p>
    <w:p>
      <w:pPr>
        <w:pStyle w:val="BodyText"/>
        <w:spacing w:before="103"/>
        <w:ind w:left="0"/>
        <w:rPr>
          <w:b/>
        </w:rPr>
      </w:pPr>
    </w:p>
    <w:p>
      <w:pPr>
        <w:pStyle w:val="Heading2"/>
        <w:numPr>
          <w:ilvl w:val="2"/>
          <w:numId w:val="13"/>
        </w:numPr>
        <w:tabs>
          <w:tab w:pos="1987" w:val="left" w:leader="none"/>
        </w:tabs>
        <w:spacing w:line="240" w:lineRule="auto" w:before="1" w:after="0"/>
        <w:ind w:left="1987" w:right="0" w:hanging="852"/>
        <w:jc w:val="left"/>
      </w:pPr>
      <w:bookmarkStart w:name="_bookmark37" w:id="38"/>
      <w:bookmarkEnd w:id="38"/>
      <w:r>
        <w:rPr>
          <w:b w:val="0"/>
        </w:rPr>
      </w:r>
      <w:r>
        <w:rPr/>
        <w:t>Localización de</w:t>
      </w:r>
      <w:r>
        <w:rPr>
          <w:spacing w:val="-2"/>
        </w:rPr>
        <w:t> </w:t>
      </w:r>
      <w:r>
        <w:rPr/>
        <w:t>la</w:t>
      </w:r>
      <w:r>
        <w:rPr>
          <w:spacing w:val="-3"/>
        </w:rPr>
        <w:t> </w:t>
      </w:r>
      <w:r>
        <w:rPr>
          <w:spacing w:val="-2"/>
        </w:rPr>
        <w:t>investigación</w:t>
      </w:r>
    </w:p>
    <w:p>
      <w:pPr>
        <w:pStyle w:val="BodyText"/>
        <w:spacing w:before="100"/>
        <w:ind w:left="0"/>
        <w:rPr>
          <w:b/>
        </w:rPr>
      </w:pPr>
    </w:p>
    <w:p>
      <w:pPr>
        <w:pStyle w:val="BodyText"/>
        <w:spacing w:line="360" w:lineRule="auto"/>
        <w:ind w:right="848"/>
        <w:jc w:val="both"/>
      </w:pPr>
      <w:r>
        <w:rPr/>
        <w:t>El</w:t>
      </w:r>
      <w:r>
        <w:rPr>
          <w:spacing w:val="-15"/>
        </w:rPr>
        <w:t> </w:t>
      </w:r>
      <w:r>
        <w:rPr/>
        <w:t>experimento</w:t>
      </w:r>
      <w:r>
        <w:rPr>
          <w:spacing w:val="-12"/>
        </w:rPr>
        <w:t> </w:t>
      </w:r>
      <w:r>
        <w:rPr/>
        <w:t>se</w:t>
      </w:r>
      <w:r>
        <w:rPr>
          <w:spacing w:val="-15"/>
        </w:rPr>
        <w:t> </w:t>
      </w:r>
      <w:r>
        <w:rPr/>
        <w:t>realizó</w:t>
      </w:r>
      <w:r>
        <w:rPr>
          <w:spacing w:val="-15"/>
        </w:rPr>
        <w:t> </w:t>
      </w:r>
      <w:r>
        <w:rPr/>
        <w:t>en</w:t>
      </w:r>
      <w:r>
        <w:rPr>
          <w:spacing w:val="-13"/>
        </w:rPr>
        <w:t> </w:t>
      </w:r>
      <w:r>
        <w:rPr/>
        <w:t>la</w:t>
      </w:r>
      <w:r>
        <w:rPr>
          <w:spacing w:val="-15"/>
        </w:rPr>
        <w:t> </w:t>
      </w:r>
      <w:r>
        <w:rPr/>
        <w:t>unidad</w:t>
      </w:r>
      <w:r>
        <w:rPr>
          <w:spacing w:val="-13"/>
        </w:rPr>
        <w:t> </w:t>
      </w:r>
      <w:r>
        <w:rPr/>
        <w:t>productiva</w:t>
      </w:r>
      <w:r>
        <w:rPr>
          <w:spacing w:val="-14"/>
        </w:rPr>
        <w:t> </w:t>
      </w:r>
      <w:r>
        <w:rPr/>
        <w:t>de</w:t>
      </w:r>
      <w:r>
        <w:rPr>
          <w:spacing w:val="-15"/>
        </w:rPr>
        <w:t> </w:t>
      </w:r>
      <w:r>
        <w:rPr/>
        <w:t>la</w:t>
      </w:r>
      <w:r>
        <w:rPr>
          <w:spacing w:val="-14"/>
        </w:rPr>
        <w:t> </w:t>
      </w:r>
      <w:r>
        <w:rPr/>
        <w:t>familia</w:t>
      </w:r>
      <w:r>
        <w:rPr>
          <w:spacing w:val="-15"/>
        </w:rPr>
        <w:t> </w:t>
      </w:r>
      <w:r>
        <w:rPr/>
        <w:t>Gaibor</w:t>
      </w:r>
      <w:r>
        <w:rPr>
          <w:spacing w:val="-13"/>
        </w:rPr>
        <w:t> </w:t>
      </w:r>
      <w:r>
        <w:rPr/>
        <w:t>ubicada</w:t>
      </w:r>
      <w:r>
        <w:rPr>
          <w:spacing w:val="-14"/>
        </w:rPr>
        <w:t> </w:t>
      </w:r>
      <w:r>
        <w:rPr/>
        <w:t>en</w:t>
      </w:r>
      <w:r>
        <w:rPr>
          <w:spacing w:val="-4"/>
        </w:rPr>
        <w:t> </w:t>
      </w:r>
      <w:r>
        <w:rPr/>
        <w:t>el recinto El Consuelo, perteneciente a la parroquia Regulo de Mora la misma que pertenece al cantón San Miguel de la provincia de Bolívar.</w:t>
      </w:r>
    </w:p>
    <w:p>
      <w:pPr>
        <w:pStyle w:val="Heading3"/>
        <w:spacing w:before="242"/>
        <w:jc w:val="both"/>
      </w:pPr>
      <w:bookmarkStart w:name="_bookmark38" w:id="39"/>
      <w:bookmarkEnd w:id="39"/>
      <w:r>
        <w:rPr>
          <w:b w:val="0"/>
          <w:i w:val="0"/>
        </w:rPr>
      </w:r>
      <w:r>
        <w:rPr/>
        <w:t>Tabla </w:t>
      </w:r>
      <w:r>
        <w:rPr>
          <w:spacing w:val="-10"/>
        </w:rPr>
        <w:t>3</w:t>
      </w:r>
    </w:p>
    <w:p>
      <w:pPr>
        <w:spacing w:before="137"/>
        <w:ind w:left="1135" w:right="0" w:firstLine="0"/>
        <w:jc w:val="both"/>
        <w:rPr>
          <w:i/>
          <w:sz w:val="24"/>
        </w:rPr>
      </w:pPr>
      <w:r>
        <w:rPr>
          <w:i/>
          <w:sz w:val="24"/>
        </w:rPr>
        <w:t>Situación</w:t>
      </w:r>
      <w:r>
        <w:rPr>
          <w:i/>
          <w:spacing w:val="-1"/>
          <w:sz w:val="24"/>
        </w:rPr>
        <w:t> </w:t>
      </w:r>
      <w:r>
        <w:rPr>
          <w:i/>
          <w:sz w:val="24"/>
        </w:rPr>
        <w:t>geográfica y</w:t>
      </w:r>
      <w:r>
        <w:rPr>
          <w:i/>
          <w:spacing w:val="-1"/>
          <w:sz w:val="24"/>
        </w:rPr>
        <w:t> </w:t>
      </w:r>
      <w:r>
        <w:rPr>
          <w:i/>
          <w:spacing w:val="-2"/>
          <w:sz w:val="24"/>
        </w:rPr>
        <w:t>edafoclimática</w:t>
      </w:r>
    </w:p>
    <w:p>
      <w:pPr>
        <w:pStyle w:val="BodyText"/>
        <w:spacing w:before="2"/>
        <w:ind w:left="0"/>
        <w:rPr>
          <w:i/>
          <w:sz w:val="12"/>
        </w:rPr>
      </w:pPr>
    </w:p>
    <w:tbl>
      <w:tblPr>
        <w:tblW w:w="0" w:type="auto"/>
        <w:jc w:val="left"/>
        <w:tblInd w:w="1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43"/>
        <w:gridCol w:w="3330"/>
      </w:tblGrid>
      <w:tr>
        <w:trPr>
          <w:trHeight w:val="405" w:hRule="atLeast"/>
        </w:trPr>
        <w:tc>
          <w:tcPr>
            <w:tcW w:w="4443" w:type="dxa"/>
            <w:tcBorders>
              <w:top w:val="single" w:sz="4" w:space="0" w:color="000000"/>
              <w:bottom w:val="single" w:sz="4" w:space="0" w:color="000000"/>
            </w:tcBorders>
          </w:tcPr>
          <w:p>
            <w:pPr>
              <w:pStyle w:val="TableParagraph"/>
              <w:spacing w:line="275" w:lineRule="exact"/>
              <w:ind w:left="7"/>
              <w:rPr>
                <w:b/>
                <w:sz w:val="24"/>
              </w:rPr>
            </w:pPr>
            <w:r>
              <w:rPr>
                <w:b/>
                <w:color w:val="202020"/>
                <w:spacing w:val="-2"/>
                <w:sz w:val="24"/>
              </w:rPr>
              <w:t>Parámetros</w:t>
            </w:r>
          </w:p>
        </w:tc>
        <w:tc>
          <w:tcPr>
            <w:tcW w:w="3330" w:type="dxa"/>
            <w:tcBorders>
              <w:top w:val="single" w:sz="4" w:space="0" w:color="000000"/>
              <w:bottom w:val="single" w:sz="4" w:space="0" w:color="000000"/>
            </w:tcBorders>
          </w:tcPr>
          <w:p>
            <w:pPr>
              <w:pStyle w:val="TableParagraph"/>
              <w:spacing w:line="275" w:lineRule="exact"/>
              <w:ind w:left="909"/>
              <w:rPr>
                <w:b/>
                <w:sz w:val="24"/>
              </w:rPr>
            </w:pPr>
            <w:r>
              <w:rPr>
                <w:b/>
                <w:color w:val="202020"/>
                <w:spacing w:val="-2"/>
                <w:sz w:val="24"/>
              </w:rPr>
              <w:t>Detalle</w:t>
            </w:r>
          </w:p>
        </w:tc>
      </w:tr>
      <w:tr>
        <w:trPr>
          <w:trHeight w:val="343" w:hRule="atLeast"/>
        </w:trPr>
        <w:tc>
          <w:tcPr>
            <w:tcW w:w="4443" w:type="dxa"/>
            <w:tcBorders>
              <w:top w:val="single" w:sz="4" w:space="0" w:color="000000"/>
            </w:tcBorders>
          </w:tcPr>
          <w:p>
            <w:pPr>
              <w:pStyle w:val="TableParagraph"/>
              <w:spacing w:line="275" w:lineRule="exact"/>
              <w:ind w:left="7"/>
              <w:rPr>
                <w:b/>
                <w:sz w:val="24"/>
              </w:rPr>
            </w:pPr>
            <w:r>
              <w:rPr>
                <w:b/>
                <w:spacing w:val="-2"/>
                <w:sz w:val="24"/>
              </w:rPr>
              <w:t>Altitud</w:t>
            </w:r>
          </w:p>
        </w:tc>
        <w:tc>
          <w:tcPr>
            <w:tcW w:w="3330" w:type="dxa"/>
            <w:tcBorders>
              <w:top w:val="single" w:sz="4" w:space="0" w:color="000000"/>
            </w:tcBorders>
          </w:tcPr>
          <w:p>
            <w:pPr>
              <w:pStyle w:val="TableParagraph"/>
              <w:spacing w:line="275" w:lineRule="exact"/>
              <w:ind w:left="909"/>
              <w:rPr>
                <w:sz w:val="24"/>
              </w:rPr>
            </w:pPr>
            <w:r>
              <w:rPr>
                <w:sz w:val="24"/>
              </w:rPr>
              <w:t>1848 </w:t>
            </w:r>
            <w:r>
              <w:rPr>
                <w:spacing w:val="-2"/>
                <w:sz w:val="24"/>
              </w:rPr>
              <w:t>m.s.n.m.</w:t>
            </w:r>
          </w:p>
        </w:tc>
      </w:tr>
      <w:tr>
        <w:trPr>
          <w:trHeight w:val="510" w:hRule="atLeast"/>
        </w:trPr>
        <w:tc>
          <w:tcPr>
            <w:tcW w:w="4443" w:type="dxa"/>
          </w:tcPr>
          <w:p>
            <w:pPr>
              <w:pStyle w:val="TableParagraph"/>
              <w:spacing w:before="58"/>
              <w:ind w:left="7"/>
              <w:rPr>
                <w:b/>
                <w:sz w:val="24"/>
              </w:rPr>
            </w:pPr>
            <w:r>
              <w:rPr>
                <w:b/>
                <w:spacing w:val="-2"/>
                <w:sz w:val="24"/>
              </w:rPr>
              <w:t>Latitud</w:t>
            </w:r>
          </w:p>
        </w:tc>
        <w:tc>
          <w:tcPr>
            <w:tcW w:w="3330" w:type="dxa"/>
          </w:tcPr>
          <w:p>
            <w:pPr>
              <w:pStyle w:val="TableParagraph"/>
              <w:spacing w:before="58"/>
              <w:ind w:left="909"/>
              <w:rPr>
                <w:sz w:val="24"/>
              </w:rPr>
            </w:pPr>
            <w:r>
              <w:rPr>
                <w:sz w:val="24"/>
              </w:rPr>
              <w:t>1°52'02.4"</w:t>
            </w:r>
            <w:r>
              <w:rPr>
                <w:spacing w:val="-10"/>
                <w:sz w:val="24"/>
              </w:rPr>
              <w:t> S</w:t>
            </w:r>
          </w:p>
        </w:tc>
      </w:tr>
      <w:tr>
        <w:trPr>
          <w:trHeight w:val="616" w:hRule="atLeast"/>
        </w:trPr>
        <w:tc>
          <w:tcPr>
            <w:tcW w:w="4443" w:type="dxa"/>
          </w:tcPr>
          <w:p>
            <w:pPr>
              <w:pStyle w:val="TableParagraph"/>
              <w:spacing w:before="165"/>
              <w:ind w:left="7"/>
              <w:rPr>
                <w:b/>
                <w:sz w:val="24"/>
              </w:rPr>
            </w:pPr>
            <w:r>
              <w:rPr>
                <w:b/>
                <w:spacing w:val="-2"/>
                <w:sz w:val="24"/>
              </w:rPr>
              <w:t>Longitud</w:t>
            </w:r>
          </w:p>
        </w:tc>
        <w:tc>
          <w:tcPr>
            <w:tcW w:w="3330" w:type="dxa"/>
          </w:tcPr>
          <w:p>
            <w:pPr>
              <w:pStyle w:val="TableParagraph"/>
              <w:spacing w:before="165"/>
              <w:ind w:left="909"/>
              <w:rPr>
                <w:sz w:val="24"/>
              </w:rPr>
            </w:pPr>
            <w:r>
              <w:rPr>
                <w:sz w:val="24"/>
              </w:rPr>
              <w:t>79°10'11.9"</w:t>
            </w:r>
            <w:r>
              <w:rPr>
                <w:spacing w:val="-10"/>
                <w:sz w:val="24"/>
              </w:rPr>
              <w:t> W</w:t>
            </w:r>
          </w:p>
        </w:tc>
      </w:tr>
      <w:tr>
        <w:trPr>
          <w:trHeight w:val="617" w:hRule="atLeast"/>
        </w:trPr>
        <w:tc>
          <w:tcPr>
            <w:tcW w:w="4443" w:type="dxa"/>
          </w:tcPr>
          <w:p>
            <w:pPr>
              <w:pStyle w:val="TableParagraph"/>
              <w:spacing w:before="165"/>
              <w:ind w:left="7"/>
              <w:rPr>
                <w:b/>
                <w:sz w:val="24"/>
              </w:rPr>
            </w:pPr>
            <w:r>
              <w:rPr>
                <w:b/>
                <w:sz w:val="24"/>
              </w:rPr>
              <w:t>Humedad</w:t>
            </w:r>
            <w:r>
              <w:rPr>
                <w:b/>
                <w:spacing w:val="-6"/>
                <w:sz w:val="24"/>
              </w:rPr>
              <w:t> </w:t>
            </w:r>
            <w:r>
              <w:rPr>
                <w:b/>
                <w:sz w:val="24"/>
              </w:rPr>
              <w:t>relativa</w:t>
            </w:r>
            <w:r>
              <w:rPr>
                <w:b/>
                <w:spacing w:val="-7"/>
                <w:sz w:val="24"/>
              </w:rPr>
              <w:t> </w:t>
            </w:r>
            <w:r>
              <w:rPr>
                <w:b/>
                <w:sz w:val="24"/>
              </w:rPr>
              <w:t>promedio </w:t>
            </w:r>
            <w:r>
              <w:rPr>
                <w:b/>
                <w:spacing w:val="-4"/>
                <w:sz w:val="24"/>
              </w:rPr>
              <w:t>anual</w:t>
            </w:r>
          </w:p>
        </w:tc>
        <w:tc>
          <w:tcPr>
            <w:tcW w:w="3330" w:type="dxa"/>
          </w:tcPr>
          <w:p>
            <w:pPr>
              <w:pStyle w:val="TableParagraph"/>
              <w:spacing w:before="165"/>
              <w:ind w:left="909"/>
              <w:rPr>
                <w:sz w:val="24"/>
              </w:rPr>
            </w:pPr>
            <w:r>
              <w:rPr>
                <w:sz w:val="24"/>
              </w:rPr>
              <w:t>85 </w:t>
            </w:r>
            <w:r>
              <w:rPr>
                <w:spacing w:val="-10"/>
                <w:sz w:val="24"/>
              </w:rPr>
              <w:t>%</w:t>
            </w:r>
          </w:p>
        </w:tc>
      </w:tr>
      <w:tr>
        <w:trPr>
          <w:trHeight w:val="617" w:hRule="atLeast"/>
        </w:trPr>
        <w:tc>
          <w:tcPr>
            <w:tcW w:w="4443" w:type="dxa"/>
          </w:tcPr>
          <w:p>
            <w:pPr>
              <w:pStyle w:val="TableParagraph"/>
              <w:spacing w:before="165"/>
              <w:ind w:left="7"/>
              <w:rPr>
                <w:b/>
                <w:sz w:val="24"/>
              </w:rPr>
            </w:pPr>
            <w:r>
              <w:rPr>
                <w:b/>
                <w:sz w:val="24"/>
              </w:rPr>
              <w:t>Temperatura</w:t>
            </w:r>
            <w:r>
              <w:rPr>
                <w:b/>
                <w:spacing w:val="-7"/>
                <w:sz w:val="24"/>
              </w:rPr>
              <w:t> </w:t>
            </w:r>
            <w:r>
              <w:rPr>
                <w:b/>
                <w:spacing w:val="-2"/>
                <w:sz w:val="24"/>
              </w:rPr>
              <w:t>máxima</w:t>
            </w:r>
          </w:p>
        </w:tc>
        <w:tc>
          <w:tcPr>
            <w:tcW w:w="3330" w:type="dxa"/>
          </w:tcPr>
          <w:p>
            <w:pPr>
              <w:pStyle w:val="TableParagraph"/>
              <w:spacing w:before="165"/>
              <w:ind w:left="909"/>
              <w:rPr>
                <w:sz w:val="24"/>
              </w:rPr>
            </w:pPr>
            <w:r>
              <w:rPr>
                <w:sz w:val="24"/>
              </w:rPr>
              <w:t>21º</w:t>
            </w:r>
            <w:r>
              <w:rPr>
                <w:spacing w:val="-1"/>
                <w:sz w:val="24"/>
              </w:rPr>
              <w:t> </w:t>
            </w:r>
            <w:r>
              <w:rPr>
                <w:spacing w:val="-10"/>
                <w:sz w:val="24"/>
              </w:rPr>
              <w:t>C</w:t>
            </w:r>
          </w:p>
        </w:tc>
      </w:tr>
      <w:tr>
        <w:trPr>
          <w:trHeight w:val="616" w:hRule="atLeast"/>
        </w:trPr>
        <w:tc>
          <w:tcPr>
            <w:tcW w:w="4443" w:type="dxa"/>
          </w:tcPr>
          <w:p>
            <w:pPr>
              <w:pStyle w:val="TableParagraph"/>
              <w:spacing w:before="165"/>
              <w:ind w:left="7"/>
              <w:rPr>
                <w:b/>
                <w:sz w:val="24"/>
              </w:rPr>
            </w:pPr>
            <w:r>
              <w:rPr>
                <w:b/>
                <w:sz w:val="24"/>
              </w:rPr>
              <w:t>Temperatura</w:t>
            </w:r>
            <w:r>
              <w:rPr>
                <w:b/>
                <w:spacing w:val="-7"/>
                <w:sz w:val="24"/>
              </w:rPr>
              <w:t> </w:t>
            </w:r>
            <w:r>
              <w:rPr>
                <w:b/>
                <w:spacing w:val="-2"/>
                <w:sz w:val="24"/>
              </w:rPr>
              <w:t>media</w:t>
            </w:r>
          </w:p>
        </w:tc>
        <w:tc>
          <w:tcPr>
            <w:tcW w:w="3330" w:type="dxa"/>
          </w:tcPr>
          <w:p>
            <w:pPr>
              <w:pStyle w:val="TableParagraph"/>
              <w:spacing w:before="165"/>
              <w:ind w:left="909"/>
              <w:rPr>
                <w:sz w:val="24"/>
              </w:rPr>
            </w:pPr>
            <w:r>
              <w:rPr>
                <w:sz w:val="24"/>
              </w:rPr>
              <w:t>15º</w:t>
            </w:r>
            <w:r>
              <w:rPr>
                <w:spacing w:val="-1"/>
                <w:sz w:val="24"/>
              </w:rPr>
              <w:t> </w:t>
            </w:r>
            <w:r>
              <w:rPr>
                <w:spacing w:val="-10"/>
                <w:sz w:val="24"/>
              </w:rPr>
              <w:t>C</w:t>
            </w:r>
          </w:p>
        </w:tc>
      </w:tr>
      <w:tr>
        <w:trPr>
          <w:trHeight w:val="602" w:hRule="atLeast"/>
        </w:trPr>
        <w:tc>
          <w:tcPr>
            <w:tcW w:w="4443" w:type="dxa"/>
          </w:tcPr>
          <w:p>
            <w:pPr>
              <w:pStyle w:val="TableParagraph"/>
              <w:spacing w:before="165"/>
              <w:ind w:left="7"/>
              <w:rPr>
                <w:b/>
                <w:sz w:val="24"/>
              </w:rPr>
            </w:pPr>
            <w:r>
              <w:rPr>
                <w:b/>
                <w:sz w:val="24"/>
              </w:rPr>
              <w:t>Temperatura</w:t>
            </w:r>
            <w:r>
              <w:rPr>
                <w:b/>
                <w:spacing w:val="-7"/>
                <w:sz w:val="24"/>
              </w:rPr>
              <w:t> </w:t>
            </w:r>
            <w:r>
              <w:rPr>
                <w:b/>
                <w:spacing w:val="-2"/>
                <w:sz w:val="24"/>
              </w:rPr>
              <w:t>mínima</w:t>
            </w:r>
          </w:p>
        </w:tc>
        <w:tc>
          <w:tcPr>
            <w:tcW w:w="3330" w:type="dxa"/>
          </w:tcPr>
          <w:p>
            <w:pPr>
              <w:pStyle w:val="TableParagraph"/>
              <w:spacing w:before="165"/>
              <w:ind w:left="909"/>
              <w:rPr>
                <w:sz w:val="24"/>
              </w:rPr>
            </w:pPr>
            <w:r>
              <w:rPr>
                <w:sz w:val="24"/>
              </w:rPr>
              <w:t>12º</w:t>
            </w:r>
            <w:r>
              <w:rPr>
                <w:spacing w:val="-1"/>
                <w:sz w:val="24"/>
              </w:rPr>
              <w:t> </w:t>
            </w:r>
            <w:r>
              <w:rPr>
                <w:spacing w:val="-10"/>
                <w:sz w:val="24"/>
              </w:rPr>
              <w:t>C</w:t>
            </w:r>
          </w:p>
        </w:tc>
      </w:tr>
      <w:tr>
        <w:trPr>
          <w:trHeight w:val="587" w:hRule="atLeast"/>
        </w:trPr>
        <w:tc>
          <w:tcPr>
            <w:tcW w:w="4443" w:type="dxa"/>
            <w:tcBorders>
              <w:bottom w:val="single" w:sz="4" w:space="0" w:color="000000"/>
            </w:tcBorders>
          </w:tcPr>
          <w:p>
            <w:pPr>
              <w:pStyle w:val="TableParagraph"/>
              <w:spacing w:before="172"/>
              <w:ind w:left="7"/>
              <w:rPr>
                <w:b/>
                <w:sz w:val="24"/>
              </w:rPr>
            </w:pPr>
            <w:r>
              <w:rPr>
                <w:b/>
                <w:sz w:val="24"/>
              </w:rPr>
              <w:t>Precipitación</w:t>
            </w:r>
            <w:r>
              <w:rPr>
                <w:b/>
                <w:spacing w:val="-6"/>
                <w:sz w:val="24"/>
              </w:rPr>
              <w:t> </w:t>
            </w:r>
            <w:r>
              <w:rPr>
                <w:b/>
                <w:sz w:val="24"/>
              </w:rPr>
              <w:t>media</w:t>
            </w:r>
            <w:r>
              <w:rPr>
                <w:b/>
                <w:spacing w:val="-9"/>
                <w:sz w:val="24"/>
              </w:rPr>
              <w:t> </w:t>
            </w:r>
            <w:r>
              <w:rPr>
                <w:b/>
                <w:spacing w:val="-2"/>
                <w:sz w:val="24"/>
              </w:rPr>
              <w:t>anual</w:t>
            </w:r>
          </w:p>
        </w:tc>
        <w:tc>
          <w:tcPr>
            <w:tcW w:w="3330" w:type="dxa"/>
            <w:tcBorders>
              <w:bottom w:val="single" w:sz="4" w:space="0" w:color="000000"/>
            </w:tcBorders>
          </w:tcPr>
          <w:p>
            <w:pPr>
              <w:pStyle w:val="TableParagraph"/>
              <w:spacing w:before="172"/>
              <w:ind w:left="909"/>
              <w:rPr>
                <w:sz w:val="24"/>
              </w:rPr>
            </w:pPr>
            <w:r>
              <w:rPr>
                <w:sz w:val="24"/>
              </w:rPr>
              <w:t>732 </w:t>
            </w:r>
            <w:r>
              <w:rPr>
                <w:spacing w:val="-5"/>
                <w:sz w:val="24"/>
              </w:rPr>
              <w:t>mm</w:t>
            </w:r>
            <w:r>
              <w:rPr>
                <w:spacing w:val="-5"/>
                <w:sz w:val="24"/>
                <w:vertAlign w:val="superscript"/>
              </w:rPr>
              <w:t>3</w:t>
            </w:r>
          </w:p>
        </w:tc>
      </w:tr>
    </w:tbl>
    <w:p>
      <w:pPr>
        <w:spacing w:before="4"/>
        <w:ind w:left="1135" w:right="0" w:firstLine="0"/>
        <w:jc w:val="both"/>
        <w:rPr>
          <w:sz w:val="20"/>
        </w:rPr>
      </w:pPr>
      <w:r>
        <w:rPr>
          <w:b/>
          <w:sz w:val="20"/>
        </w:rPr>
        <w:t>Fuente:</w:t>
      </w:r>
      <w:r>
        <w:rPr>
          <w:b/>
          <w:spacing w:val="-5"/>
          <w:sz w:val="20"/>
        </w:rPr>
        <w:t> </w:t>
      </w:r>
      <w:r>
        <w:rPr>
          <w:sz w:val="20"/>
        </w:rPr>
        <w:t>(Estación</w:t>
      </w:r>
      <w:r>
        <w:rPr>
          <w:spacing w:val="-10"/>
          <w:sz w:val="20"/>
        </w:rPr>
        <w:t> </w:t>
      </w:r>
      <w:r>
        <w:rPr>
          <w:sz w:val="20"/>
        </w:rPr>
        <w:t>Meteorológica</w:t>
      </w:r>
      <w:r>
        <w:rPr>
          <w:spacing w:val="-8"/>
          <w:sz w:val="20"/>
        </w:rPr>
        <w:t> </w:t>
      </w:r>
      <w:r>
        <w:rPr>
          <w:sz w:val="20"/>
        </w:rPr>
        <w:t>de</w:t>
      </w:r>
      <w:r>
        <w:rPr>
          <w:spacing w:val="-10"/>
          <w:sz w:val="20"/>
        </w:rPr>
        <w:t> </w:t>
      </w:r>
      <w:r>
        <w:rPr>
          <w:sz w:val="20"/>
        </w:rPr>
        <w:t>la</w:t>
      </w:r>
      <w:r>
        <w:rPr>
          <w:spacing w:val="30"/>
          <w:sz w:val="20"/>
        </w:rPr>
        <w:t> </w:t>
      </w:r>
      <w:r>
        <w:rPr>
          <w:sz w:val="20"/>
        </w:rPr>
        <w:t>Universidad</w:t>
      </w:r>
      <w:r>
        <w:rPr>
          <w:spacing w:val="-5"/>
          <w:sz w:val="20"/>
        </w:rPr>
        <w:t> </w:t>
      </w:r>
      <w:r>
        <w:rPr>
          <w:sz w:val="20"/>
        </w:rPr>
        <w:t>Estatal</w:t>
      </w:r>
      <w:r>
        <w:rPr>
          <w:spacing w:val="-9"/>
          <w:sz w:val="20"/>
        </w:rPr>
        <w:t> </w:t>
      </w:r>
      <w:r>
        <w:rPr>
          <w:sz w:val="20"/>
        </w:rPr>
        <w:t>de</w:t>
      </w:r>
      <w:r>
        <w:rPr>
          <w:spacing w:val="-10"/>
          <w:sz w:val="20"/>
        </w:rPr>
        <w:t> </w:t>
      </w:r>
      <w:r>
        <w:rPr>
          <w:sz w:val="20"/>
        </w:rPr>
        <w:t>Bolívar</w:t>
      </w:r>
      <w:r>
        <w:rPr>
          <w:spacing w:val="-7"/>
          <w:sz w:val="20"/>
        </w:rPr>
        <w:t> </w:t>
      </w:r>
      <w:r>
        <w:rPr>
          <w:spacing w:val="-2"/>
          <w:sz w:val="20"/>
        </w:rPr>
        <w:t>2020).</w:t>
      </w:r>
    </w:p>
    <w:p>
      <w:pPr>
        <w:pStyle w:val="BodyText"/>
        <w:spacing w:before="124"/>
        <w:ind w:left="0"/>
        <w:rPr>
          <w:sz w:val="20"/>
        </w:rPr>
      </w:pPr>
    </w:p>
    <w:p>
      <w:pPr>
        <w:pStyle w:val="Heading2"/>
        <w:numPr>
          <w:ilvl w:val="2"/>
          <w:numId w:val="13"/>
        </w:numPr>
        <w:tabs>
          <w:tab w:pos="2412" w:val="left" w:leader="none"/>
        </w:tabs>
        <w:spacing w:line="240" w:lineRule="auto" w:before="0" w:after="0"/>
        <w:ind w:left="2412" w:right="0" w:hanging="1277"/>
        <w:jc w:val="left"/>
      </w:pPr>
      <w:bookmarkStart w:name="_bookmark39" w:id="40"/>
      <w:bookmarkEnd w:id="40"/>
      <w:r>
        <w:rPr>
          <w:b w:val="0"/>
        </w:rPr>
      </w:r>
      <w:r>
        <w:rPr/>
        <w:t>Zona</w:t>
      </w:r>
      <w:r>
        <w:rPr>
          <w:spacing w:val="-2"/>
        </w:rPr>
        <w:t> </w:t>
      </w:r>
      <w:r>
        <w:rPr/>
        <w:t>de</w:t>
      </w:r>
      <w:r>
        <w:rPr>
          <w:spacing w:val="-4"/>
        </w:rPr>
        <w:t> vida</w:t>
      </w:r>
    </w:p>
    <w:p>
      <w:pPr>
        <w:pStyle w:val="BodyText"/>
        <w:spacing w:before="104"/>
        <w:ind w:left="0"/>
        <w:rPr>
          <w:b/>
        </w:rPr>
      </w:pPr>
    </w:p>
    <w:p>
      <w:pPr>
        <w:pStyle w:val="BodyText"/>
        <w:spacing w:line="360" w:lineRule="auto"/>
        <w:ind w:right="848"/>
        <w:jc w:val="both"/>
      </w:pPr>
      <w:r>
        <w:rPr/>
        <w:t>De acuerda a Holdridge, L. quien sistematizó la diversidad de zonas de vida en el Ecuador, clasifica a la parroquia Regulo de Mora, incluyéndola como Matorral xerófilo subtropical premontano. (Holdridge, 1997).</w:t>
      </w:r>
    </w:p>
    <w:p>
      <w:pPr>
        <w:pStyle w:val="BodyText"/>
        <w:spacing w:after="0" w:line="360" w:lineRule="auto"/>
        <w:jc w:val="both"/>
        <w:sectPr>
          <w:pgSz w:w="11900" w:h="16860"/>
          <w:pgMar w:header="0" w:footer="1084" w:top="1620" w:bottom="1280" w:left="1133" w:right="850"/>
        </w:sectPr>
      </w:pPr>
    </w:p>
    <w:p>
      <w:pPr>
        <w:pStyle w:val="Heading2"/>
        <w:numPr>
          <w:ilvl w:val="1"/>
          <w:numId w:val="13"/>
        </w:numPr>
        <w:tabs>
          <w:tab w:pos="1987" w:val="left" w:leader="none"/>
        </w:tabs>
        <w:spacing w:line="240" w:lineRule="auto" w:before="70" w:after="0"/>
        <w:ind w:left="1987" w:right="0" w:hanging="852"/>
        <w:jc w:val="left"/>
      </w:pPr>
      <w:bookmarkStart w:name="_bookmark40" w:id="41"/>
      <w:bookmarkEnd w:id="41"/>
      <w:r>
        <w:rPr>
          <w:b w:val="0"/>
        </w:rPr>
      </w:r>
      <w:r>
        <w:rPr>
          <w:spacing w:val="-2"/>
        </w:rPr>
        <w:t>Metodología</w:t>
      </w:r>
    </w:p>
    <w:p>
      <w:pPr>
        <w:pStyle w:val="BodyText"/>
        <w:spacing w:before="101"/>
        <w:ind w:left="0"/>
        <w:rPr>
          <w:b/>
        </w:rPr>
      </w:pPr>
    </w:p>
    <w:p>
      <w:pPr>
        <w:pStyle w:val="Heading2"/>
        <w:numPr>
          <w:ilvl w:val="2"/>
          <w:numId w:val="13"/>
        </w:numPr>
        <w:tabs>
          <w:tab w:pos="1843" w:val="left" w:leader="none"/>
        </w:tabs>
        <w:spacing w:line="240" w:lineRule="auto" w:before="0" w:after="0"/>
        <w:ind w:left="1843" w:right="0" w:hanging="708"/>
        <w:jc w:val="left"/>
      </w:pPr>
      <w:bookmarkStart w:name="_bookmark41" w:id="42"/>
      <w:bookmarkEnd w:id="42"/>
      <w:r>
        <w:rPr>
          <w:b w:val="0"/>
        </w:rPr>
      </w:r>
      <w:r>
        <w:rPr/>
        <w:t>Material</w:t>
      </w:r>
      <w:r>
        <w:rPr>
          <w:spacing w:val="-5"/>
        </w:rPr>
        <w:t> </w:t>
      </w:r>
      <w:r>
        <w:rPr>
          <w:spacing w:val="-2"/>
        </w:rPr>
        <w:t>experimental</w:t>
      </w:r>
    </w:p>
    <w:p>
      <w:pPr>
        <w:pStyle w:val="BodyText"/>
        <w:spacing w:before="103"/>
        <w:ind w:left="0"/>
        <w:rPr>
          <w:b/>
        </w:rPr>
      </w:pPr>
    </w:p>
    <w:p>
      <w:pPr>
        <w:pStyle w:val="BodyText"/>
        <w:spacing w:before="1"/>
      </w:pPr>
      <w:r>
        <w:rPr/>
        <w:t>16</w:t>
      </w:r>
      <w:r>
        <w:rPr>
          <w:spacing w:val="-2"/>
        </w:rPr>
        <w:t> terneros</w:t>
      </w:r>
    </w:p>
    <w:p>
      <w:pPr>
        <w:pStyle w:val="BodyText"/>
        <w:spacing w:before="100"/>
        <w:ind w:left="0"/>
      </w:pPr>
    </w:p>
    <w:p>
      <w:pPr>
        <w:pStyle w:val="ListParagraph"/>
        <w:numPr>
          <w:ilvl w:val="2"/>
          <w:numId w:val="13"/>
        </w:numPr>
        <w:tabs>
          <w:tab w:pos="1843" w:val="left" w:leader="none"/>
        </w:tabs>
        <w:spacing w:line="568" w:lineRule="auto" w:before="0" w:after="0"/>
        <w:ind w:left="1135" w:right="5556" w:firstLine="0"/>
        <w:jc w:val="left"/>
        <w:rPr>
          <w:sz w:val="24"/>
        </w:rPr>
      </w:pPr>
      <w:bookmarkStart w:name="_bookmark42" w:id="43"/>
      <w:bookmarkEnd w:id="43"/>
      <w:r>
        <w:rPr/>
      </w:r>
      <w:r>
        <w:rPr>
          <w:b/>
          <w:sz w:val="24"/>
        </w:rPr>
        <w:t>Factores en estudio </w:t>
      </w:r>
      <w:r>
        <w:rPr>
          <w:b/>
          <w:spacing w:val="-2"/>
          <w:sz w:val="24"/>
        </w:rPr>
        <w:t>Factor</w:t>
      </w:r>
      <w:r>
        <w:rPr>
          <w:b/>
          <w:spacing w:val="-11"/>
          <w:sz w:val="24"/>
        </w:rPr>
        <w:t> </w:t>
      </w:r>
      <w:r>
        <w:rPr>
          <w:b/>
          <w:spacing w:val="-2"/>
          <w:sz w:val="24"/>
        </w:rPr>
        <w:t>(a)</w:t>
      </w:r>
      <w:r>
        <w:rPr>
          <w:spacing w:val="-2"/>
          <w:sz w:val="24"/>
        </w:rPr>
        <w:t>:</w:t>
      </w:r>
      <w:r>
        <w:rPr>
          <w:spacing w:val="-9"/>
          <w:sz w:val="24"/>
        </w:rPr>
        <w:t> </w:t>
      </w:r>
      <w:r>
        <w:rPr>
          <w:spacing w:val="-2"/>
          <w:sz w:val="24"/>
        </w:rPr>
        <w:t>Analgesia</w:t>
      </w:r>
      <w:r>
        <w:rPr>
          <w:spacing w:val="-9"/>
          <w:sz w:val="24"/>
        </w:rPr>
        <w:t> </w:t>
      </w:r>
      <w:r>
        <w:rPr>
          <w:spacing w:val="-2"/>
          <w:sz w:val="24"/>
        </w:rPr>
        <w:t>multimodal</w:t>
      </w:r>
    </w:p>
    <w:p>
      <w:pPr>
        <w:pStyle w:val="ListParagraph"/>
        <w:numPr>
          <w:ilvl w:val="3"/>
          <w:numId w:val="13"/>
        </w:numPr>
        <w:tabs>
          <w:tab w:pos="1273" w:val="left" w:leader="none"/>
        </w:tabs>
        <w:spacing w:line="240" w:lineRule="auto" w:before="0" w:after="0"/>
        <w:ind w:left="1273" w:right="0" w:hanging="138"/>
        <w:jc w:val="left"/>
        <w:rPr>
          <w:position w:val="1"/>
          <w:sz w:val="24"/>
        </w:rPr>
      </w:pPr>
      <w:r>
        <w:rPr>
          <w:b/>
          <w:position w:val="1"/>
          <w:sz w:val="24"/>
        </w:rPr>
        <w:t>a</w:t>
      </w:r>
      <w:r>
        <w:rPr>
          <w:b/>
          <w:sz w:val="16"/>
        </w:rPr>
        <w:t>1</w:t>
      </w:r>
      <w:r>
        <w:rPr>
          <w:b/>
          <w:position w:val="1"/>
          <w:sz w:val="24"/>
        </w:rPr>
        <w:t>:</w:t>
      </w:r>
      <w:r>
        <w:rPr>
          <w:b/>
          <w:spacing w:val="-1"/>
          <w:position w:val="1"/>
          <w:sz w:val="24"/>
        </w:rPr>
        <w:t> </w:t>
      </w:r>
      <w:r>
        <w:rPr>
          <w:position w:val="1"/>
          <w:sz w:val="24"/>
        </w:rPr>
        <w:t>Lidocaína</w:t>
      </w:r>
      <w:r>
        <w:rPr>
          <w:spacing w:val="-1"/>
          <w:position w:val="1"/>
          <w:sz w:val="24"/>
        </w:rPr>
        <w:t> </w:t>
      </w:r>
      <w:r>
        <w:rPr>
          <w:position w:val="1"/>
          <w:sz w:val="24"/>
        </w:rPr>
        <w:t>tamponada</w:t>
      </w:r>
      <w:r>
        <w:rPr>
          <w:spacing w:val="-1"/>
          <w:position w:val="1"/>
          <w:sz w:val="24"/>
        </w:rPr>
        <w:t> </w:t>
      </w:r>
      <w:r>
        <w:rPr>
          <w:position w:val="1"/>
          <w:sz w:val="24"/>
        </w:rPr>
        <w:t>+</w:t>
      </w:r>
      <w:r>
        <w:rPr>
          <w:spacing w:val="-1"/>
          <w:position w:val="1"/>
          <w:sz w:val="24"/>
        </w:rPr>
        <w:t> </w:t>
      </w:r>
      <w:r>
        <w:rPr>
          <w:position w:val="1"/>
          <w:sz w:val="24"/>
        </w:rPr>
        <w:t>Flunixin</w:t>
      </w:r>
      <w:r>
        <w:rPr>
          <w:spacing w:val="-1"/>
          <w:position w:val="1"/>
          <w:sz w:val="24"/>
        </w:rPr>
        <w:t> </w:t>
      </w:r>
      <w:r>
        <w:rPr>
          <w:spacing w:val="-2"/>
          <w:position w:val="1"/>
          <w:sz w:val="24"/>
        </w:rPr>
        <w:t>Meglumine</w:t>
      </w:r>
    </w:p>
    <w:p>
      <w:pPr>
        <w:pStyle w:val="BodyText"/>
        <w:spacing w:before="104"/>
        <w:ind w:left="0"/>
      </w:pPr>
    </w:p>
    <w:p>
      <w:pPr>
        <w:pStyle w:val="ListParagraph"/>
        <w:numPr>
          <w:ilvl w:val="3"/>
          <w:numId w:val="13"/>
        </w:numPr>
        <w:tabs>
          <w:tab w:pos="1273" w:val="left" w:leader="none"/>
        </w:tabs>
        <w:spacing w:line="240" w:lineRule="auto" w:before="0" w:after="0"/>
        <w:ind w:left="1273" w:right="0" w:hanging="138"/>
        <w:jc w:val="left"/>
        <w:rPr>
          <w:position w:val="1"/>
          <w:sz w:val="24"/>
        </w:rPr>
      </w:pPr>
      <w:r>
        <w:rPr>
          <w:b/>
          <w:position w:val="1"/>
          <w:sz w:val="24"/>
        </w:rPr>
        <w:t>a</w:t>
      </w:r>
      <w:r>
        <w:rPr>
          <w:b/>
          <w:sz w:val="16"/>
        </w:rPr>
        <w:t>2</w:t>
      </w:r>
      <w:r>
        <w:rPr>
          <w:b/>
          <w:position w:val="1"/>
          <w:sz w:val="24"/>
        </w:rPr>
        <w:t>:</w:t>
      </w:r>
      <w:r>
        <w:rPr>
          <w:b/>
          <w:spacing w:val="-2"/>
          <w:position w:val="1"/>
          <w:sz w:val="24"/>
        </w:rPr>
        <w:t> </w:t>
      </w:r>
      <w:r>
        <w:rPr>
          <w:position w:val="1"/>
          <w:sz w:val="24"/>
        </w:rPr>
        <w:t>Bupivacaína tamponada</w:t>
      </w:r>
      <w:r>
        <w:rPr>
          <w:spacing w:val="-2"/>
          <w:position w:val="1"/>
          <w:sz w:val="24"/>
        </w:rPr>
        <w:t> </w:t>
      </w:r>
      <w:r>
        <w:rPr>
          <w:position w:val="1"/>
          <w:sz w:val="24"/>
        </w:rPr>
        <w:t>+</w:t>
      </w:r>
      <w:r>
        <w:rPr>
          <w:spacing w:val="2"/>
          <w:position w:val="1"/>
          <w:sz w:val="24"/>
        </w:rPr>
        <w:t> </w:t>
      </w:r>
      <w:r>
        <w:rPr>
          <w:position w:val="1"/>
          <w:sz w:val="24"/>
        </w:rPr>
        <w:t>Flunixin</w:t>
      </w:r>
      <w:r>
        <w:rPr>
          <w:spacing w:val="1"/>
          <w:position w:val="1"/>
          <w:sz w:val="24"/>
        </w:rPr>
        <w:t> </w:t>
      </w:r>
      <w:r>
        <w:rPr>
          <w:spacing w:val="-2"/>
          <w:position w:val="1"/>
          <w:sz w:val="24"/>
        </w:rPr>
        <w:t>Meglumine</w:t>
      </w:r>
    </w:p>
    <w:p>
      <w:pPr>
        <w:pStyle w:val="BodyText"/>
        <w:spacing w:before="100"/>
        <w:ind w:left="0"/>
      </w:pPr>
    </w:p>
    <w:p>
      <w:pPr>
        <w:pStyle w:val="ListParagraph"/>
        <w:numPr>
          <w:ilvl w:val="3"/>
          <w:numId w:val="13"/>
        </w:numPr>
        <w:tabs>
          <w:tab w:pos="1273" w:val="left" w:leader="none"/>
        </w:tabs>
        <w:spacing w:line="240" w:lineRule="auto" w:before="1" w:after="0"/>
        <w:ind w:left="1273" w:right="0" w:hanging="138"/>
        <w:jc w:val="left"/>
        <w:rPr>
          <w:position w:val="1"/>
          <w:sz w:val="24"/>
        </w:rPr>
      </w:pPr>
      <w:r>
        <w:rPr>
          <w:b/>
          <w:position w:val="1"/>
          <w:sz w:val="24"/>
        </w:rPr>
        <w:t>a</w:t>
      </w:r>
      <w:r>
        <w:rPr>
          <w:b/>
          <w:sz w:val="16"/>
        </w:rPr>
        <w:t>3</w:t>
      </w:r>
      <w:r>
        <w:rPr>
          <w:b/>
          <w:position w:val="1"/>
          <w:sz w:val="24"/>
        </w:rPr>
        <w:t>:</w:t>
      </w:r>
      <w:r>
        <w:rPr>
          <w:b/>
          <w:spacing w:val="-4"/>
          <w:position w:val="1"/>
          <w:sz w:val="24"/>
        </w:rPr>
        <w:t> </w:t>
      </w:r>
      <w:r>
        <w:rPr>
          <w:position w:val="1"/>
          <w:sz w:val="24"/>
        </w:rPr>
        <w:t>(Lidocaína</w:t>
      </w:r>
      <w:r>
        <w:rPr>
          <w:spacing w:val="-1"/>
          <w:position w:val="1"/>
          <w:sz w:val="24"/>
        </w:rPr>
        <w:t> </w:t>
      </w:r>
      <w:r>
        <w:rPr>
          <w:position w:val="1"/>
          <w:sz w:val="24"/>
        </w:rPr>
        <w:t>tamponada</w:t>
      </w:r>
      <w:r>
        <w:rPr>
          <w:spacing w:val="-2"/>
          <w:position w:val="1"/>
          <w:sz w:val="24"/>
        </w:rPr>
        <w:t> </w:t>
      </w:r>
      <w:r>
        <w:rPr>
          <w:position w:val="1"/>
          <w:sz w:val="24"/>
        </w:rPr>
        <w:t>+ Bupivacaína</w:t>
      </w:r>
      <w:r>
        <w:rPr>
          <w:spacing w:val="-2"/>
          <w:position w:val="1"/>
          <w:sz w:val="24"/>
        </w:rPr>
        <w:t> </w:t>
      </w:r>
      <w:r>
        <w:rPr>
          <w:position w:val="1"/>
          <w:sz w:val="24"/>
        </w:rPr>
        <w:t>tamponada)</w:t>
      </w:r>
      <w:r>
        <w:rPr>
          <w:spacing w:val="-1"/>
          <w:position w:val="1"/>
          <w:sz w:val="24"/>
        </w:rPr>
        <w:t> </w:t>
      </w:r>
      <w:r>
        <w:rPr>
          <w:position w:val="1"/>
          <w:sz w:val="24"/>
        </w:rPr>
        <w:t>+</w:t>
      </w:r>
      <w:r>
        <w:rPr>
          <w:spacing w:val="-1"/>
          <w:position w:val="1"/>
          <w:sz w:val="24"/>
        </w:rPr>
        <w:t> </w:t>
      </w:r>
      <w:r>
        <w:rPr>
          <w:position w:val="1"/>
          <w:sz w:val="24"/>
        </w:rPr>
        <w:t>Flunixin </w:t>
      </w:r>
      <w:r>
        <w:rPr>
          <w:spacing w:val="-2"/>
          <w:position w:val="1"/>
          <w:sz w:val="24"/>
        </w:rPr>
        <w:t>Meglumine</w:t>
      </w:r>
    </w:p>
    <w:p>
      <w:pPr>
        <w:pStyle w:val="BodyText"/>
        <w:spacing w:before="103"/>
        <w:ind w:left="0"/>
      </w:pPr>
    </w:p>
    <w:p>
      <w:pPr>
        <w:spacing w:before="0"/>
        <w:ind w:left="1135" w:right="0" w:firstLine="0"/>
        <w:jc w:val="left"/>
        <w:rPr>
          <w:sz w:val="24"/>
        </w:rPr>
      </w:pPr>
      <w:r>
        <w:rPr>
          <w:b/>
          <w:sz w:val="24"/>
        </w:rPr>
        <w:t>Factor</w:t>
      </w:r>
      <w:r>
        <w:rPr>
          <w:b/>
          <w:spacing w:val="-6"/>
          <w:sz w:val="24"/>
        </w:rPr>
        <w:t> </w:t>
      </w:r>
      <w:r>
        <w:rPr>
          <w:b/>
          <w:sz w:val="24"/>
        </w:rPr>
        <w:t>(b)</w:t>
      </w:r>
      <w:r>
        <w:rPr>
          <w:sz w:val="24"/>
        </w:rPr>
        <w:t>:</w:t>
      </w:r>
      <w:r>
        <w:rPr>
          <w:spacing w:val="-1"/>
          <w:sz w:val="24"/>
        </w:rPr>
        <w:t> </w:t>
      </w:r>
      <w:r>
        <w:rPr>
          <w:sz w:val="24"/>
        </w:rPr>
        <w:t>Terneros</w:t>
      </w:r>
      <w:r>
        <w:rPr>
          <w:spacing w:val="-1"/>
          <w:sz w:val="24"/>
        </w:rPr>
        <w:t> </w:t>
      </w:r>
      <w:r>
        <w:rPr>
          <w:sz w:val="24"/>
        </w:rPr>
        <w:t>machos,</w:t>
      </w:r>
      <w:r>
        <w:rPr>
          <w:spacing w:val="-2"/>
          <w:sz w:val="24"/>
        </w:rPr>
        <w:t> </w:t>
      </w:r>
      <w:r>
        <w:rPr>
          <w:sz w:val="24"/>
        </w:rPr>
        <w:t>cruce</w:t>
      </w:r>
      <w:r>
        <w:rPr>
          <w:spacing w:val="-2"/>
          <w:sz w:val="24"/>
        </w:rPr>
        <w:t> </w:t>
      </w:r>
      <w:r>
        <w:rPr>
          <w:sz w:val="24"/>
        </w:rPr>
        <w:t>Bos</w:t>
      </w:r>
      <w:r>
        <w:rPr>
          <w:spacing w:val="-1"/>
          <w:sz w:val="24"/>
        </w:rPr>
        <w:t> </w:t>
      </w:r>
      <w:r>
        <w:rPr>
          <w:spacing w:val="-2"/>
          <w:sz w:val="24"/>
        </w:rPr>
        <w:t>Taurus</w:t>
      </w:r>
    </w:p>
    <w:p>
      <w:pPr>
        <w:pStyle w:val="BodyText"/>
        <w:spacing w:before="101"/>
        <w:ind w:left="0"/>
      </w:pPr>
    </w:p>
    <w:p>
      <w:pPr>
        <w:pStyle w:val="Heading2"/>
        <w:numPr>
          <w:ilvl w:val="2"/>
          <w:numId w:val="13"/>
        </w:numPr>
        <w:tabs>
          <w:tab w:pos="1987" w:val="left" w:leader="none"/>
        </w:tabs>
        <w:spacing w:line="240" w:lineRule="auto" w:before="0" w:after="0"/>
        <w:ind w:left="1987" w:right="0" w:hanging="710"/>
        <w:jc w:val="left"/>
      </w:pPr>
      <w:bookmarkStart w:name="_bookmark43" w:id="44"/>
      <w:bookmarkEnd w:id="44"/>
      <w:r>
        <w:rPr>
          <w:b w:val="0"/>
        </w:rPr>
      </w:r>
      <w:r>
        <w:rPr>
          <w:spacing w:val="-2"/>
        </w:rPr>
        <w:t>Tratamientos</w:t>
      </w:r>
    </w:p>
    <w:p>
      <w:pPr>
        <w:pStyle w:val="BodyText"/>
        <w:spacing w:before="103"/>
        <w:ind w:left="0"/>
        <w:rPr>
          <w:b/>
        </w:rPr>
      </w:pPr>
    </w:p>
    <w:p>
      <w:pPr>
        <w:pStyle w:val="Heading3"/>
        <w:spacing w:before="1"/>
      </w:pPr>
      <w:bookmarkStart w:name="_bookmark44" w:id="45"/>
      <w:bookmarkEnd w:id="45"/>
      <w:r>
        <w:rPr>
          <w:b w:val="0"/>
          <w:i w:val="0"/>
        </w:rPr>
      </w:r>
      <w:r>
        <w:rPr/>
        <w:t>Tabla </w:t>
      </w:r>
      <w:r>
        <w:rPr>
          <w:spacing w:val="-10"/>
        </w:rPr>
        <w:t>4</w:t>
      </w:r>
    </w:p>
    <w:p>
      <w:pPr>
        <w:spacing w:before="137"/>
        <w:ind w:left="1135" w:right="0" w:firstLine="0"/>
        <w:jc w:val="left"/>
        <w:rPr>
          <w:i/>
          <w:sz w:val="18"/>
        </w:rPr>
      </w:pPr>
      <w:r>
        <w:rPr>
          <w:i/>
          <w:sz w:val="24"/>
        </w:rPr>
        <w:t>Tratamiento</w:t>
      </w:r>
      <w:r>
        <w:rPr>
          <w:i/>
          <w:sz w:val="18"/>
        </w:rPr>
        <w:t>s</w:t>
      </w:r>
      <w:r>
        <w:rPr>
          <w:i/>
          <w:spacing w:val="13"/>
          <w:sz w:val="18"/>
        </w:rPr>
        <w:t> </w:t>
      </w:r>
      <w:r>
        <w:rPr>
          <w:i/>
          <w:sz w:val="24"/>
        </w:rPr>
        <w:t>en </w:t>
      </w:r>
      <w:r>
        <w:rPr>
          <w:i/>
          <w:spacing w:val="-2"/>
          <w:sz w:val="24"/>
        </w:rPr>
        <w:t>estudio</w:t>
      </w:r>
      <w:r>
        <w:rPr>
          <w:i/>
          <w:spacing w:val="-2"/>
          <w:sz w:val="18"/>
        </w:rPr>
        <w:t>.</w:t>
      </w:r>
    </w:p>
    <w:p>
      <w:pPr>
        <w:pStyle w:val="BodyText"/>
        <w:spacing w:before="1" w:after="1"/>
        <w:ind w:left="0"/>
        <w:rPr>
          <w:i/>
          <w:sz w:val="12"/>
        </w:rPr>
      </w:pPr>
    </w:p>
    <w:tbl>
      <w:tblPr>
        <w:tblW w:w="0" w:type="auto"/>
        <w:jc w:val="left"/>
        <w:tblInd w:w="1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52"/>
        <w:gridCol w:w="6185"/>
      </w:tblGrid>
      <w:tr>
        <w:trPr>
          <w:trHeight w:val="722" w:hRule="atLeast"/>
        </w:trPr>
        <w:tc>
          <w:tcPr>
            <w:tcW w:w="1552" w:type="dxa"/>
            <w:tcBorders>
              <w:top w:val="single" w:sz="4" w:space="0" w:color="000000"/>
              <w:bottom w:val="single" w:sz="4" w:space="0" w:color="000000"/>
            </w:tcBorders>
          </w:tcPr>
          <w:p>
            <w:pPr>
              <w:pStyle w:val="TableParagraph"/>
              <w:spacing w:line="275" w:lineRule="exact"/>
              <w:rPr>
                <w:b/>
                <w:sz w:val="24"/>
              </w:rPr>
            </w:pPr>
            <w:r>
              <w:rPr>
                <w:b/>
                <w:spacing w:val="-2"/>
                <w:sz w:val="24"/>
              </w:rPr>
              <w:t>Tratamientos</w:t>
            </w:r>
          </w:p>
        </w:tc>
        <w:tc>
          <w:tcPr>
            <w:tcW w:w="6185" w:type="dxa"/>
            <w:tcBorders>
              <w:top w:val="single" w:sz="4" w:space="0" w:color="000000"/>
              <w:bottom w:val="single" w:sz="4" w:space="0" w:color="000000"/>
            </w:tcBorders>
          </w:tcPr>
          <w:p>
            <w:pPr>
              <w:pStyle w:val="TableParagraph"/>
              <w:spacing w:line="275" w:lineRule="exact"/>
              <w:ind w:left="188"/>
              <w:rPr>
                <w:b/>
                <w:sz w:val="24"/>
              </w:rPr>
            </w:pPr>
            <w:r>
              <w:rPr>
                <w:b/>
                <w:spacing w:val="-2"/>
                <w:sz w:val="24"/>
              </w:rPr>
              <w:t>Detalle</w:t>
            </w:r>
          </w:p>
        </w:tc>
      </w:tr>
      <w:tr>
        <w:trPr>
          <w:trHeight w:val="474" w:hRule="atLeast"/>
        </w:trPr>
        <w:tc>
          <w:tcPr>
            <w:tcW w:w="1552" w:type="dxa"/>
            <w:tcBorders>
              <w:top w:val="single" w:sz="4" w:space="0" w:color="000000"/>
            </w:tcBorders>
          </w:tcPr>
          <w:p>
            <w:pPr>
              <w:pStyle w:val="TableParagraph"/>
              <w:spacing w:line="275" w:lineRule="exact"/>
              <w:rPr>
                <w:sz w:val="24"/>
              </w:rPr>
            </w:pPr>
            <w:r>
              <w:rPr>
                <w:spacing w:val="-5"/>
                <w:sz w:val="24"/>
              </w:rPr>
              <w:t>T0</w:t>
            </w:r>
          </w:p>
        </w:tc>
        <w:tc>
          <w:tcPr>
            <w:tcW w:w="6185" w:type="dxa"/>
            <w:tcBorders>
              <w:top w:val="single" w:sz="4" w:space="0" w:color="000000"/>
            </w:tcBorders>
          </w:tcPr>
          <w:p>
            <w:pPr>
              <w:pStyle w:val="TableParagraph"/>
              <w:spacing w:line="275" w:lineRule="exact"/>
              <w:ind w:left="188"/>
              <w:rPr>
                <w:sz w:val="24"/>
              </w:rPr>
            </w:pPr>
            <w:r>
              <w:rPr>
                <w:spacing w:val="-2"/>
                <w:sz w:val="24"/>
              </w:rPr>
              <w:t>Testigo</w:t>
            </w:r>
          </w:p>
        </w:tc>
      </w:tr>
      <w:tr>
        <w:trPr>
          <w:trHeight w:val="998" w:hRule="atLeast"/>
        </w:trPr>
        <w:tc>
          <w:tcPr>
            <w:tcW w:w="1552" w:type="dxa"/>
          </w:tcPr>
          <w:p>
            <w:pPr>
              <w:pStyle w:val="TableParagraph"/>
              <w:spacing w:before="189"/>
              <w:rPr>
                <w:i/>
                <w:sz w:val="24"/>
              </w:rPr>
            </w:pPr>
          </w:p>
          <w:p>
            <w:pPr>
              <w:pStyle w:val="TableParagraph"/>
              <w:rPr>
                <w:sz w:val="24"/>
              </w:rPr>
            </w:pPr>
            <w:r>
              <w:rPr>
                <w:spacing w:val="-5"/>
                <w:sz w:val="24"/>
              </w:rPr>
              <w:t>T1</w:t>
            </w:r>
          </w:p>
        </w:tc>
        <w:tc>
          <w:tcPr>
            <w:tcW w:w="6185" w:type="dxa"/>
          </w:tcPr>
          <w:p>
            <w:pPr>
              <w:pStyle w:val="TableParagraph"/>
              <w:spacing w:before="189"/>
              <w:ind w:left="188"/>
              <w:rPr>
                <w:sz w:val="24"/>
              </w:rPr>
            </w:pPr>
            <w:r>
              <w:rPr>
                <w:sz w:val="24"/>
              </w:rPr>
              <w:t>Lidocaína tamponada acompañada de Flunixin</w:t>
            </w:r>
            <w:r>
              <w:rPr>
                <w:spacing w:val="28"/>
                <w:sz w:val="24"/>
              </w:rPr>
              <w:t> </w:t>
            </w:r>
            <w:r>
              <w:rPr>
                <w:sz w:val="24"/>
              </w:rPr>
              <w:t>Meglumine</w:t>
            </w:r>
            <w:r>
              <w:rPr>
                <w:spacing w:val="31"/>
                <w:sz w:val="24"/>
              </w:rPr>
              <w:t> </w:t>
            </w:r>
            <w:r>
              <w:rPr>
                <w:sz w:val="24"/>
              </w:rPr>
              <w:t>+ Terneros machos, cruce Boss Taurus</w:t>
            </w:r>
          </w:p>
        </w:tc>
      </w:tr>
      <w:tr>
        <w:trPr>
          <w:trHeight w:val="1055" w:hRule="atLeast"/>
        </w:trPr>
        <w:tc>
          <w:tcPr>
            <w:tcW w:w="1552" w:type="dxa"/>
          </w:tcPr>
          <w:p>
            <w:pPr>
              <w:pStyle w:val="TableParagraph"/>
              <w:spacing w:before="247"/>
              <w:rPr>
                <w:i/>
                <w:sz w:val="24"/>
              </w:rPr>
            </w:pPr>
          </w:p>
          <w:p>
            <w:pPr>
              <w:pStyle w:val="TableParagraph"/>
              <w:rPr>
                <w:sz w:val="24"/>
              </w:rPr>
            </w:pPr>
            <w:r>
              <w:rPr>
                <w:spacing w:val="-5"/>
                <w:sz w:val="24"/>
              </w:rPr>
              <w:t>T2</w:t>
            </w:r>
          </w:p>
        </w:tc>
        <w:tc>
          <w:tcPr>
            <w:tcW w:w="6185" w:type="dxa"/>
          </w:tcPr>
          <w:p>
            <w:pPr>
              <w:pStyle w:val="TableParagraph"/>
              <w:tabs>
                <w:tab w:pos="1760" w:val="left" w:leader="none"/>
                <w:tab w:pos="3191" w:val="left" w:leader="none"/>
                <w:tab w:pos="4766" w:val="left" w:leader="none"/>
                <w:tab w:pos="5371" w:val="left" w:leader="none"/>
              </w:tabs>
              <w:spacing w:before="247"/>
              <w:ind w:left="188" w:right="-15"/>
              <w:rPr>
                <w:sz w:val="24"/>
              </w:rPr>
            </w:pPr>
            <w:r>
              <w:rPr>
                <w:spacing w:val="-2"/>
                <w:sz w:val="24"/>
              </w:rPr>
              <w:t>Bupivacaína</w:t>
            </w:r>
            <w:r>
              <w:rPr>
                <w:sz w:val="24"/>
              </w:rPr>
              <w:tab/>
            </w:r>
            <w:r>
              <w:rPr>
                <w:spacing w:val="-2"/>
                <w:sz w:val="24"/>
              </w:rPr>
              <w:t>tamponada</w:t>
            </w:r>
            <w:r>
              <w:rPr>
                <w:sz w:val="24"/>
              </w:rPr>
              <w:tab/>
            </w:r>
            <w:r>
              <w:rPr>
                <w:spacing w:val="-2"/>
                <w:sz w:val="24"/>
              </w:rPr>
              <w:t>acompañada</w:t>
            </w:r>
            <w:r>
              <w:rPr>
                <w:sz w:val="24"/>
              </w:rPr>
              <w:tab/>
            </w:r>
            <w:r>
              <w:rPr>
                <w:spacing w:val="-6"/>
                <w:sz w:val="24"/>
              </w:rPr>
              <w:t>de</w:t>
            </w:r>
            <w:r>
              <w:rPr>
                <w:sz w:val="24"/>
              </w:rPr>
              <w:tab/>
            </w:r>
            <w:r>
              <w:rPr>
                <w:spacing w:val="-2"/>
                <w:sz w:val="24"/>
              </w:rPr>
              <w:t>Flunixin </w:t>
            </w:r>
            <w:r>
              <w:rPr>
                <w:sz w:val="24"/>
              </w:rPr>
              <w:t>Meglumine</w:t>
            </w:r>
            <w:r>
              <w:rPr>
                <w:spacing w:val="40"/>
                <w:sz w:val="24"/>
              </w:rPr>
              <w:t> </w:t>
            </w:r>
            <w:r>
              <w:rPr>
                <w:sz w:val="24"/>
              </w:rPr>
              <w:t>+</w:t>
            </w:r>
            <w:r>
              <w:rPr>
                <w:spacing w:val="40"/>
                <w:sz w:val="24"/>
              </w:rPr>
              <w:t> </w:t>
            </w:r>
            <w:r>
              <w:rPr>
                <w:sz w:val="24"/>
              </w:rPr>
              <w:t>Terneros machos, cruce Boss Taurus</w:t>
            </w:r>
          </w:p>
        </w:tc>
      </w:tr>
      <w:tr>
        <w:trPr>
          <w:trHeight w:val="1073" w:hRule="atLeast"/>
        </w:trPr>
        <w:tc>
          <w:tcPr>
            <w:tcW w:w="1552" w:type="dxa"/>
          </w:tcPr>
          <w:p>
            <w:pPr>
              <w:pStyle w:val="TableParagraph"/>
              <w:spacing w:before="245"/>
              <w:rPr>
                <w:i/>
                <w:sz w:val="24"/>
              </w:rPr>
            </w:pPr>
          </w:p>
          <w:p>
            <w:pPr>
              <w:pStyle w:val="TableParagraph"/>
              <w:rPr>
                <w:sz w:val="24"/>
              </w:rPr>
            </w:pPr>
            <w:r>
              <w:rPr>
                <w:spacing w:val="-5"/>
                <w:sz w:val="24"/>
              </w:rPr>
              <w:t>T3</w:t>
            </w:r>
          </w:p>
        </w:tc>
        <w:tc>
          <w:tcPr>
            <w:tcW w:w="6185" w:type="dxa"/>
          </w:tcPr>
          <w:p>
            <w:pPr>
              <w:pStyle w:val="TableParagraph"/>
              <w:spacing w:line="270" w:lineRule="atLeast" w:before="225"/>
              <w:ind w:left="188"/>
              <w:jc w:val="both"/>
              <w:rPr>
                <w:sz w:val="24"/>
              </w:rPr>
            </w:pPr>
            <w:r>
              <w:rPr>
                <w:sz w:val="24"/>
              </w:rPr>
              <w:t>50% de Lidocaína tamponada más 50% de Bupivacaína tamponada acompañada de Flunixin Meglumine + Terneros machos, cruce Boss Taurus</w:t>
            </w:r>
          </w:p>
        </w:tc>
      </w:tr>
    </w:tbl>
    <w:p>
      <w:pPr>
        <w:pStyle w:val="BodyText"/>
        <w:ind w:left="0"/>
        <w:rPr>
          <w:i/>
          <w:sz w:val="20"/>
        </w:rPr>
      </w:pPr>
    </w:p>
    <w:p>
      <w:pPr>
        <w:pStyle w:val="BodyText"/>
        <w:spacing w:before="137"/>
        <w:ind w:left="0"/>
        <w:rPr>
          <w:i/>
          <w:sz w:val="20"/>
        </w:rPr>
      </w:pPr>
      <w:r>
        <w:rPr>
          <w:i/>
          <w:sz w:val="20"/>
        </w:rPr>
        <mc:AlternateContent>
          <mc:Choice Requires="wps">
            <w:drawing>
              <wp:anchor distT="0" distB="0" distL="0" distR="0" allowOverlap="1" layoutInCell="1" locked="0" behindDoc="1" simplePos="0" relativeHeight="487589888">
                <wp:simplePos x="0" y="0"/>
                <wp:positionH relativeFrom="page">
                  <wp:posOffset>1431290</wp:posOffset>
                </wp:positionH>
                <wp:positionV relativeFrom="paragraph">
                  <wp:posOffset>248818</wp:posOffset>
                </wp:positionV>
                <wp:extent cx="4922520" cy="635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4922520" cy="6350"/>
                        </a:xfrm>
                        <a:custGeom>
                          <a:avLst/>
                          <a:gdLst/>
                          <a:ahLst/>
                          <a:cxnLst/>
                          <a:rect l="l" t="t" r="r" b="b"/>
                          <a:pathLst>
                            <a:path w="4922520" h="6350">
                              <a:moveTo>
                                <a:pt x="4922012" y="0"/>
                              </a:moveTo>
                              <a:lnTo>
                                <a:pt x="1114348" y="0"/>
                              </a:lnTo>
                              <a:lnTo>
                                <a:pt x="1111377" y="0"/>
                              </a:lnTo>
                              <a:lnTo>
                                <a:pt x="1105281" y="0"/>
                              </a:lnTo>
                              <a:lnTo>
                                <a:pt x="0" y="0"/>
                              </a:lnTo>
                              <a:lnTo>
                                <a:pt x="0" y="6083"/>
                              </a:lnTo>
                              <a:lnTo>
                                <a:pt x="1105281" y="6083"/>
                              </a:lnTo>
                              <a:lnTo>
                                <a:pt x="1111377" y="6083"/>
                              </a:lnTo>
                              <a:lnTo>
                                <a:pt x="1114348" y="6083"/>
                              </a:lnTo>
                              <a:lnTo>
                                <a:pt x="4922012" y="6083"/>
                              </a:lnTo>
                              <a:lnTo>
                                <a:pt x="49220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2.700005pt;margin-top:19.59198pt;width:387.6pt;height:.5pt;mso-position-horizontal-relative:page;mso-position-vertical-relative:paragraph;z-index:-15726592;mso-wrap-distance-left:0;mso-wrap-distance-right:0" id="docshape5" coordorigin="2254,392" coordsize="7752,10" path="m10005,392l4009,392,4004,392,3995,392,2254,392,2254,401,3995,401,4004,401,4009,401,10005,401,10005,392xe" filled="true" fillcolor="#000000" stroked="false">
                <v:path arrowok="t"/>
                <v:fill type="solid"/>
                <w10:wrap type="topAndBottom"/>
              </v:shape>
            </w:pict>
          </mc:Fallback>
        </mc:AlternateContent>
      </w:r>
    </w:p>
    <w:p>
      <w:pPr>
        <w:spacing w:before="1"/>
        <w:ind w:left="1135" w:right="0" w:firstLine="0"/>
        <w:jc w:val="left"/>
        <w:rPr>
          <w:sz w:val="22"/>
        </w:rPr>
      </w:pPr>
      <w:r>
        <w:rPr>
          <w:b/>
          <w:i/>
          <w:sz w:val="22"/>
        </w:rPr>
        <w:t>Nota.</w:t>
      </w:r>
      <w:r>
        <w:rPr>
          <w:b/>
          <w:i/>
          <w:spacing w:val="-11"/>
          <w:sz w:val="22"/>
        </w:rPr>
        <w:t> </w:t>
      </w:r>
      <w:r>
        <w:rPr>
          <w:sz w:val="22"/>
        </w:rPr>
        <w:t>Considerando</w:t>
      </w:r>
      <w:r>
        <w:rPr>
          <w:spacing w:val="-7"/>
          <w:sz w:val="22"/>
        </w:rPr>
        <w:t> </w:t>
      </w:r>
      <w:r>
        <w:rPr>
          <w:sz w:val="22"/>
        </w:rPr>
        <w:t>4</w:t>
      </w:r>
      <w:r>
        <w:rPr>
          <w:spacing w:val="-8"/>
          <w:sz w:val="22"/>
        </w:rPr>
        <w:t> </w:t>
      </w:r>
      <w:r>
        <w:rPr>
          <w:sz w:val="22"/>
        </w:rPr>
        <w:t>terneros</w:t>
      </w:r>
      <w:r>
        <w:rPr>
          <w:spacing w:val="-7"/>
          <w:sz w:val="22"/>
        </w:rPr>
        <w:t> </w:t>
      </w:r>
      <w:r>
        <w:rPr>
          <w:sz w:val="22"/>
        </w:rPr>
        <w:t>por</w:t>
      </w:r>
      <w:r>
        <w:rPr>
          <w:spacing w:val="-7"/>
          <w:sz w:val="22"/>
        </w:rPr>
        <w:t> </w:t>
      </w:r>
      <w:r>
        <w:rPr>
          <w:sz w:val="22"/>
        </w:rPr>
        <w:t>cada</w:t>
      </w:r>
      <w:r>
        <w:rPr>
          <w:spacing w:val="-9"/>
          <w:sz w:val="22"/>
        </w:rPr>
        <w:t> </w:t>
      </w:r>
      <w:r>
        <w:rPr>
          <w:sz w:val="22"/>
        </w:rPr>
        <w:t>tratamiento</w:t>
      </w:r>
      <w:r>
        <w:rPr>
          <w:spacing w:val="-7"/>
          <w:sz w:val="22"/>
        </w:rPr>
        <w:t> </w:t>
      </w:r>
      <w:r>
        <w:rPr>
          <w:sz w:val="22"/>
        </w:rPr>
        <w:t>alojados</w:t>
      </w:r>
      <w:r>
        <w:rPr>
          <w:spacing w:val="-12"/>
          <w:sz w:val="22"/>
        </w:rPr>
        <w:t> </w:t>
      </w:r>
      <w:r>
        <w:rPr>
          <w:sz w:val="22"/>
        </w:rPr>
        <w:t>en</w:t>
      </w:r>
      <w:r>
        <w:rPr>
          <w:spacing w:val="-10"/>
          <w:sz w:val="22"/>
        </w:rPr>
        <w:t> </w:t>
      </w:r>
      <w:r>
        <w:rPr>
          <w:sz w:val="22"/>
        </w:rPr>
        <w:t>un</w:t>
      </w:r>
      <w:r>
        <w:rPr>
          <w:spacing w:val="-10"/>
          <w:sz w:val="22"/>
        </w:rPr>
        <w:t> </w:t>
      </w:r>
      <w:r>
        <w:rPr>
          <w:sz w:val="22"/>
        </w:rPr>
        <w:t>cubículo</w:t>
      </w:r>
      <w:r>
        <w:rPr>
          <w:spacing w:val="-1"/>
          <w:sz w:val="22"/>
        </w:rPr>
        <w:t> </w:t>
      </w:r>
      <w:r>
        <w:rPr>
          <w:spacing w:val="-2"/>
          <w:sz w:val="22"/>
        </w:rPr>
        <w:t>individual.</w:t>
      </w:r>
    </w:p>
    <w:p>
      <w:pPr>
        <w:spacing w:after="0"/>
        <w:jc w:val="left"/>
        <w:rPr>
          <w:sz w:val="22"/>
        </w:rPr>
        <w:sectPr>
          <w:pgSz w:w="11900" w:h="16860"/>
          <w:pgMar w:header="0" w:footer="1084" w:top="1620" w:bottom="1280" w:left="1133" w:right="850"/>
        </w:sectPr>
      </w:pPr>
    </w:p>
    <w:p>
      <w:pPr>
        <w:pStyle w:val="Heading3"/>
      </w:pPr>
      <w:bookmarkStart w:name="_bookmark45" w:id="46"/>
      <w:bookmarkEnd w:id="46"/>
      <w:r>
        <w:rPr>
          <w:b w:val="0"/>
          <w:i w:val="0"/>
        </w:rPr>
      </w:r>
      <w:r>
        <w:rPr/>
        <w:t>Tabla </w:t>
      </w:r>
      <w:r>
        <w:rPr>
          <w:spacing w:val="-10"/>
        </w:rPr>
        <w:t>5</w:t>
      </w:r>
    </w:p>
    <w:p>
      <w:pPr>
        <w:spacing w:before="137"/>
        <w:ind w:left="1135" w:right="0" w:firstLine="0"/>
        <w:jc w:val="left"/>
        <w:rPr>
          <w:i/>
          <w:sz w:val="24"/>
        </w:rPr>
      </w:pPr>
      <w:r>
        <w:rPr>
          <w:i/>
          <w:sz w:val="24"/>
        </w:rPr>
        <w:t>Características</w:t>
      </w:r>
      <w:r>
        <w:rPr>
          <w:i/>
          <w:spacing w:val="-3"/>
          <w:sz w:val="24"/>
        </w:rPr>
        <w:t> </w:t>
      </w:r>
      <w:r>
        <w:rPr>
          <w:i/>
          <w:sz w:val="24"/>
        </w:rPr>
        <w:t>numéricas</w:t>
      </w:r>
      <w:r>
        <w:rPr>
          <w:i/>
          <w:spacing w:val="-1"/>
          <w:sz w:val="24"/>
        </w:rPr>
        <w:t> </w:t>
      </w:r>
      <w:r>
        <w:rPr>
          <w:i/>
          <w:sz w:val="24"/>
        </w:rPr>
        <w:t>del</w:t>
      </w:r>
      <w:r>
        <w:rPr>
          <w:i/>
          <w:spacing w:val="-1"/>
          <w:sz w:val="24"/>
        </w:rPr>
        <w:t> </w:t>
      </w:r>
      <w:r>
        <w:rPr>
          <w:i/>
          <w:spacing w:val="-2"/>
          <w:sz w:val="24"/>
        </w:rPr>
        <w:t>experimento.</w:t>
      </w:r>
    </w:p>
    <w:p>
      <w:pPr>
        <w:pStyle w:val="BodyText"/>
        <w:spacing w:before="2"/>
        <w:ind w:left="0"/>
        <w:rPr>
          <w:i/>
          <w:sz w:val="12"/>
        </w:rPr>
      </w:pPr>
    </w:p>
    <w:tbl>
      <w:tblPr>
        <w:tblW w:w="0" w:type="auto"/>
        <w:jc w:val="left"/>
        <w:tblInd w:w="1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20"/>
        <w:gridCol w:w="2844"/>
      </w:tblGrid>
      <w:tr>
        <w:trPr>
          <w:trHeight w:val="314" w:hRule="atLeast"/>
        </w:trPr>
        <w:tc>
          <w:tcPr>
            <w:tcW w:w="4120" w:type="dxa"/>
            <w:tcBorders>
              <w:top w:val="single" w:sz="4" w:space="0" w:color="000000"/>
            </w:tcBorders>
          </w:tcPr>
          <w:p>
            <w:pPr>
              <w:pStyle w:val="TableParagraph"/>
              <w:spacing w:line="275" w:lineRule="exact"/>
              <w:ind w:left="7"/>
              <w:rPr>
                <w:b/>
                <w:sz w:val="24"/>
              </w:rPr>
            </w:pPr>
            <w:r>
              <w:rPr>
                <w:b/>
                <w:spacing w:val="-2"/>
                <w:sz w:val="24"/>
              </w:rPr>
              <w:t>Tratamientos</w:t>
            </w:r>
          </w:p>
        </w:tc>
        <w:tc>
          <w:tcPr>
            <w:tcW w:w="2844" w:type="dxa"/>
            <w:tcBorders>
              <w:top w:val="single" w:sz="4" w:space="0" w:color="000000"/>
            </w:tcBorders>
          </w:tcPr>
          <w:p>
            <w:pPr>
              <w:pStyle w:val="TableParagraph"/>
              <w:spacing w:line="275" w:lineRule="exact"/>
              <w:ind w:left="304"/>
              <w:rPr>
                <w:sz w:val="24"/>
              </w:rPr>
            </w:pPr>
            <w:r>
              <w:rPr>
                <w:spacing w:val="-10"/>
                <w:sz w:val="24"/>
              </w:rPr>
              <w:t>4</w:t>
            </w:r>
          </w:p>
        </w:tc>
      </w:tr>
      <w:tr>
        <w:trPr>
          <w:trHeight w:val="367" w:hRule="atLeast"/>
        </w:trPr>
        <w:tc>
          <w:tcPr>
            <w:tcW w:w="4120" w:type="dxa"/>
          </w:tcPr>
          <w:p>
            <w:pPr>
              <w:pStyle w:val="TableParagraph"/>
              <w:spacing w:before="29"/>
              <w:ind w:left="7"/>
              <w:rPr>
                <w:b/>
                <w:sz w:val="24"/>
              </w:rPr>
            </w:pPr>
            <w:r>
              <w:rPr>
                <w:b/>
                <w:spacing w:val="-2"/>
                <w:sz w:val="24"/>
              </w:rPr>
              <w:t>Repeticiones</w:t>
            </w:r>
          </w:p>
        </w:tc>
        <w:tc>
          <w:tcPr>
            <w:tcW w:w="2844" w:type="dxa"/>
          </w:tcPr>
          <w:p>
            <w:pPr>
              <w:pStyle w:val="TableParagraph"/>
              <w:spacing w:before="29"/>
              <w:ind w:left="304"/>
              <w:rPr>
                <w:sz w:val="24"/>
              </w:rPr>
            </w:pPr>
            <w:r>
              <w:rPr>
                <w:spacing w:val="-10"/>
                <w:sz w:val="24"/>
              </w:rPr>
              <w:t>4</w:t>
            </w:r>
          </w:p>
        </w:tc>
      </w:tr>
      <w:tr>
        <w:trPr>
          <w:trHeight w:val="388" w:hRule="atLeast"/>
        </w:trPr>
        <w:tc>
          <w:tcPr>
            <w:tcW w:w="4120" w:type="dxa"/>
          </w:tcPr>
          <w:p>
            <w:pPr>
              <w:pStyle w:val="TableParagraph"/>
              <w:spacing w:before="51"/>
              <w:ind w:left="7"/>
              <w:rPr>
                <w:b/>
                <w:sz w:val="24"/>
              </w:rPr>
            </w:pPr>
            <w:r>
              <w:rPr>
                <w:b/>
                <w:sz w:val="24"/>
              </w:rPr>
              <w:t>Número</w:t>
            </w:r>
            <w:r>
              <w:rPr>
                <w:b/>
                <w:spacing w:val="-2"/>
                <w:sz w:val="24"/>
              </w:rPr>
              <w:t> </w:t>
            </w:r>
            <w:r>
              <w:rPr>
                <w:b/>
                <w:sz w:val="24"/>
              </w:rPr>
              <w:t>de</w:t>
            </w:r>
            <w:r>
              <w:rPr>
                <w:b/>
                <w:spacing w:val="-5"/>
                <w:sz w:val="24"/>
              </w:rPr>
              <w:t> </w:t>
            </w:r>
            <w:r>
              <w:rPr>
                <w:b/>
                <w:sz w:val="24"/>
              </w:rPr>
              <w:t>terneros</w:t>
            </w:r>
            <w:r>
              <w:rPr>
                <w:b/>
                <w:spacing w:val="-1"/>
                <w:sz w:val="24"/>
              </w:rPr>
              <w:t> </w:t>
            </w:r>
            <w:r>
              <w:rPr>
                <w:b/>
                <w:sz w:val="24"/>
              </w:rPr>
              <w:t>por</w:t>
            </w:r>
            <w:r>
              <w:rPr>
                <w:b/>
                <w:spacing w:val="-5"/>
                <w:sz w:val="24"/>
              </w:rPr>
              <w:t> </w:t>
            </w:r>
            <w:r>
              <w:rPr>
                <w:b/>
                <w:spacing w:val="-2"/>
                <w:sz w:val="24"/>
              </w:rPr>
              <w:t>tratamientos</w:t>
            </w:r>
          </w:p>
        </w:tc>
        <w:tc>
          <w:tcPr>
            <w:tcW w:w="2844" w:type="dxa"/>
          </w:tcPr>
          <w:p>
            <w:pPr>
              <w:pStyle w:val="TableParagraph"/>
              <w:spacing w:before="51"/>
              <w:ind w:left="304"/>
              <w:rPr>
                <w:sz w:val="24"/>
              </w:rPr>
            </w:pPr>
            <w:r>
              <w:rPr>
                <w:spacing w:val="-10"/>
                <w:sz w:val="24"/>
              </w:rPr>
              <w:t>4</w:t>
            </w:r>
          </w:p>
        </w:tc>
      </w:tr>
      <w:tr>
        <w:trPr>
          <w:trHeight w:val="486" w:hRule="atLeast"/>
        </w:trPr>
        <w:tc>
          <w:tcPr>
            <w:tcW w:w="4120" w:type="dxa"/>
            <w:tcBorders>
              <w:bottom w:val="single" w:sz="4" w:space="0" w:color="000000"/>
            </w:tcBorders>
          </w:tcPr>
          <w:p>
            <w:pPr>
              <w:pStyle w:val="TableParagraph"/>
              <w:spacing w:before="51"/>
              <w:ind w:left="7"/>
              <w:rPr>
                <w:b/>
                <w:sz w:val="24"/>
              </w:rPr>
            </w:pPr>
            <w:r>
              <w:rPr>
                <w:b/>
                <w:sz w:val="24"/>
              </w:rPr>
              <w:t>Número</w:t>
            </w:r>
            <w:r>
              <w:rPr>
                <w:b/>
                <w:spacing w:val="-5"/>
                <w:sz w:val="24"/>
              </w:rPr>
              <w:t> </w:t>
            </w:r>
            <w:r>
              <w:rPr>
                <w:b/>
                <w:sz w:val="24"/>
              </w:rPr>
              <w:t>de</w:t>
            </w:r>
            <w:r>
              <w:rPr>
                <w:b/>
                <w:spacing w:val="-5"/>
                <w:sz w:val="24"/>
              </w:rPr>
              <w:t> </w:t>
            </w:r>
            <w:r>
              <w:rPr>
                <w:b/>
                <w:sz w:val="24"/>
              </w:rPr>
              <w:t>terneros</w:t>
            </w:r>
            <w:r>
              <w:rPr>
                <w:b/>
                <w:spacing w:val="1"/>
                <w:sz w:val="24"/>
              </w:rPr>
              <w:t> </w:t>
            </w:r>
            <w:r>
              <w:rPr>
                <w:b/>
                <w:spacing w:val="-2"/>
                <w:sz w:val="24"/>
              </w:rPr>
              <w:t>total</w:t>
            </w:r>
          </w:p>
        </w:tc>
        <w:tc>
          <w:tcPr>
            <w:tcW w:w="2844" w:type="dxa"/>
            <w:tcBorders>
              <w:bottom w:val="single" w:sz="4" w:space="0" w:color="000000"/>
            </w:tcBorders>
          </w:tcPr>
          <w:p>
            <w:pPr>
              <w:pStyle w:val="TableParagraph"/>
              <w:spacing w:before="51"/>
              <w:ind w:left="304"/>
              <w:rPr>
                <w:sz w:val="24"/>
              </w:rPr>
            </w:pPr>
            <w:r>
              <w:rPr>
                <w:spacing w:val="-5"/>
                <w:sz w:val="24"/>
              </w:rPr>
              <w:t>16</w:t>
            </w:r>
          </w:p>
        </w:tc>
      </w:tr>
    </w:tbl>
    <w:p>
      <w:pPr>
        <w:pStyle w:val="BodyText"/>
        <w:spacing w:before="84"/>
        <w:ind w:left="0"/>
        <w:rPr>
          <w:i/>
        </w:rPr>
      </w:pPr>
    </w:p>
    <w:p>
      <w:pPr>
        <w:pStyle w:val="Heading2"/>
        <w:numPr>
          <w:ilvl w:val="2"/>
          <w:numId w:val="13"/>
        </w:numPr>
        <w:tabs>
          <w:tab w:pos="1987" w:val="left" w:leader="none"/>
        </w:tabs>
        <w:spacing w:line="240" w:lineRule="auto" w:before="1" w:after="0"/>
        <w:ind w:left="1987" w:right="0" w:hanging="852"/>
        <w:jc w:val="left"/>
      </w:pPr>
      <w:bookmarkStart w:name="_bookmark46" w:id="47"/>
      <w:bookmarkEnd w:id="47"/>
      <w:r>
        <w:rPr>
          <w:b w:val="0"/>
        </w:rPr>
      </w:r>
      <w:r>
        <w:rPr/>
        <w:t>Tipo</w:t>
      </w:r>
      <w:r>
        <w:rPr>
          <w:spacing w:val="-2"/>
        </w:rPr>
        <w:t> </w:t>
      </w:r>
      <w:r>
        <w:rPr/>
        <w:t>de</w:t>
      </w:r>
      <w:r>
        <w:rPr>
          <w:spacing w:val="-4"/>
        </w:rPr>
        <w:t> </w:t>
      </w:r>
      <w:r>
        <w:rPr/>
        <w:t>diseño</w:t>
      </w:r>
      <w:r>
        <w:rPr>
          <w:spacing w:val="1"/>
        </w:rPr>
        <w:t> </w:t>
      </w:r>
      <w:r>
        <w:rPr>
          <w:spacing w:val="-2"/>
        </w:rPr>
        <w:t>experimental</w:t>
      </w:r>
    </w:p>
    <w:p>
      <w:pPr>
        <w:pStyle w:val="BodyText"/>
        <w:spacing w:before="101"/>
        <w:ind w:left="0"/>
        <w:rPr>
          <w:b/>
        </w:rPr>
      </w:pPr>
    </w:p>
    <w:p>
      <w:pPr>
        <w:pStyle w:val="BodyText"/>
      </w:pPr>
      <w:r>
        <w:rPr/>
        <w:t>Se</w:t>
      </w:r>
      <w:r>
        <w:rPr>
          <w:spacing w:val="-6"/>
        </w:rPr>
        <w:t> </w:t>
      </w:r>
      <w:r>
        <w:rPr/>
        <w:t>aplicó</w:t>
      </w:r>
      <w:r>
        <w:rPr>
          <w:spacing w:val="-4"/>
        </w:rPr>
        <w:t> </w:t>
      </w:r>
      <w:r>
        <w:rPr/>
        <w:t>un</w:t>
      </w:r>
      <w:r>
        <w:rPr>
          <w:spacing w:val="-1"/>
        </w:rPr>
        <w:t> </w:t>
      </w:r>
      <w:r>
        <w:rPr/>
        <w:t>DCA</w:t>
      </w:r>
      <w:r>
        <w:rPr>
          <w:spacing w:val="-2"/>
        </w:rPr>
        <w:t> </w:t>
      </w:r>
      <w:r>
        <w:rPr/>
        <w:t>(diseño</w:t>
      </w:r>
      <w:r>
        <w:rPr>
          <w:spacing w:val="-1"/>
        </w:rPr>
        <w:t> </w:t>
      </w:r>
      <w:r>
        <w:rPr/>
        <w:t>completamente</w:t>
      </w:r>
      <w:r>
        <w:rPr>
          <w:spacing w:val="-1"/>
        </w:rPr>
        <w:t> </w:t>
      </w:r>
      <w:r>
        <w:rPr/>
        <w:t>al</w:t>
      </w:r>
      <w:r>
        <w:rPr>
          <w:spacing w:val="2"/>
        </w:rPr>
        <w:t> </w:t>
      </w:r>
      <w:r>
        <w:rPr>
          <w:spacing w:val="-2"/>
        </w:rPr>
        <w:t>azar).</w:t>
      </w:r>
    </w:p>
    <w:p>
      <w:pPr>
        <w:pStyle w:val="BodyText"/>
        <w:spacing w:before="103"/>
        <w:ind w:left="0"/>
      </w:pPr>
    </w:p>
    <w:p>
      <w:pPr>
        <w:pStyle w:val="Heading2"/>
        <w:numPr>
          <w:ilvl w:val="2"/>
          <w:numId w:val="13"/>
        </w:numPr>
        <w:tabs>
          <w:tab w:pos="1843" w:val="left" w:leader="none"/>
        </w:tabs>
        <w:spacing w:line="240" w:lineRule="auto" w:before="0" w:after="0"/>
        <w:ind w:left="1843" w:right="0" w:hanging="708"/>
        <w:jc w:val="left"/>
      </w:pPr>
      <w:bookmarkStart w:name="_bookmark47" w:id="48"/>
      <w:bookmarkEnd w:id="48"/>
      <w:r>
        <w:rPr>
          <w:b w:val="0"/>
        </w:rPr>
      </w:r>
      <w:r>
        <w:rPr/>
        <w:t>Tipo de</w:t>
      </w:r>
      <w:r>
        <w:rPr>
          <w:spacing w:val="1"/>
        </w:rPr>
        <w:t> </w:t>
      </w:r>
      <w:r>
        <w:rPr>
          <w:spacing w:val="-2"/>
        </w:rPr>
        <w:t>análisis</w:t>
      </w:r>
    </w:p>
    <w:p>
      <w:pPr>
        <w:pStyle w:val="BodyText"/>
        <w:spacing w:before="101"/>
        <w:ind w:left="0"/>
        <w:rPr>
          <w:b/>
        </w:rPr>
      </w:pPr>
    </w:p>
    <w:p>
      <w:pPr>
        <w:pStyle w:val="BodyText"/>
        <w:spacing w:line="360" w:lineRule="auto"/>
        <w:ind w:right="849"/>
        <w:jc w:val="both"/>
      </w:pPr>
      <w:r>
        <w:rPr/>
        <w:t>"Para el análisis estadístico, los datos se sometieron a un análisis de varianza (ANOVA) bajo un diseño completamente al azar (DCA). Posteriormente, las diferencias</w:t>
      </w:r>
      <w:r>
        <w:rPr>
          <w:spacing w:val="-6"/>
        </w:rPr>
        <w:t> </w:t>
      </w:r>
      <w:r>
        <w:rPr/>
        <w:t>entre</w:t>
      </w:r>
      <w:r>
        <w:rPr>
          <w:spacing w:val="-7"/>
        </w:rPr>
        <w:t> </w:t>
      </w:r>
      <w:r>
        <w:rPr/>
        <w:t>medias</w:t>
      </w:r>
      <w:r>
        <w:rPr>
          <w:spacing w:val="-6"/>
        </w:rPr>
        <w:t> </w:t>
      </w:r>
      <w:r>
        <w:rPr/>
        <w:t>se</w:t>
      </w:r>
      <w:r>
        <w:rPr>
          <w:spacing w:val="-7"/>
        </w:rPr>
        <w:t> </w:t>
      </w:r>
      <w:r>
        <w:rPr/>
        <w:t>evaluaron</w:t>
      </w:r>
      <w:r>
        <w:rPr>
          <w:spacing w:val="-6"/>
        </w:rPr>
        <w:t> </w:t>
      </w:r>
      <w:r>
        <w:rPr/>
        <w:t>mediante</w:t>
      </w:r>
      <w:r>
        <w:rPr>
          <w:spacing w:val="-6"/>
        </w:rPr>
        <w:t> </w:t>
      </w:r>
      <w:r>
        <w:rPr/>
        <w:t>la</w:t>
      </w:r>
      <w:r>
        <w:rPr>
          <w:spacing w:val="-6"/>
        </w:rPr>
        <w:t> </w:t>
      </w:r>
      <w:r>
        <w:rPr/>
        <w:t>prueba</w:t>
      </w:r>
      <w:r>
        <w:rPr>
          <w:spacing w:val="-7"/>
        </w:rPr>
        <w:t> </w:t>
      </w:r>
      <w:r>
        <w:rPr/>
        <w:t>de</w:t>
      </w:r>
      <w:r>
        <w:rPr>
          <w:spacing w:val="-7"/>
        </w:rPr>
        <w:t> </w:t>
      </w:r>
      <w:r>
        <w:rPr/>
        <w:t>Tukey</w:t>
      </w:r>
      <w:r>
        <w:rPr>
          <w:spacing w:val="-11"/>
        </w:rPr>
        <w:t> </w:t>
      </w:r>
      <w:r>
        <w:rPr/>
        <w:t>con</w:t>
      </w:r>
      <w:r>
        <w:rPr>
          <w:spacing w:val="-6"/>
        </w:rPr>
        <w:t> </w:t>
      </w:r>
      <w:r>
        <w:rPr/>
        <w:t>un</w:t>
      </w:r>
      <w:r>
        <w:rPr>
          <w:spacing w:val="-6"/>
        </w:rPr>
        <w:t> </w:t>
      </w:r>
      <w:r>
        <w:rPr/>
        <w:t>nivel</w:t>
      </w:r>
      <w:r>
        <w:rPr>
          <w:spacing w:val="-6"/>
        </w:rPr>
        <w:t> </w:t>
      </w:r>
      <w:r>
        <w:rPr/>
        <w:t>de significancia del 5% (</w:t>
      </w:r>
      <w:r>
        <w:rPr>
          <w:rFonts w:ascii="Cambria Math" w:hAnsi="Cambria Math" w:eastAsia="Cambria Math"/>
        </w:rPr>
        <w:t>𝑝 &lt; 0,05</w:t>
      </w:r>
      <w:r>
        <w:rPr/>
        <w:t>)."</w:t>
      </w:r>
    </w:p>
    <w:p>
      <w:pPr>
        <w:pStyle w:val="ListParagraph"/>
        <w:numPr>
          <w:ilvl w:val="2"/>
          <w:numId w:val="13"/>
        </w:numPr>
        <w:tabs>
          <w:tab w:pos="1843" w:val="left" w:leader="none"/>
        </w:tabs>
        <w:spacing w:line="240" w:lineRule="auto" w:before="43" w:after="0"/>
        <w:ind w:left="1843" w:right="0" w:hanging="708"/>
        <w:jc w:val="both"/>
        <w:rPr>
          <w:b/>
          <w:sz w:val="24"/>
        </w:rPr>
      </w:pPr>
      <w:bookmarkStart w:name="_bookmark48" w:id="49"/>
      <w:bookmarkEnd w:id="49"/>
      <w:r>
        <w:rPr/>
      </w:r>
      <w:r>
        <w:rPr>
          <w:b/>
          <w:sz w:val="24"/>
        </w:rPr>
        <w:t>Métodos</w:t>
      </w:r>
      <w:r>
        <w:rPr>
          <w:b/>
          <w:spacing w:val="-2"/>
          <w:sz w:val="24"/>
        </w:rPr>
        <w:t> </w:t>
      </w:r>
      <w:r>
        <w:rPr>
          <w:b/>
          <w:sz w:val="24"/>
        </w:rPr>
        <w:t>de</w:t>
      </w:r>
      <w:r>
        <w:rPr>
          <w:b/>
          <w:spacing w:val="-2"/>
          <w:sz w:val="24"/>
        </w:rPr>
        <w:t> </w:t>
      </w:r>
      <w:r>
        <w:rPr>
          <w:b/>
          <w:sz w:val="24"/>
        </w:rPr>
        <w:t>evaluación</w:t>
      </w:r>
      <w:r>
        <w:rPr>
          <w:b/>
          <w:spacing w:val="1"/>
          <w:sz w:val="24"/>
        </w:rPr>
        <w:t> </w:t>
      </w:r>
      <w:r>
        <w:rPr>
          <w:b/>
          <w:sz w:val="24"/>
        </w:rPr>
        <w:t>y</w:t>
      </w:r>
      <w:r>
        <w:rPr>
          <w:b/>
          <w:spacing w:val="-1"/>
          <w:sz w:val="24"/>
        </w:rPr>
        <w:t> </w:t>
      </w:r>
      <w:r>
        <w:rPr>
          <w:b/>
          <w:sz w:val="24"/>
        </w:rPr>
        <w:t>datos </w:t>
      </w:r>
      <w:r>
        <w:rPr>
          <w:b/>
          <w:spacing w:val="-2"/>
          <w:sz w:val="24"/>
        </w:rPr>
        <w:t>tomados</w:t>
      </w:r>
    </w:p>
    <w:p>
      <w:pPr>
        <w:pStyle w:val="BodyText"/>
        <w:spacing w:before="101"/>
        <w:ind w:left="0"/>
        <w:rPr>
          <w:b/>
        </w:rPr>
      </w:pPr>
    </w:p>
    <w:p>
      <w:pPr>
        <w:pStyle w:val="BodyText"/>
        <w:spacing w:line="360" w:lineRule="auto"/>
        <w:ind w:right="846"/>
        <w:jc w:val="both"/>
      </w:pPr>
      <w:r>
        <w:rPr>
          <w:b/>
        </w:rPr>
        <w:t>Edad</w:t>
      </w:r>
      <w:r>
        <w:rPr/>
        <w:t>:</w:t>
      </w:r>
      <w:r>
        <w:rPr>
          <w:spacing w:val="-8"/>
        </w:rPr>
        <w:t> </w:t>
      </w:r>
      <w:r>
        <w:rPr/>
        <w:t>Variable</w:t>
      </w:r>
      <w:r>
        <w:rPr>
          <w:spacing w:val="-6"/>
        </w:rPr>
        <w:t> </w:t>
      </w:r>
      <w:r>
        <w:rPr/>
        <w:t>que</w:t>
      </w:r>
      <w:r>
        <w:rPr>
          <w:spacing w:val="-7"/>
        </w:rPr>
        <w:t> </w:t>
      </w:r>
      <w:r>
        <w:rPr/>
        <w:t>se</w:t>
      </w:r>
      <w:r>
        <w:rPr>
          <w:spacing w:val="-7"/>
        </w:rPr>
        <w:t> </w:t>
      </w:r>
      <w:r>
        <w:rPr/>
        <w:t>desarrolló</w:t>
      </w:r>
      <w:r>
        <w:rPr>
          <w:spacing w:val="-6"/>
        </w:rPr>
        <w:t> </w:t>
      </w:r>
      <w:r>
        <w:rPr/>
        <w:t>mediante</w:t>
      </w:r>
      <w:r>
        <w:rPr>
          <w:spacing w:val="-6"/>
        </w:rPr>
        <w:t> </w:t>
      </w:r>
      <w:r>
        <w:rPr/>
        <w:t>la</w:t>
      </w:r>
      <w:r>
        <w:rPr>
          <w:spacing w:val="-6"/>
        </w:rPr>
        <w:t> </w:t>
      </w:r>
      <w:r>
        <w:rPr/>
        <w:t>inspección</w:t>
      </w:r>
      <w:r>
        <w:rPr>
          <w:spacing w:val="-5"/>
        </w:rPr>
        <w:t> </w:t>
      </w:r>
      <w:r>
        <w:rPr/>
        <w:t>de</w:t>
      </w:r>
      <w:r>
        <w:rPr>
          <w:spacing w:val="-7"/>
        </w:rPr>
        <w:t> </w:t>
      </w:r>
      <w:r>
        <w:rPr/>
        <w:t>piensas</w:t>
      </w:r>
      <w:r>
        <w:rPr>
          <w:spacing w:val="-6"/>
        </w:rPr>
        <w:t> </w:t>
      </w:r>
      <w:r>
        <w:rPr/>
        <w:t>dentales</w:t>
      </w:r>
      <w:r>
        <w:rPr>
          <w:spacing w:val="-6"/>
        </w:rPr>
        <w:t> </w:t>
      </w:r>
      <w:r>
        <w:rPr/>
        <w:t>de</w:t>
      </w:r>
      <w:r>
        <w:rPr>
          <w:spacing w:val="-7"/>
        </w:rPr>
        <w:t> </w:t>
      </w:r>
      <w:r>
        <w:rPr/>
        <w:t>los terneros, su valor fue expresado en meses.</w:t>
      </w:r>
    </w:p>
    <w:p>
      <w:pPr>
        <w:pStyle w:val="BodyText"/>
        <w:spacing w:line="360" w:lineRule="auto" w:before="240"/>
        <w:ind w:right="843"/>
        <w:jc w:val="both"/>
      </w:pPr>
      <w:r>
        <w:rPr>
          <w:b/>
        </w:rPr>
        <w:t>Peso</w:t>
      </w:r>
      <w:r>
        <w:rPr/>
        <w:t>: Variable</w:t>
      </w:r>
      <w:r>
        <w:rPr>
          <w:spacing w:val="-1"/>
        </w:rPr>
        <w:t> </w:t>
      </w:r>
      <w:r>
        <w:rPr/>
        <w:t>que se</w:t>
      </w:r>
      <w:r>
        <w:rPr>
          <w:spacing w:val="-1"/>
        </w:rPr>
        <w:t> </w:t>
      </w:r>
      <w:r>
        <w:rPr/>
        <w:t>registró con la ayuda</w:t>
      </w:r>
      <w:r>
        <w:rPr>
          <w:spacing w:val="-1"/>
        </w:rPr>
        <w:t> </w:t>
      </w:r>
      <w:r>
        <w:rPr/>
        <w:t>de</w:t>
      </w:r>
      <w:r>
        <w:rPr>
          <w:spacing w:val="-1"/>
        </w:rPr>
        <w:t> </w:t>
      </w:r>
      <w:r>
        <w:rPr/>
        <w:t>un bascula,</w:t>
      </w:r>
      <w:r>
        <w:rPr>
          <w:spacing w:val="-1"/>
        </w:rPr>
        <w:t> </w:t>
      </w:r>
      <w:r>
        <w:rPr/>
        <w:t>al momento del ingreso de</w:t>
      </w:r>
      <w:r>
        <w:rPr>
          <w:spacing w:val="-12"/>
        </w:rPr>
        <w:t> </w:t>
      </w:r>
      <w:r>
        <w:rPr/>
        <w:t>los</w:t>
      </w:r>
      <w:r>
        <w:rPr>
          <w:spacing w:val="-10"/>
        </w:rPr>
        <w:t> </w:t>
      </w:r>
      <w:r>
        <w:rPr/>
        <w:t>terneros</w:t>
      </w:r>
      <w:r>
        <w:rPr>
          <w:spacing w:val="-11"/>
        </w:rPr>
        <w:t> </w:t>
      </w:r>
      <w:r>
        <w:rPr/>
        <w:t>al</w:t>
      </w:r>
      <w:r>
        <w:rPr>
          <w:spacing w:val="-10"/>
        </w:rPr>
        <w:t> </w:t>
      </w:r>
      <w:r>
        <w:rPr/>
        <w:t>estudio,</w:t>
      </w:r>
      <w:r>
        <w:rPr>
          <w:spacing w:val="-9"/>
        </w:rPr>
        <w:t> </w:t>
      </w:r>
      <w:r>
        <w:rPr/>
        <w:t>semanalmente</w:t>
      </w:r>
      <w:r>
        <w:rPr>
          <w:spacing w:val="-7"/>
        </w:rPr>
        <w:t> </w:t>
      </w:r>
      <w:r>
        <w:rPr/>
        <w:t>y</w:t>
      </w:r>
      <w:r>
        <w:rPr>
          <w:spacing w:val="-15"/>
        </w:rPr>
        <w:t> </w:t>
      </w:r>
      <w:r>
        <w:rPr/>
        <w:t>al</w:t>
      </w:r>
      <w:r>
        <w:rPr>
          <w:spacing w:val="-10"/>
        </w:rPr>
        <w:t> </w:t>
      </w:r>
      <w:r>
        <w:rPr/>
        <w:t>final</w:t>
      </w:r>
      <w:r>
        <w:rPr>
          <w:spacing w:val="-8"/>
        </w:rPr>
        <w:t> </w:t>
      </w:r>
      <w:r>
        <w:rPr/>
        <w:t>de</w:t>
      </w:r>
      <w:r>
        <w:rPr>
          <w:spacing w:val="-12"/>
        </w:rPr>
        <w:t> </w:t>
      </w:r>
      <w:r>
        <w:rPr/>
        <w:t>la</w:t>
      </w:r>
      <w:r>
        <w:rPr>
          <w:spacing w:val="-11"/>
        </w:rPr>
        <w:t> </w:t>
      </w:r>
      <w:r>
        <w:rPr/>
        <w:t>investigación,</w:t>
      </w:r>
      <w:r>
        <w:rPr>
          <w:spacing w:val="-10"/>
        </w:rPr>
        <w:t> </w:t>
      </w:r>
      <w:r>
        <w:rPr/>
        <w:t>valor</w:t>
      </w:r>
      <w:r>
        <w:rPr>
          <w:spacing w:val="-9"/>
        </w:rPr>
        <w:t> </w:t>
      </w:r>
      <w:r>
        <w:rPr/>
        <w:t>que</w:t>
      </w:r>
      <w:r>
        <w:rPr>
          <w:spacing w:val="-8"/>
        </w:rPr>
        <w:t> </w:t>
      </w:r>
      <w:r>
        <w:rPr/>
        <w:t>fue expresado en kilogramos.</w:t>
      </w:r>
    </w:p>
    <w:p>
      <w:pPr>
        <w:pStyle w:val="BodyText"/>
        <w:spacing w:line="360" w:lineRule="auto" w:before="239"/>
        <w:ind w:right="847"/>
        <w:jc w:val="both"/>
      </w:pPr>
      <w:r>
        <w:rPr>
          <w:b/>
        </w:rPr>
        <w:t>Proteína C reactiva</w:t>
      </w:r>
      <w:r>
        <w:rPr/>
        <w:t>: Variable determinada mediante la determinación de la proteína</w:t>
      </w:r>
      <w:r>
        <w:rPr>
          <w:spacing w:val="-8"/>
        </w:rPr>
        <w:t> </w:t>
      </w:r>
      <w:r>
        <w:rPr/>
        <w:t>C</w:t>
      </w:r>
      <w:r>
        <w:rPr>
          <w:spacing w:val="-4"/>
        </w:rPr>
        <w:t> </w:t>
      </w:r>
      <w:r>
        <w:rPr/>
        <w:t>reactiva</w:t>
      </w:r>
      <w:r>
        <w:rPr>
          <w:spacing w:val="-3"/>
        </w:rPr>
        <w:t> </w:t>
      </w:r>
      <w:r>
        <w:rPr/>
        <w:t>a</w:t>
      </w:r>
      <w:r>
        <w:rPr>
          <w:spacing w:val="-8"/>
        </w:rPr>
        <w:t> </w:t>
      </w:r>
      <w:r>
        <w:rPr/>
        <w:t>los 3</w:t>
      </w:r>
      <w:r>
        <w:rPr>
          <w:spacing w:val="-7"/>
        </w:rPr>
        <w:t> </w:t>
      </w:r>
      <w:r>
        <w:rPr/>
        <w:t>días</w:t>
      </w:r>
      <w:r>
        <w:rPr>
          <w:spacing w:val="-7"/>
        </w:rPr>
        <w:t> </w:t>
      </w:r>
      <w:r>
        <w:rPr/>
        <w:t>después</w:t>
      </w:r>
      <w:r>
        <w:rPr>
          <w:spacing w:val="-4"/>
        </w:rPr>
        <w:t> </w:t>
      </w:r>
      <w:r>
        <w:rPr/>
        <w:t>del</w:t>
      </w:r>
      <w:r>
        <w:rPr>
          <w:spacing w:val="-4"/>
        </w:rPr>
        <w:t> </w:t>
      </w:r>
      <w:r>
        <w:rPr/>
        <w:t>descorne,</w:t>
      </w:r>
      <w:r>
        <w:rPr>
          <w:spacing w:val="-4"/>
        </w:rPr>
        <w:t> </w:t>
      </w:r>
      <w:r>
        <w:rPr/>
        <w:t>se</w:t>
      </w:r>
      <w:r>
        <w:rPr>
          <w:spacing w:val="-8"/>
        </w:rPr>
        <w:t> </w:t>
      </w:r>
      <w:r>
        <w:rPr/>
        <w:t>medió</w:t>
      </w:r>
      <w:r>
        <w:rPr>
          <w:spacing w:val="-3"/>
        </w:rPr>
        <w:t> </w:t>
      </w:r>
      <w:r>
        <w:rPr/>
        <w:t>a</w:t>
      </w:r>
      <w:r>
        <w:rPr>
          <w:spacing w:val="-8"/>
        </w:rPr>
        <w:t> </w:t>
      </w:r>
      <w:r>
        <w:rPr/>
        <w:t>partir</w:t>
      </w:r>
      <w:r>
        <w:rPr>
          <w:spacing w:val="-8"/>
        </w:rPr>
        <w:t> </w:t>
      </w:r>
      <w:r>
        <w:rPr/>
        <w:t>de</w:t>
      </w:r>
      <w:r>
        <w:rPr>
          <w:spacing w:val="-3"/>
        </w:rPr>
        <w:t> </w:t>
      </w:r>
      <w:r>
        <w:rPr/>
        <w:t>muestras de suero sanguíneo de los terneros distribuidos en cada tratamiento en estudio.</w:t>
      </w:r>
    </w:p>
    <w:p>
      <w:pPr>
        <w:pStyle w:val="BodyText"/>
        <w:spacing w:line="360" w:lineRule="auto" w:before="242"/>
        <w:ind w:right="845"/>
        <w:jc w:val="both"/>
      </w:pPr>
      <w:r>
        <w:rPr>
          <w:b/>
        </w:rPr>
        <w:t>Valoración de la herida</w:t>
      </w:r>
      <w:r>
        <w:rPr/>
        <w:t>: La valoración de la herida post-descorne se realizó mediante una combinación de medidas objetivas (área de la herida, signos de inflamación</w:t>
      </w:r>
      <w:r>
        <w:rPr>
          <w:spacing w:val="-8"/>
        </w:rPr>
        <w:t> </w:t>
      </w:r>
      <w:r>
        <w:rPr/>
        <w:t>evidente)</w:t>
      </w:r>
      <w:r>
        <w:rPr>
          <w:spacing w:val="-1"/>
        </w:rPr>
        <w:t> </w:t>
      </w:r>
      <w:r>
        <w:rPr/>
        <w:t>y</w:t>
      </w:r>
      <w:r>
        <w:rPr>
          <w:spacing w:val="-15"/>
        </w:rPr>
        <w:t> </w:t>
      </w:r>
      <w:r>
        <w:rPr/>
        <w:t>evaluaciones</w:t>
      </w:r>
      <w:r>
        <w:rPr>
          <w:spacing w:val="-8"/>
        </w:rPr>
        <w:t> </w:t>
      </w:r>
      <w:r>
        <w:rPr/>
        <w:t>subjetivas</w:t>
      </w:r>
      <w:r>
        <w:rPr>
          <w:spacing w:val="-7"/>
        </w:rPr>
        <w:t> </w:t>
      </w:r>
      <w:r>
        <w:rPr/>
        <w:t>estandarizadas.</w:t>
      </w:r>
      <w:r>
        <w:rPr>
          <w:spacing w:val="-4"/>
        </w:rPr>
        <w:t> </w:t>
      </w:r>
      <w:r>
        <w:rPr/>
        <w:t>Las</w:t>
      </w:r>
      <w:r>
        <w:rPr>
          <w:spacing w:val="-7"/>
        </w:rPr>
        <w:t> </w:t>
      </w:r>
      <w:r>
        <w:rPr/>
        <w:t>observaciones se efectuaron cada 2 días, en base a la escala utilizada por (Martins &amp; Stilwell, 2024)</w:t>
      </w:r>
      <w:r>
        <w:rPr>
          <w:spacing w:val="10"/>
        </w:rPr>
        <w:t> </w:t>
      </w:r>
      <w:r>
        <w:rPr/>
        <w:t>la</w:t>
      </w:r>
      <w:r>
        <w:rPr>
          <w:spacing w:val="11"/>
        </w:rPr>
        <w:t> </w:t>
      </w:r>
      <w:r>
        <w:rPr/>
        <w:t>misma</w:t>
      </w:r>
      <w:r>
        <w:rPr>
          <w:spacing w:val="11"/>
        </w:rPr>
        <w:t> </w:t>
      </w:r>
      <w:r>
        <w:rPr/>
        <w:t>que</w:t>
      </w:r>
      <w:r>
        <w:rPr>
          <w:spacing w:val="10"/>
        </w:rPr>
        <w:t> </w:t>
      </w:r>
      <w:r>
        <w:rPr/>
        <w:t>considera</w:t>
      </w:r>
      <w:r>
        <w:rPr>
          <w:spacing w:val="10"/>
        </w:rPr>
        <w:t> </w:t>
      </w:r>
      <w:r>
        <w:rPr/>
        <w:t>dominios</w:t>
      </w:r>
      <w:r>
        <w:rPr>
          <w:spacing w:val="12"/>
        </w:rPr>
        <w:t> </w:t>
      </w:r>
      <w:r>
        <w:rPr/>
        <w:t>que</w:t>
      </w:r>
      <w:r>
        <w:rPr>
          <w:spacing w:val="10"/>
        </w:rPr>
        <w:t> </w:t>
      </w:r>
      <w:r>
        <w:rPr/>
        <w:t>valora:</w:t>
      </w:r>
      <w:r>
        <w:rPr>
          <w:spacing w:val="11"/>
        </w:rPr>
        <w:t> </w:t>
      </w:r>
      <w:r>
        <w:rPr/>
        <w:t>1)</w:t>
      </w:r>
      <w:r>
        <w:rPr>
          <w:spacing w:val="11"/>
        </w:rPr>
        <w:t> </w:t>
      </w:r>
      <w:r>
        <w:rPr/>
        <w:t>los</w:t>
      </w:r>
      <w:r>
        <w:rPr>
          <w:spacing w:val="12"/>
        </w:rPr>
        <w:t> </w:t>
      </w:r>
      <w:r>
        <w:rPr/>
        <w:t>bordes</w:t>
      </w:r>
      <w:r>
        <w:rPr>
          <w:spacing w:val="12"/>
        </w:rPr>
        <w:t> </w:t>
      </w:r>
      <w:r>
        <w:rPr/>
        <w:t>de</w:t>
      </w:r>
      <w:r>
        <w:rPr>
          <w:spacing w:val="10"/>
        </w:rPr>
        <w:t> </w:t>
      </w:r>
      <w:r>
        <w:rPr/>
        <w:t>la</w:t>
      </w:r>
      <w:r>
        <w:rPr>
          <w:spacing w:val="11"/>
        </w:rPr>
        <w:t> </w:t>
      </w:r>
      <w:r>
        <w:rPr/>
        <w:t>herida,</w:t>
      </w:r>
      <w:r>
        <w:rPr>
          <w:spacing w:val="11"/>
        </w:rPr>
        <w:t> </w:t>
      </w:r>
      <w:r>
        <w:rPr>
          <w:spacing w:val="-5"/>
        </w:rPr>
        <w:t>2)</w:t>
      </w:r>
    </w:p>
    <w:p>
      <w:pPr>
        <w:pStyle w:val="BodyText"/>
        <w:spacing w:after="0" w:line="360" w:lineRule="auto"/>
        <w:jc w:val="both"/>
        <w:sectPr>
          <w:pgSz w:w="11900" w:h="16860"/>
          <w:pgMar w:header="0" w:footer="1084" w:top="1620" w:bottom="1280" w:left="1133" w:right="850"/>
        </w:sectPr>
      </w:pPr>
    </w:p>
    <w:p>
      <w:pPr>
        <w:pStyle w:val="BodyText"/>
        <w:spacing w:before="70"/>
        <w:jc w:val="both"/>
      </w:pPr>
      <w:r>
        <w:rPr/>
        <w:t>Tipo</w:t>
      </w:r>
      <w:r>
        <w:rPr>
          <w:spacing w:val="-13"/>
        </w:rPr>
        <w:t> </w:t>
      </w:r>
      <w:r>
        <w:rPr/>
        <w:t>de</w:t>
      </w:r>
      <w:r>
        <w:rPr>
          <w:spacing w:val="-11"/>
        </w:rPr>
        <w:t> </w:t>
      </w:r>
      <w:r>
        <w:rPr/>
        <w:t>tejido</w:t>
      </w:r>
      <w:r>
        <w:rPr>
          <w:spacing w:val="-9"/>
        </w:rPr>
        <w:t> </w:t>
      </w:r>
      <w:r>
        <w:rPr/>
        <w:t>en</w:t>
      </w:r>
      <w:r>
        <w:rPr>
          <w:spacing w:val="-8"/>
        </w:rPr>
        <w:t> </w:t>
      </w:r>
      <w:r>
        <w:rPr/>
        <w:t>el</w:t>
      </w:r>
      <w:r>
        <w:rPr>
          <w:spacing w:val="-7"/>
        </w:rPr>
        <w:t> </w:t>
      </w:r>
      <w:r>
        <w:rPr/>
        <w:t>lecho</w:t>
      </w:r>
      <w:r>
        <w:rPr>
          <w:spacing w:val="-9"/>
        </w:rPr>
        <w:t> </w:t>
      </w:r>
      <w:r>
        <w:rPr/>
        <w:t>de</w:t>
      </w:r>
      <w:r>
        <w:rPr>
          <w:spacing w:val="-11"/>
        </w:rPr>
        <w:t> </w:t>
      </w:r>
      <w:r>
        <w:rPr/>
        <w:t>la</w:t>
      </w:r>
      <w:r>
        <w:rPr>
          <w:spacing w:val="-11"/>
        </w:rPr>
        <w:t> </w:t>
      </w:r>
      <w:r>
        <w:rPr/>
        <w:t>herida,</w:t>
      </w:r>
      <w:r>
        <w:rPr>
          <w:spacing w:val="-5"/>
        </w:rPr>
        <w:t> </w:t>
      </w:r>
      <w:r>
        <w:rPr/>
        <w:t>3)</w:t>
      </w:r>
      <w:r>
        <w:rPr>
          <w:spacing w:val="-11"/>
        </w:rPr>
        <w:t> </w:t>
      </w:r>
      <w:r>
        <w:rPr/>
        <w:t>Tipo</w:t>
      </w:r>
      <w:r>
        <w:rPr>
          <w:spacing w:val="-11"/>
        </w:rPr>
        <w:t> </w:t>
      </w:r>
      <w:r>
        <w:rPr/>
        <w:t>de</w:t>
      </w:r>
      <w:r>
        <w:rPr>
          <w:spacing w:val="-9"/>
        </w:rPr>
        <w:t> </w:t>
      </w:r>
      <w:r>
        <w:rPr/>
        <w:t>exudado,</w:t>
      </w:r>
      <w:r>
        <w:rPr>
          <w:spacing w:val="-7"/>
        </w:rPr>
        <w:t> </w:t>
      </w:r>
      <w:r>
        <w:rPr/>
        <w:t>4)</w:t>
      </w:r>
      <w:r>
        <w:rPr>
          <w:spacing w:val="-10"/>
        </w:rPr>
        <w:t> </w:t>
      </w:r>
      <w:r>
        <w:rPr/>
        <w:t>Cantidad</w:t>
      </w:r>
      <w:r>
        <w:rPr>
          <w:spacing w:val="-7"/>
        </w:rPr>
        <w:t> </w:t>
      </w:r>
      <w:r>
        <w:rPr/>
        <w:t>de</w:t>
      </w:r>
      <w:r>
        <w:rPr>
          <w:spacing w:val="-11"/>
        </w:rPr>
        <w:t> </w:t>
      </w:r>
      <w:r>
        <w:rPr>
          <w:spacing w:val="-2"/>
        </w:rPr>
        <w:t>exudado,</w:t>
      </w:r>
    </w:p>
    <w:p>
      <w:pPr>
        <w:pStyle w:val="BodyText"/>
        <w:spacing w:line="360" w:lineRule="auto" w:before="137"/>
        <w:ind w:right="551"/>
      </w:pPr>
      <w:r>
        <w:rPr/>
        <w:t>5)</w:t>
      </w:r>
      <w:r>
        <w:rPr>
          <w:spacing w:val="-4"/>
        </w:rPr>
        <w:t> </w:t>
      </w:r>
      <w:r>
        <w:rPr/>
        <w:t>Color</w:t>
      </w:r>
      <w:r>
        <w:rPr>
          <w:spacing w:val="-3"/>
        </w:rPr>
        <w:t> </w:t>
      </w:r>
      <w:r>
        <w:rPr/>
        <w:t>de</w:t>
      </w:r>
      <w:r>
        <w:rPr>
          <w:spacing w:val="-4"/>
        </w:rPr>
        <w:t> </w:t>
      </w:r>
      <w:r>
        <w:rPr/>
        <w:t>la</w:t>
      </w:r>
      <w:r>
        <w:rPr>
          <w:spacing w:val="-4"/>
        </w:rPr>
        <w:t> </w:t>
      </w:r>
      <w:r>
        <w:rPr/>
        <w:t>piel</w:t>
      </w:r>
      <w:r>
        <w:rPr>
          <w:spacing w:val="-1"/>
        </w:rPr>
        <w:t> </w:t>
      </w:r>
      <w:r>
        <w:rPr/>
        <w:t>que</w:t>
      </w:r>
      <w:r>
        <w:rPr>
          <w:spacing w:val="-2"/>
        </w:rPr>
        <w:t> </w:t>
      </w:r>
      <w:r>
        <w:rPr/>
        <w:t>rodea</w:t>
      </w:r>
      <w:r>
        <w:rPr>
          <w:spacing w:val="-4"/>
        </w:rPr>
        <w:t> </w:t>
      </w:r>
      <w:r>
        <w:rPr/>
        <w:t>la</w:t>
      </w:r>
      <w:r>
        <w:rPr>
          <w:spacing w:val="-2"/>
        </w:rPr>
        <w:t> </w:t>
      </w:r>
      <w:r>
        <w:rPr/>
        <w:t>herida,</w:t>
      </w:r>
      <w:r>
        <w:rPr>
          <w:spacing w:val="-1"/>
        </w:rPr>
        <w:t> </w:t>
      </w:r>
      <w:r>
        <w:rPr/>
        <w:t>6)</w:t>
      </w:r>
      <w:r>
        <w:rPr>
          <w:spacing w:val="-4"/>
        </w:rPr>
        <w:t> </w:t>
      </w:r>
      <w:r>
        <w:rPr/>
        <w:t>Tejido</w:t>
      </w:r>
      <w:r>
        <w:rPr>
          <w:spacing w:val="-1"/>
        </w:rPr>
        <w:t> </w:t>
      </w:r>
      <w:r>
        <w:rPr/>
        <w:t>de</w:t>
      </w:r>
      <w:r>
        <w:rPr>
          <w:spacing w:val="-2"/>
        </w:rPr>
        <w:t> </w:t>
      </w:r>
      <w:r>
        <w:rPr/>
        <w:t>granulación. Su</w:t>
      </w:r>
      <w:r>
        <w:rPr>
          <w:spacing w:val="-1"/>
        </w:rPr>
        <w:t> </w:t>
      </w:r>
      <w:r>
        <w:rPr/>
        <w:t>valoración fue con puntuaciones del 1 al 5 en cada dominio como se establece en la escala.</w:t>
      </w:r>
    </w:p>
    <w:p>
      <w:pPr>
        <w:pStyle w:val="BodyText"/>
        <w:spacing w:line="360" w:lineRule="auto" w:before="240"/>
        <w:ind w:right="845"/>
        <w:jc w:val="both"/>
      </w:pPr>
      <w:r>
        <w:rPr>
          <w:b/>
        </w:rPr>
        <w:t>Variables conductuales</w:t>
      </w:r>
      <w:r>
        <w:rPr/>
        <w:t>: Variable cuantificada a través de la escala de dolor mediante</w:t>
      </w:r>
      <w:r>
        <w:rPr>
          <w:spacing w:val="-9"/>
        </w:rPr>
        <w:t> </w:t>
      </w:r>
      <w:r>
        <w:rPr/>
        <w:t>la</w:t>
      </w:r>
      <w:r>
        <w:rPr>
          <w:spacing w:val="-7"/>
        </w:rPr>
        <w:t> </w:t>
      </w:r>
      <w:r>
        <w:rPr/>
        <w:t>observación de</w:t>
      </w:r>
      <w:r>
        <w:rPr>
          <w:spacing w:val="-9"/>
        </w:rPr>
        <w:t> </w:t>
      </w:r>
      <w:r>
        <w:rPr/>
        <w:t>los</w:t>
      </w:r>
      <w:r>
        <w:rPr>
          <w:spacing w:val="-5"/>
        </w:rPr>
        <w:t> </w:t>
      </w:r>
      <w:r>
        <w:rPr/>
        <w:t>terneros</w:t>
      </w:r>
      <w:r>
        <w:rPr>
          <w:spacing w:val="-6"/>
        </w:rPr>
        <w:t> </w:t>
      </w:r>
      <w:r>
        <w:rPr/>
        <w:t>en</w:t>
      </w:r>
      <w:r>
        <w:rPr>
          <w:spacing w:val="-6"/>
        </w:rPr>
        <w:t> </w:t>
      </w:r>
      <w:r>
        <w:rPr/>
        <w:t>cada</w:t>
      </w:r>
      <w:r>
        <w:rPr>
          <w:spacing w:val="-7"/>
        </w:rPr>
        <w:t> </w:t>
      </w:r>
      <w:r>
        <w:rPr/>
        <w:t>uno</w:t>
      </w:r>
      <w:r>
        <w:rPr>
          <w:spacing w:val="-8"/>
        </w:rPr>
        <w:t> </w:t>
      </w:r>
      <w:r>
        <w:rPr/>
        <w:t>de</w:t>
      </w:r>
      <w:r>
        <w:rPr>
          <w:spacing w:val="-9"/>
        </w:rPr>
        <w:t> </w:t>
      </w:r>
      <w:r>
        <w:rPr/>
        <w:t>los</w:t>
      </w:r>
      <w:r>
        <w:rPr>
          <w:spacing w:val="-5"/>
        </w:rPr>
        <w:t> </w:t>
      </w:r>
      <w:r>
        <w:rPr/>
        <w:t>tratamientos,</w:t>
      </w:r>
      <w:r>
        <w:rPr>
          <w:spacing w:val="-2"/>
        </w:rPr>
        <w:t> </w:t>
      </w:r>
      <w:r>
        <w:rPr/>
        <w:t>la</w:t>
      </w:r>
      <w:r>
        <w:rPr>
          <w:spacing w:val="-9"/>
        </w:rPr>
        <w:t> </w:t>
      </w:r>
      <w:r>
        <w:rPr/>
        <w:t>escala</w:t>
      </w:r>
      <w:r>
        <w:rPr>
          <w:spacing w:val="-6"/>
        </w:rPr>
        <w:t> </w:t>
      </w:r>
      <w:r>
        <w:rPr/>
        <w:t>a utilizarse</w:t>
      </w:r>
      <w:r>
        <w:rPr>
          <w:spacing w:val="-11"/>
        </w:rPr>
        <w:t> </w:t>
      </w:r>
      <w:r>
        <w:rPr/>
        <w:t>fue</w:t>
      </w:r>
      <w:r>
        <w:rPr>
          <w:spacing w:val="-12"/>
        </w:rPr>
        <w:t> </w:t>
      </w:r>
      <w:r>
        <w:rPr/>
        <w:t>la</w:t>
      </w:r>
      <w:r>
        <w:rPr>
          <w:spacing w:val="-11"/>
        </w:rPr>
        <w:t> </w:t>
      </w:r>
      <w:r>
        <w:rPr/>
        <w:t>modificada</w:t>
      </w:r>
      <w:r>
        <w:rPr>
          <w:spacing w:val="-12"/>
        </w:rPr>
        <w:t> </w:t>
      </w:r>
      <w:r>
        <w:rPr/>
        <w:t>del</w:t>
      </w:r>
      <w:r>
        <w:rPr>
          <w:spacing w:val="-10"/>
        </w:rPr>
        <w:t> </w:t>
      </w:r>
      <w:r>
        <w:rPr/>
        <w:t>dolor</w:t>
      </w:r>
      <w:r>
        <w:rPr>
          <w:spacing w:val="-11"/>
        </w:rPr>
        <w:t> </w:t>
      </w:r>
      <w:r>
        <w:rPr/>
        <w:t>de</w:t>
      </w:r>
      <w:r>
        <w:rPr>
          <w:spacing w:val="-12"/>
        </w:rPr>
        <w:t> </w:t>
      </w:r>
      <w:r>
        <w:rPr/>
        <w:t>Unesp-Botucatu</w:t>
      </w:r>
      <w:r>
        <w:rPr>
          <w:spacing w:val="-10"/>
        </w:rPr>
        <w:t> </w:t>
      </w:r>
      <w:r>
        <w:rPr/>
        <w:t>descrita</w:t>
      </w:r>
      <w:r>
        <w:rPr>
          <w:spacing w:val="-11"/>
        </w:rPr>
        <w:t> </w:t>
      </w:r>
      <w:r>
        <w:rPr/>
        <w:t>por</w:t>
      </w:r>
      <w:r>
        <w:rPr>
          <w:spacing w:val="-11"/>
        </w:rPr>
        <w:t> </w:t>
      </w:r>
      <w:r>
        <w:rPr/>
        <w:t>Oliveira,</w:t>
      </w:r>
      <w:r>
        <w:rPr>
          <w:spacing w:val="-9"/>
        </w:rPr>
        <w:t> </w:t>
      </w:r>
      <w:r>
        <w:rPr>
          <w:i/>
        </w:rPr>
        <w:t>et</w:t>
      </w:r>
      <w:r>
        <w:rPr>
          <w:i/>
          <w:spacing w:val="-10"/>
        </w:rPr>
        <w:t> </w:t>
      </w:r>
      <w:r>
        <w:rPr>
          <w:i/>
        </w:rPr>
        <w:t>al </w:t>
      </w:r>
      <w:r>
        <w:rPr/>
        <w:t>(2014), la misma que permite la categorización de un valor de 1 cuando hay ausencia de dolor y 15 el peor dolor posible, con repercusiones orgánicas y conductuales,</w:t>
      </w:r>
      <w:r>
        <w:rPr>
          <w:spacing w:val="-15"/>
        </w:rPr>
        <w:t> </w:t>
      </w:r>
      <w:r>
        <w:rPr/>
        <w:t>esta</w:t>
      </w:r>
      <w:r>
        <w:rPr>
          <w:spacing w:val="-15"/>
        </w:rPr>
        <w:t> </w:t>
      </w:r>
      <w:r>
        <w:rPr/>
        <w:t>variable</w:t>
      </w:r>
      <w:r>
        <w:rPr>
          <w:spacing w:val="-15"/>
        </w:rPr>
        <w:t> </w:t>
      </w:r>
      <w:r>
        <w:rPr/>
        <w:t>se</w:t>
      </w:r>
      <w:r>
        <w:rPr>
          <w:spacing w:val="-15"/>
        </w:rPr>
        <w:t> </w:t>
      </w:r>
      <w:r>
        <w:rPr/>
        <w:t>evaluó</w:t>
      </w:r>
      <w:r>
        <w:rPr>
          <w:spacing w:val="-15"/>
        </w:rPr>
        <w:t> </w:t>
      </w:r>
      <w:r>
        <w:rPr/>
        <w:t>cada</w:t>
      </w:r>
      <w:r>
        <w:rPr>
          <w:spacing w:val="-15"/>
        </w:rPr>
        <w:t> </w:t>
      </w:r>
      <w:r>
        <w:rPr/>
        <w:t>60</w:t>
      </w:r>
      <w:r>
        <w:rPr>
          <w:spacing w:val="-15"/>
        </w:rPr>
        <w:t> </w:t>
      </w:r>
      <w:r>
        <w:rPr/>
        <w:t>minutos</w:t>
      </w:r>
      <w:r>
        <w:rPr>
          <w:spacing w:val="-15"/>
        </w:rPr>
        <w:t> </w:t>
      </w:r>
      <w:r>
        <w:rPr/>
        <w:t>después</w:t>
      </w:r>
      <w:r>
        <w:rPr>
          <w:spacing w:val="-15"/>
        </w:rPr>
        <w:t> </w:t>
      </w:r>
      <w:r>
        <w:rPr/>
        <w:t>del</w:t>
      </w:r>
      <w:r>
        <w:rPr>
          <w:spacing w:val="-15"/>
        </w:rPr>
        <w:t> </w:t>
      </w:r>
      <w:r>
        <w:rPr/>
        <w:t>procedimiento</w:t>
      </w:r>
      <w:r>
        <w:rPr>
          <w:spacing w:val="-15"/>
        </w:rPr>
        <w:t> </w:t>
      </w:r>
      <w:r>
        <w:rPr/>
        <w:t>de descorne hasta las 24 horas del procedimiento realizado.</w:t>
      </w:r>
    </w:p>
    <w:p>
      <w:pPr>
        <w:pStyle w:val="BodyText"/>
        <w:spacing w:line="360" w:lineRule="auto" w:before="242"/>
        <w:ind w:right="847"/>
        <w:jc w:val="both"/>
      </w:pPr>
      <w:r>
        <w:rPr>
          <w:b/>
        </w:rPr>
        <w:t>Consumo alimenticio</w:t>
      </w:r>
      <w:r>
        <w:rPr/>
        <w:t>: La variable en cuestión se refiere a la estimación del consumo de alimento de un animal, calculada restando el peso del alimento suministrado</w:t>
      </w:r>
      <w:r>
        <w:rPr>
          <w:spacing w:val="-10"/>
        </w:rPr>
        <w:t> </w:t>
      </w:r>
      <w:r>
        <w:rPr/>
        <w:t>por</w:t>
      </w:r>
      <w:r>
        <w:rPr>
          <w:spacing w:val="-12"/>
        </w:rPr>
        <w:t> </w:t>
      </w:r>
      <w:r>
        <w:rPr/>
        <w:t>la</w:t>
      </w:r>
      <w:r>
        <w:rPr>
          <w:spacing w:val="-10"/>
        </w:rPr>
        <w:t> </w:t>
      </w:r>
      <w:r>
        <w:rPr/>
        <w:t>mañana</w:t>
      </w:r>
      <w:r>
        <w:rPr>
          <w:spacing w:val="-12"/>
        </w:rPr>
        <w:t> </w:t>
      </w:r>
      <w:r>
        <w:rPr/>
        <w:t>del</w:t>
      </w:r>
      <w:r>
        <w:rPr>
          <w:spacing w:val="-9"/>
        </w:rPr>
        <w:t> </w:t>
      </w:r>
      <w:r>
        <w:rPr/>
        <w:t>peso</w:t>
      </w:r>
      <w:r>
        <w:rPr>
          <w:spacing w:val="-9"/>
        </w:rPr>
        <w:t> </w:t>
      </w:r>
      <w:r>
        <w:rPr/>
        <w:t>del</w:t>
      </w:r>
      <w:r>
        <w:rPr>
          <w:spacing w:val="-6"/>
        </w:rPr>
        <w:t> </w:t>
      </w:r>
      <w:r>
        <w:rPr/>
        <w:t>desperdicio.</w:t>
      </w:r>
      <w:r>
        <w:rPr>
          <w:spacing w:val="-11"/>
        </w:rPr>
        <w:t> </w:t>
      </w:r>
      <w:r>
        <w:rPr/>
        <w:t>Esta</w:t>
      </w:r>
      <w:r>
        <w:rPr>
          <w:spacing w:val="-12"/>
        </w:rPr>
        <w:t> </w:t>
      </w:r>
      <w:r>
        <w:rPr/>
        <w:t>estimación</w:t>
      </w:r>
      <w:r>
        <w:rPr>
          <w:spacing w:val="-8"/>
        </w:rPr>
        <w:t> </w:t>
      </w:r>
      <w:r>
        <w:rPr/>
        <w:t>se</w:t>
      </w:r>
      <w:r>
        <w:rPr>
          <w:spacing w:val="-10"/>
        </w:rPr>
        <w:t> </w:t>
      </w:r>
      <w:r>
        <w:rPr/>
        <w:t>expresa</w:t>
      </w:r>
      <w:r>
        <w:rPr>
          <w:spacing w:val="-10"/>
        </w:rPr>
        <w:t> </w:t>
      </w:r>
      <w:r>
        <w:rPr/>
        <w:t>en kilogramos y se realiza durante un período de 8 días antes y 8 días después del procedimiento de descorne.</w:t>
      </w:r>
    </w:p>
    <w:p>
      <w:pPr>
        <w:pStyle w:val="BodyText"/>
        <w:spacing w:line="360" w:lineRule="auto" w:before="240"/>
        <w:ind w:right="845"/>
        <w:jc w:val="both"/>
      </w:pPr>
      <w:r>
        <w:rPr>
          <w:b/>
        </w:rPr>
        <w:t>Ganancia de peso</w:t>
      </w:r>
      <w:r>
        <w:rPr/>
        <w:t>: Variable calculada mediante las diferencias del peso final menos el peso inicial de los terneros sometidos a la investigación, este valor fue expresado en gramos, y su registro se efectuó con una cinta bovinométrica.</w:t>
      </w:r>
    </w:p>
    <w:p>
      <w:pPr>
        <w:pStyle w:val="BodyText"/>
        <w:spacing w:line="360" w:lineRule="auto" w:before="239"/>
        <w:ind w:right="846"/>
        <w:jc w:val="both"/>
      </w:pPr>
      <w:r>
        <w:rPr>
          <w:b/>
        </w:rPr>
        <w:t>Frecuencia cardiaca</w:t>
      </w:r>
      <w:r>
        <w:rPr/>
        <w:t>: Variable monitoreada mediante la estimación de la frecuencia cardiaca en un minuto de tiempo en los terneros en cada uno de los tratamientos</w:t>
      </w:r>
      <w:r>
        <w:rPr>
          <w:spacing w:val="-15"/>
        </w:rPr>
        <w:t> </w:t>
      </w:r>
      <w:r>
        <w:rPr/>
        <w:t>en</w:t>
      </w:r>
      <w:r>
        <w:rPr>
          <w:spacing w:val="-15"/>
        </w:rPr>
        <w:t> </w:t>
      </w:r>
      <w:r>
        <w:rPr/>
        <w:t>estudio,</w:t>
      </w:r>
      <w:r>
        <w:rPr>
          <w:spacing w:val="-15"/>
        </w:rPr>
        <w:t> </w:t>
      </w:r>
      <w:r>
        <w:rPr/>
        <w:t>con</w:t>
      </w:r>
      <w:r>
        <w:rPr>
          <w:spacing w:val="-15"/>
        </w:rPr>
        <w:t> </w:t>
      </w:r>
      <w:r>
        <w:rPr/>
        <w:t>la</w:t>
      </w:r>
      <w:r>
        <w:rPr>
          <w:spacing w:val="-15"/>
        </w:rPr>
        <w:t> </w:t>
      </w:r>
      <w:r>
        <w:rPr/>
        <w:t>ayuda</w:t>
      </w:r>
      <w:r>
        <w:rPr>
          <w:spacing w:val="-15"/>
        </w:rPr>
        <w:t> </w:t>
      </w:r>
      <w:r>
        <w:rPr/>
        <w:t>de</w:t>
      </w:r>
      <w:r>
        <w:rPr>
          <w:spacing w:val="-15"/>
        </w:rPr>
        <w:t> </w:t>
      </w:r>
      <w:r>
        <w:rPr/>
        <w:t>un</w:t>
      </w:r>
      <w:r>
        <w:rPr>
          <w:spacing w:val="-15"/>
        </w:rPr>
        <w:t> </w:t>
      </w:r>
      <w:r>
        <w:rPr/>
        <w:t>fonendoscopio</w:t>
      </w:r>
      <w:r>
        <w:rPr>
          <w:spacing w:val="-15"/>
        </w:rPr>
        <w:t> </w:t>
      </w:r>
      <w:r>
        <w:rPr/>
        <w:t>y</w:t>
      </w:r>
      <w:r>
        <w:rPr>
          <w:spacing w:val="-15"/>
        </w:rPr>
        <w:t> </w:t>
      </w:r>
      <w:r>
        <w:rPr/>
        <w:t>un</w:t>
      </w:r>
      <w:r>
        <w:rPr>
          <w:spacing w:val="-15"/>
        </w:rPr>
        <w:t> </w:t>
      </w:r>
      <w:r>
        <w:rPr/>
        <w:t>cronometro,</w:t>
      </w:r>
      <w:r>
        <w:rPr>
          <w:spacing w:val="-15"/>
        </w:rPr>
        <w:t> </w:t>
      </w:r>
      <w:r>
        <w:rPr/>
        <w:t>el</w:t>
      </w:r>
      <w:r>
        <w:rPr>
          <w:spacing w:val="-15"/>
        </w:rPr>
        <w:t> </w:t>
      </w:r>
      <w:r>
        <w:rPr/>
        <w:t>lugar de auscultación en el tercer espacio intercostal valores que fueron expresados en latidos cardiacos por minuto (FC).</w:t>
      </w:r>
    </w:p>
    <w:p>
      <w:pPr>
        <w:pStyle w:val="BodyText"/>
        <w:spacing w:line="360" w:lineRule="auto" w:before="242"/>
        <w:ind w:right="847"/>
        <w:jc w:val="both"/>
      </w:pPr>
      <w:r>
        <w:rPr>
          <w:b/>
          <w:spacing w:val="-2"/>
        </w:rPr>
        <w:t>Frecuencia</w:t>
      </w:r>
      <w:r>
        <w:rPr>
          <w:b/>
          <w:spacing w:val="-6"/>
        </w:rPr>
        <w:t> </w:t>
      </w:r>
      <w:r>
        <w:rPr>
          <w:b/>
          <w:spacing w:val="-2"/>
        </w:rPr>
        <w:t>respiratoria</w:t>
      </w:r>
      <w:r>
        <w:rPr>
          <w:spacing w:val="-2"/>
        </w:rPr>
        <w:t>:</w:t>
      </w:r>
      <w:r>
        <w:rPr>
          <w:spacing w:val="-8"/>
        </w:rPr>
        <w:t> </w:t>
      </w:r>
      <w:r>
        <w:rPr>
          <w:spacing w:val="-2"/>
        </w:rPr>
        <w:t>Variable</w:t>
      </w:r>
      <w:r>
        <w:rPr>
          <w:spacing w:val="-9"/>
        </w:rPr>
        <w:t> </w:t>
      </w:r>
      <w:r>
        <w:rPr>
          <w:spacing w:val="-2"/>
        </w:rPr>
        <w:t>evaluada mediante</w:t>
      </w:r>
      <w:r>
        <w:rPr>
          <w:spacing w:val="-5"/>
        </w:rPr>
        <w:t> </w:t>
      </w:r>
      <w:r>
        <w:rPr>
          <w:spacing w:val="-2"/>
        </w:rPr>
        <w:t>la</w:t>
      </w:r>
      <w:r>
        <w:rPr>
          <w:spacing w:val="-9"/>
        </w:rPr>
        <w:t> </w:t>
      </w:r>
      <w:r>
        <w:rPr>
          <w:spacing w:val="-2"/>
        </w:rPr>
        <w:t>observación y</w:t>
      </w:r>
      <w:r>
        <w:rPr>
          <w:spacing w:val="-13"/>
        </w:rPr>
        <w:t> </w:t>
      </w:r>
      <w:r>
        <w:rPr>
          <w:spacing w:val="-2"/>
        </w:rPr>
        <w:t>el conteo de </w:t>
      </w:r>
      <w:r>
        <w:rPr/>
        <w:t>respiraciones abdominales por un minuto de tiempo (FR).</w:t>
      </w:r>
    </w:p>
    <w:p>
      <w:pPr>
        <w:pStyle w:val="BodyText"/>
        <w:spacing w:after="0" w:line="360" w:lineRule="auto"/>
        <w:jc w:val="both"/>
        <w:sectPr>
          <w:pgSz w:w="11900" w:h="16860"/>
          <w:pgMar w:header="0" w:footer="1084" w:top="1620" w:bottom="1280" w:left="1133" w:right="850"/>
        </w:sectPr>
      </w:pPr>
    </w:p>
    <w:p>
      <w:pPr>
        <w:pStyle w:val="ListParagraph"/>
        <w:numPr>
          <w:ilvl w:val="2"/>
          <w:numId w:val="13"/>
        </w:numPr>
        <w:tabs>
          <w:tab w:pos="1843" w:val="left" w:leader="none"/>
        </w:tabs>
        <w:spacing w:line="568" w:lineRule="auto" w:before="70" w:after="0"/>
        <w:ind w:left="1135" w:right="5580" w:firstLine="0"/>
        <w:jc w:val="both"/>
        <w:rPr>
          <w:sz w:val="24"/>
        </w:rPr>
      </w:pPr>
      <w:bookmarkStart w:name="_bookmark49" w:id="50"/>
      <w:bookmarkEnd w:id="50"/>
      <w:r>
        <w:rPr/>
      </w:r>
      <w:r>
        <w:rPr>
          <w:b/>
          <w:sz w:val="24"/>
        </w:rPr>
        <w:t>Manejo</w:t>
      </w:r>
      <w:r>
        <w:rPr>
          <w:b/>
          <w:spacing w:val="-15"/>
          <w:sz w:val="24"/>
        </w:rPr>
        <w:t> </w:t>
      </w:r>
      <w:r>
        <w:rPr>
          <w:b/>
          <w:sz w:val="24"/>
        </w:rPr>
        <w:t>del</w:t>
      </w:r>
      <w:r>
        <w:rPr>
          <w:b/>
          <w:spacing w:val="-15"/>
          <w:sz w:val="24"/>
        </w:rPr>
        <w:t> </w:t>
      </w:r>
      <w:r>
        <w:rPr>
          <w:b/>
          <w:sz w:val="24"/>
        </w:rPr>
        <w:t>experimento Elaboración de cubículos</w:t>
      </w:r>
      <w:r>
        <w:rPr>
          <w:sz w:val="24"/>
        </w:rPr>
        <w:t>;</w:t>
      </w:r>
    </w:p>
    <w:p>
      <w:pPr>
        <w:pStyle w:val="BodyText"/>
        <w:spacing w:line="360" w:lineRule="auto"/>
        <w:ind w:right="847"/>
        <w:jc w:val="both"/>
      </w:pPr>
      <w:r>
        <w:rPr/>
        <w:t>Los teneros fueron alojados en cubículos individuales, donde el espacio requerido fue</w:t>
      </w:r>
      <w:r>
        <w:rPr>
          <w:spacing w:val="-15"/>
        </w:rPr>
        <w:t> </w:t>
      </w:r>
      <w:r>
        <w:rPr/>
        <w:t>1.5</w:t>
      </w:r>
      <w:r>
        <w:rPr>
          <w:spacing w:val="-15"/>
        </w:rPr>
        <w:t> </w:t>
      </w:r>
      <w:r>
        <w:rPr/>
        <w:t>m</w:t>
      </w:r>
      <w:r>
        <w:rPr>
          <w:vertAlign w:val="superscript"/>
        </w:rPr>
        <w:t>2</w:t>
      </w:r>
      <w:r>
        <w:rPr>
          <w:spacing w:val="-11"/>
          <w:vertAlign w:val="baseline"/>
        </w:rPr>
        <w:t> </w:t>
      </w:r>
      <w:r>
        <w:rPr>
          <w:vertAlign w:val="baseline"/>
        </w:rPr>
        <w:t>por</w:t>
      </w:r>
      <w:r>
        <w:rPr>
          <w:spacing w:val="-13"/>
          <w:vertAlign w:val="baseline"/>
        </w:rPr>
        <w:t> </w:t>
      </w:r>
      <w:r>
        <w:rPr>
          <w:vertAlign w:val="baseline"/>
        </w:rPr>
        <w:t>ternero,</w:t>
      </w:r>
      <w:r>
        <w:rPr>
          <w:spacing w:val="-13"/>
          <w:vertAlign w:val="baseline"/>
        </w:rPr>
        <w:t> </w:t>
      </w:r>
      <w:r>
        <w:rPr>
          <w:vertAlign w:val="baseline"/>
        </w:rPr>
        <w:t>los</w:t>
      </w:r>
      <w:r>
        <w:rPr>
          <w:spacing w:val="-12"/>
          <w:vertAlign w:val="baseline"/>
        </w:rPr>
        <w:t> </w:t>
      </w:r>
      <w:r>
        <w:rPr>
          <w:vertAlign w:val="baseline"/>
        </w:rPr>
        <w:t>mismos</w:t>
      </w:r>
      <w:r>
        <w:rPr>
          <w:spacing w:val="-12"/>
          <w:vertAlign w:val="baseline"/>
        </w:rPr>
        <w:t> </w:t>
      </w:r>
      <w:r>
        <w:rPr>
          <w:vertAlign w:val="baseline"/>
        </w:rPr>
        <w:t>que</w:t>
      </w:r>
      <w:r>
        <w:rPr>
          <w:spacing w:val="-13"/>
          <w:vertAlign w:val="baseline"/>
        </w:rPr>
        <w:t> </w:t>
      </w:r>
      <w:r>
        <w:rPr>
          <w:vertAlign w:val="baseline"/>
        </w:rPr>
        <w:t>tuvieron</w:t>
      </w:r>
      <w:r>
        <w:rPr>
          <w:spacing w:val="-1"/>
          <w:vertAlign w:val="baseline"/>
        </w:rPr>
        <w:t> </w:t>
      </w:r>
      <w:r>
        <w:rPr>
          <w:vertAlign w:val="baseline"/>
        </w:rPr>
        <w:t>1</w:t>
      </w:r>
      <w:r>
        <w:rPr>
          <w:spacing w:val="-15"/>
          <w:vertAlign w:val="baseline"/>
        </w:rPr>
        <w:t> </w:t>
      </w:r>
      <w:r>
        <w:rPr>
          <w:vertAlign w:val="baseline"/>
        </w:rPr>
        <w:t>metro</w:t>
      </w:r>
      <w:r>
        <w:rPr>
          <w:spacing w:val="-13"/>
          <w:vertAlign w:val="baseline"/>
        </w:rPr>
        <w:t> </w:t>
      </w:r>
      <w:r>
        <w:rPr>
          <w:vertAlign w:val="baseline"/>
        </w:rPr>
        <w:t>de</w:t>
      </w:r>
      <w:r>
        <w:rPr>
          <w:spacing w:val="-12"/>
          <w:vertAlign w:val="baseline"/>
        </w:rPr>
        <w:t> </w:t>
      </w:r>
      <w:r>
        <w:rPr>
          <w:vertAlign w:val="baseline"/>
        </w:rPr>
        <w:t>altura,</w:t>
      </w:r>
      <w:r>
        <w:rPr>
          <w:spacing w:val="-10"/>
          <w:vertAlign w:val="baseline"/>
        </w:rPr>
        <w:t> </w:t>
      </w:r>
      <w:r>
        <w:rPr>
          <w:vertAlign w:val="baseline"/>
        </w:rPr>
        <w:t>con</w:t>
      </w:r>
      <w:r>
        <w:rPr>
          <w:spacing w:val="-13"/>
          <w:vertAlign w:val="baseline"/>
        </w:rPr>
        <w:t> </w:t>
      </w:r>
      <w:r>
        <w:rPr>
          <w:vertAlign w:val="baseline"/>
        </w:rPr>
        <w:t>su</w:t>
      </w:r>
      <w:r>
        <w:rPr>
          <w:spacing w:val="-11"/>
          <w:vertAlign w:val="baseline"/>
        </w:rPr>
        <w:t> </w:t>
      </w:r>
      <w:r>
        <w:rPr>
          <w:vertAlign w:val="baseline"/>
        </w:rPr>
        <w:t>respectivo comedero y bebedero, los cuales albergaron a los animales repartidos de manera </w:t>
      </w:r>
      <w:r>
        <w:rPr>
          <w:spacing w:val="-2"/>
          <w:vertAlign w:val="baseline"/>
        </w:rPr>
        <w:t>aleatoria.</w:t>
      </w:r>
    </w:p>
    <w:p>
      <w:pPr>
        <w:spacing w:before="241"/>
        <w:ind w:left="1135" w:right="0" w:firstLine="0"/>
        <w:jc w:val="left"/>
        <w:rPr>
          <w:b/>
          <w:sz w:val="24"/>
        </w:rPr>
      </w:pPr>
      <w:r>
        <w:rPr>
          <w:b/>
          <w:sz w:val="24"/>
        </w:rPr>
        <w:t>Unidades</w:t>
      </w:r>
      <w:r>
        <w:rPr>
          <w:b/>
          <w:spacing w:val="-1"/>
          <w:sz w:val="24"/>
        </w:rPr>
        <w:t> </w:t>
      </w:r>
      <w:r>
        <w:rPr>
          <w:b/>
          <w:spacing w:val="-2"/>
          <w:sz w:val="24"/>
        </w:rPr>
        <w:t>experimentales;</w:t>
      </w:r>
    </w:p>
    <w:p>
      <w:pPr>
        <w:pStyle w:val="BodyText"/>
        <w:spacing w:before="101"/>
        <w:ind w:left="0"/>
        <w:rPr>
          <w:b/>
        </w:rPr>
      </w:pPr>
    </w:p>
    <w:p>
      <w:pPr>
        <w:pStyle w:val="BodyText"/>
        <w:spacing w:line="360" w:lineRule="auto"/>
        <w:ind w:right="846"/>
        <w:jc w:val="both"/>
      </w:pPr>
      <w:r>
        <w:rPr/>
        <w:t>Los terneros fueron adquiridos de productores aledaños donde tuvieron una edad promedio</w:t>
      </w:r>
      <w:r>
        <w:rPr>
          <w:spacing w:val="-12"/>
        </w:rPr>
        <w:t> </w:t>
      </w:r>
      <w:r>
        <w:rPr/>
        <w:t>8</w:t>
      </w:r>
      <w:r>
        <w:rPr>
          <w:spacing w:val="-13"/>
        </w:rPr>
        <w:t> </w:t>
      </w:r>
      <w:r>
        <w:rPr/>
        <w:t>días</w:t>
      </w:r>
      <w:r>
        <w:rPr>
          <w:spacing w:val="-13"/>
        </w:rPr>
        <w:t> </w:t>
      </w:r>
      <w:r>
        <w:rPr/>
        <w:t>a</w:t>
      </w:r>
      <w:r>
        <w:rPr>
          <w:spacing w:val="-15"/>
        </w:rPr>
        <w:t> </w:t>
      </w:r>
      <w:r>
        <w:rPr/>
        <w:t>35</w:t>
      </w:r>
      <w:r>
        <w:rPr>
          <w:spacing w:val="-13"/>
        </w:rPr>
        <w:t> </w:t>
      </w:r>
      <w:r>
        <w:rPr/>
        <w:t>días,</w:t>
      </w:r>
      <w:r>
        <w:rPr>
          <w:spacing w:val="-13"/>
        </w:rPr>
        <w:t> </w:t>
      </w:r>
      <w:r>
        <w:rPr/>
        <w:t>a</w:t>
      </w:r>
      <w:r>
        <w:rPr>
          <w:spacing w:val="-15"/>
        </w:rPr>
        <w:t> </w:t>
      </w:r>
      <w:r>
        <w:rPr/>
        <w:t>los</w:t>
      </w:r>
      <w:r>
        <w:rPr>
          <w:spacing w:val="-12"/>
        </w:rPr>
        <w:t> </w:t>
      </w:r>
      <w:r>
        <w:rPr/>
        <w:t>cuales</w:t>
      </w:r>
      <w:r>
        <w:rPr>
          <w:spacing w:val="-13"/>
        </w:rPr>
        <w:t> </w:t>
      </w:r>
      <w:r>
        <w:rPr/>
        <w:t>que</w:t>
      </w:r>
      <w:r>
        <w:rPr>
          <w:spacing w:val="-14"/>
        </w:rPr>
        <w:t> </w:t>
      </w:r>
      <w:r>
        <w:rPr/>
        <w:t>se</w:t>
      </w:r>
      <w:r>
        <w:rPr>
          <w:spacing w:val="-15"/>
        </w:rPr>
        <w:t> </w:t>
      </w:r>
      <w:r>
        <w:rPr/>
        <w:t>observaron</w:t>
      </w:r>
      <w:r>
        <w:rPr>
          <w:spacing w:val="-13"/>
        </w:rPr>
        <w:t> </w:t>
      </w:r>
      <w:r>
        <w:rPr/>
        <w:t>los</w:t>
      </w:r>
      <w:r>
        <w:rPr>
          <w:spacing w:val="-13"/>
        </w:rPr>
        <w:t> </w:t>
      </w:r>
      <w:r>
        <w:rPr/>
        <w:t>botones</w:t>
      </w:r>
      <w:r>
        <w:rPr>
          <w:spacing w:val="-13"/>
        </w:rPr>
        <w:t> </w:t>
      </w:r>
      <w:r>
        <w:rPr/>
        <w:t>iniciales</w:t>
      </w:r>
      <w:r>
        <w:rPr>
          <w:spacing w:val="-10"/>
        </w:rPr>
        <w:t> </w:t>
      </w:r>
      <w:r>
        <w:rPr/>
        <w:t>de</w:t>
      </w:r>
      <w:r>
        <w:rPr>
          <w:spacing w:val="-15"/>
        </w:rPr>
        <w:t> </w:t>
      </w:r>
      <w:r>
        <w:rPr/>
        <w:t>las apófisis</w:t>
      </w:r>
      <w:r>
        <w:rPr>
          <w:spacing w:val="-15"/>
        </w:rPr>
        <w:t> </w:t>
      </w:r>
      <w:r>
        <w:rPr/>
        <w:t>cornuales</w:t>
      </w:r>
      <w:r>
        <w:rPr>
          <w:spacing w:val="-15"/>
        </w:rPr>
        <w:t> </w:t>
      </w:r>
      <w:r>
        <w:rPr/>
        <w:t>en</w:t>
      </w:r>
      <w:r>
        <w:rPr>
          <w:spacing w:val="-15"/>
        </w:rPr>
        <w:t> </w:t>
      </w:r>
      <w:r>
        <w:rPr/>
        <w:t>desarrollo</w:t>
      </w:r>
      <w:r>
        <w:rPr>
          <w:spacing w:val="-15"/>
        </w:rPr>
        <w:t> </w:t>
      </w:r>
      <w:r>
        <w:rPr/>
        <w:t>de</w:t>
      </w:r>
      <w:r>
        <w:rPr>
          <w:spacing w:val="-15"/>
        </w:rPr>
        <w:t> </w:t>
      </w:r>
      <w:r>
        <w:rPr/>
        <w:t>cada</w:t>
      </w:r>
      <w:r>
        <w:rPr>
          <w:spacing w:val="-15"/>
        </w:rPr>
        <w:t> </w:t>
      </w:r>
      <w:r>
        <w:rPr/>
        <w:t>ternero</w:t>
      </w:r>
      <w:r>
        <w:rPr>
          <w:spacing w:val="-15"/>
        </w:rPr>
        <w:t> </w:t>
      </w:r>
      <w:r>
        <w:rPr/>
        <w:t>para</w:t>
      </w:r>
      <w:r>
        <w:rPr>
          <w:spacing w:val="-15"/>
        </w:rPr>
        <w:t> </w:t>
      </w:r>
      <w:r>
        <w:rPr/>
        <w:t>poder</w:t>
      </w:r>
      <w:r>
        <w:rPr>
          <w:spacing w:val="-15"/>
        </w:rPr>
        <w:t> </w:t>
      </w:r>
      <w:r>
        <w:rPr/>
        <w:t>incluirlos</w:t>
      </w:r>
      <w:r>
        <w:rPr>
          <w:spacing w:val="-15"/>
        </w:rPr>
        <w:t> </w:t>
      </w:r>
      <w:r>
        <w:rPr/>
        <w:t>en</w:t>
      </w:r>
      <w:r>
        <w:rPr>
          <w:spacing w:val="-15"/>
        </w:rPr>
        <w:t> </w:t>
      </w:r>
      <w:r>
        <w:rPr/>
        <w:t>este</w:t>
      </w:r>
      <w:r>
        <w:rPr>
          <w:spacing w:val="-15"/>
        </w:rPr>
        <w:t> </w:t>
      </w:r>
      <w:r>
        <w:rPr/>
        <w:t>estudio </w:t>
      </w:r>
      <w:r>
        <w:rPr>
          <w:spacing w:val="-2"/>
        </w:rPr>
        <w:t>investigativo.</w:t>
      </w:r>
    </w:p>
    <w:p>
      <w:pPr>
        <w:spacing w:before="240"/>
        <w:ind w:left="1135" w:right="0" w:firstLine="0"/>
        <w:jc w:val="left"/>
        <w:rPr>
          <w:b/>
          <w:sz w:val="24"/>
        </w:rPr>
      </w:pPr>
      <w:r>
        <w:rPr>
          <w:b/>
          <w:sz w:val="24"/>
        </w:rPr>
        <w:t>Alimentación</w:t>
      </w:r>
      <w:r>
        <w:rPr>
          <w:b/>
          <w:spacing w:val="-1"/>
          <w:sz w:val="24"/>
        </w:rPr>
        <w:t> </w:t>
      </w:r>
      <w:r>
        <w:rPr>
          <w:b/>
          <w:sz w:val="24"/>
        </w:rPr>
        <w:t>de</w:t>
      </w:r>
      <w:r>
        <w:rPr>
          <w:b/>
          <w:spacing w:val="-6"/>
          <w:sz w:val="24"/>
        </w:rPr>
        <w:t> </w:t>
      </w:r>
      <w:r>
        <w:rPr>
          <w:b/>
          <w:sz w:val="24"/>
        </w:rPr>
        <w:t>las</w:t>
      </w:r>
      <w:r>
        <w:rPr>
          <w:b/>
          <w:spacing w:val="-2"/>
          <w:sz w:val="24"/>
        </w:rPr>
        <w:t> </w:t>
      </w:r>
      <w:r>
        <w:rPr>
          <w:b/>
          <w:sz w:val="24"/>
        </w:rPr>
        <w:t>unidades</w:t>
      </w:r>
      <w:r>
        <w:rPr>
          <w:b/>
          <w:spacing w:val="-2"/>
          <w:sz w:val="24"/>
        </w:rPr>
        <w:t> experimentales;</w:t>
      </w:r>
    </w:p>
    <w:p>
      <w:pPr>
        <w:pStyle w:val="BodyText"/>
        <w:spacing w:before="103"/>
        <w:ind w:left="0"/>
        <w:rPr>
          <w:b/>
        </w:rPr>
      </w:pPr>
    </w:p>
    <w:p>
      <w:pPr>
        <w:pStyle w:val="BodyText"/>
        <w:spacing w:line="360" w:lineRule="auto"/>
        <w:ind w:right="847"/>
        <w:jc w:val="both"/>
      </w:pPr>
      <w:r>
        <w:rPr/>
        <w:t>Las unidades experimentales fueron alimentadas mediante un lacto-remplazante a una</w:t>
      </w:r>
      <w:r>
        <w:rPr>
          <w:spacing w:val="-14"/>
        </w:rPr>
        <w:t> </w:t>
      </w:r>
      <w:r>
        <w:rPr/>
        <w:t>dosis</w:t>
      </w:r>
      <w:r>
        <w:rPr>
          <w:spacing w:val="-7"/>
        </w:rPr>
        <w:t> </w:t>
      </w:r>
      <w:r>
        <w:rPr/>
        <w:t>de</w:t>
      </w:r>
      <w:r>
        <w:rPr>
          <w:spacing w:val="-10"/>
        </w:rPr>
        <w:t> </w:t>
      </w:r>
      <w:r>
        <w:rPr/>
        <w:t>4</w:t>
      </w:r>
      <w:r>
        <w:rPr>
          <w:spacing w:val="-10"/>
        </w:rPr>
        <w:t> </w:t>
      </w:r>
      <w:r>
        <w:rPr/>
        <w:t>litros</w:t>
      </w:r>
      <w:r>
        <w:rPr>
          <w:spacing w:val="-7"/>
        </w:rPr>
        <w:t> </w:t>
      </w:r>
      <w:r>
        <w:rPr/>
        <w:t>diarios,</w:t>
      </w:r>
      <w:r>
        <w:rPr>
          <w:spacing w:val="-7"/>
        </w:rPr>
        <w:t> </w:t>
      </w:r>
      <w:r>
        <w:rPr/>
        <w:t>2</w:t>
      </w:r>
      <w:r>
        <w:rPr>
          <w:spacing w:val="-7"/>
        </w:rPr>
        <w:t> </w:t>
      </w:r>
      <w:r>
        <w:rPr/>
        <w:t>por</w:t>
      </w:r>
      <w:r>
        <w:rPr>
          <w:spacing w:val="-10"/>
        </w:rPr>
        <w:t> </w:t>
      </w:r>
      <w:r>
        <w:rPr/>
        <w:t>la</w:t>
      </w:r>
      <w:r>
        <w:rPr>
          <w:spacing w:val="-11"/>
        </w:rPr>
        <w:t> </w:t>
      </w:r>
      <w:r>
        <w:rPr/>
        <w:t>mañana</w:t>
      </w:r>
      <w:r>
        <w:rPr>
          <w:spacing w:val="-3"/>
        </w:rPr>
        <w:t> </w:t>
      </w:r>
      <w:r>
        <w:rPr/>
        <w:t>y</w:t>
      </w:r>
      <w:r>
        <w:rPr>
          <w:spacing w:val="-15"/>
        </w:rPr>
        <w:t> </w:t>
      </w:r>
      <w:r>
        <w:rPr/>
        <w:t>2</w:t>
      </w:r>
      <w:r>
        <w:rPr>
          <w:spacing w:val="-7"/>
        </w:rPr>
        <w:t> </w:t>
      </w:r>
      <w:r>
        <w:rPr/>
        <w:t>por</w:t>
      </w:r>
      <w:r>
        <w:rPr>
          <w:spacing w:val="-8"/>
        </w:rPr>
        <w:t> </w:t>
      </w:r>
      <w:r>
        <w:rPr/>
        <w:t>la</w:t>
      </w:r>
      <w:r>
        <w:rPr>
          <w:spacing w:val="-11"/>
        </w:rPr>
        <w:t> </w:t>
      </w:r>
      <w:r>
        <w:rPr/>
        <w:t>tarde,</w:t>
      </w:r>
      <w:r>
        <w:rPr>
          <w:spacing w:val="-5"/>
        </w:rPr>
        <w:t> </w:t>
      </w:r>
      <w:r>
        <w:rPr/>
        <w:t>además</w:t>
      </w:r>
      <w:r>
        <w:rPr>
          <w:spacing w:val="-7"/>
        </w:rPr>
        <w:t> </w:t>
      </w:r>
      <w:r>
        <w:rPr/>
        <w:t>tuvieron</w:t>
      </w:r>
      <w:r>
        <w:rPr>
          <w:spacing w:val="-7"/>
        </w:rPr>
        <w:t> </w:t>
      </w:r>
      <w:r>
        <w:rPr/>
        <w:t>heno de raigrás y concentrado a disposición, así como agua limpia, las unidades experimentales fueron alimentadas por un tiempo de 30 días, considerando 2 semanas</w:t>
      </w:r>
      <w:r>
        <w:rPr>
          <w:spacing w:val="-12"/>
        </w:rPr>
        <w:t> </w:t>
      </w:r>
      <w:r>
        <w:rPr/>
        <w:t>de</w:t>
      </w:r>
      <w:r>
        <w:rPr>
          <w:spacing w:val="-12"/>
        </w:rPr>
        <w:t> </w:t>
      </w:r>
      <w:r>
        <w:rPr/>
        <w:t>acostumbramiento</w:t>
      </w:r>
      <w:r>
        <w:rPr>
          <w:spacing w:val="-5"/>
        </w:rPr>
        <w:t> </w:t>
      </w:r>
      <w:r>
        <w:rPr/>
        <w:t>y</w:t>
      </w:r>
      <w:r>
        <w:rPr>
          <w:spacing w:val="-15"/>
        </w:rPr>
        <w:t> </w:t>
      </w:r>
      <w:r>
        <w:rPr/>
        <w:t>2</w:t>
      </w:r>
      <w:r>
        <w:rPr>
          <w:spacing w:val="-11"/>
        </w:rPr>
        <w:t> </w:t>
      </w:r>
      <w:r>
        <w:rPr/>
        <w:t>semanas</w:t>
      </w:r>
      <w:r>
        <w:rPr>
          <w:spacing w:val="-10"/>
        </w:rPr>
        <w:t> </w:t>
      </w:r>
      <w:r>
        <w:rPr/>
        <w:t>de</w:t>
      </w:r>
      <w:r>
        <w:rPr>
          <w:spacing w:val="-9"/>
        </w:rPr>
        <w:t> </w:t>
      </w:r>
      <w:r>
        <w:rPr/>
        <w:t>experimentación</w:t>
      </w:r>
      <w:r>
        <w:rPr>
          <w:spacing w:val="-9"/>
        </w:rPr>
        <w:t> </w:t>
      </w:r>
      <w:r>
        <w:rPr/>
        <w:t>donde</w:t>
      </w:r>
      <w:r>
        <w:rPr>
          <w:spacing w:val="-11"/>
        </w:rPr>
        <w:t> </w:t>
      </w:r>
      <w:r>
        <w:rPr/>
        <w:t>se</w:t>
      </w:r>
      <w:r>
        <w:rPr>
          <w:spacing w:val="-12"/>
        </w:rPr>
        <w:t> </w:t>
      </w:r>
      <w:r>
        <w:rPr/>
        <w:t>valoraron cada una de las variables propuestas.</w:t>
      </w:r>
    </w:p>
    <w:p>
      <w:pPr>
        <w:spacing w:before="238"/>
        <w:ind w:left="1135" w:right="0" w:firstLine="0"/>
        <w:jc w:val="left"/>
        <w:rPr>
          <w:b/>
          <w:sz w:val="24"/>
        </w:rPr>
      </w:pPr>
      <w:r>
        <w:rPr>
          <w:b/>
          <w:sz w:val="24"/>
        </w:rPr>
        <w:t>Procesos</w:t>
      </w:r>
      <w:r>
        <w:rPr>
          <w:b/>
          <w:spacing w:val="-4"/>
          <w:sz w:val="24"/>
        </w:rPr>
        <w:t> </w:t>
      </w:r>
      <w:r>
        <w:rPr>
          <w:b/>
          <w:sz w:val="24"/>
        </w:rPr>
        <w:t>de</w:t>
      </w:r>
      <w:r>
        <w:rPr>
          <w:b/>
          <w:spacing w:val="-3"/>
          <w:sz w:val="24"/>
        </w:rPr>
        <w:t> </w:t>
      </w:r>
      <w:r>
        <w:rPr>
          <w:b/>
          <w:spacing w:val="-2"/>
          <w:sz w:val="24"/>
        </w:rPr>
        <w:t>analgesia;</w:t>
      </w:r>
    </w:p>
    <w:p>
      <w:pPr>
        <w:pStyle w:val="BodyText"/>
        <w:spacing w:before="104"/>
        <w:ind w:left="0"/>
        <w:rPr>
          <w:b/>
        </w:rPr>
      </w:pPr>
    </w:p>
    <w:p>
      <w:pPr>
        <w:pStyle w:val="BodyText"/>
        <w:spacing w:line="360" w:lineRule="auto"/>
        <w:ind w:right="844"/>
        <w:jc w:val="both"/>
      </w:pPr>
      <w:r>
        <w:rPr/>
        <w:t>A todos los terneros que se sometió al descorne como premedicación se administrará</w:t>
      </w:r>
      <w:r>
        <w:rPr>
          <w:spacing w:val="-8"/>
        </w:rPr>
        <w:t> </w:t>
      </w:r>
      <w:r>
        <w:rPr/>
        <w:t>Flunixin</w:t>
      </w:r>
      <w:r>
        <w:rPr>
          <w:spacing w:val="-7"/>
        </w:rPr>
        <w:t> </w:t>
      </w:r>
      <w:r>
        <w:rPr/>
        <w:t>de</w:t>
      </w:r>
      <w:r>
        <w:rPr>
          <w:spacing w:val="-15"/>
        </w:rPr>
        <w:t> </w:t>
      </w:r>
      <w:r>
        <w:rPr/>
        <w:t>meglumine</w:t>
      </w:r>
      <w:r>
        <w:rPr>
          <w:spacing w:val="-8"/>
        </w:rPr>
        <w:t> </w:t>
      </w:r>
      <w:r>
        <w:rPr/>
        <w:t>a</w:t>
      </w:r>
      <w:r>
        <w:rPr>
          <w:spacing w:val="-11"/>
        </w:rPr>
        <w:t> </w:t>
      </w:r>
      <w:r>
        <w:rPr/>
        <w:t>dosis</w:t>
      </w:r>
      <w:r>
        <w:rPr>
          <w:spacing w:val="-7"/>
        </w:rPr>
        <w:t> </w:t>
      </w:r>
      <w:r>
        <w:rPr/>
        <w:t>de</w:t>
      </w:r>
      <w:r>
        <w:rPr>
          <w:spacing w:val="-7"/>
        </w:rPr>
        <w:t> </w:t>
      </w:r>
      <w:r>
        <w:rPr/>
        <w:t>1,1–2,2</w:t>
      </w:r>
      <w:r>
        <w:rPr>
          <w:spacing w:val="-7"/>
        </w:rPr>
        <w:t> </w:t>
      </w:r>
      <w:r>
        <w:rPr/>
        <w:t>mg/kg</w:t>
      </w:r>
      <w:r>
        <w:rPr>
          <w:spacing w:val="-11"/>
        </w:rPr>
        <w:t> </w:t>
      </w:r>
      <w:r>
        <w:rPr/>
        <w:t>30</w:t>
      </w:r>
      <w:r>
        <w:rPr>
          <w:spacing w:val="-7"/>
        </w:rPr>
        <w:t> </w:t>
      </w:r>
      <w:r>
        <w:rPr/>
        <w:t>minutos</w:t>
      </w:r>
      <w:r>
        <w:rPr>
          <w:spacing w:val="-7"/>
        </w:rPr>
        <w:t> </w:t>
      </w:r>
      <w:r>
        <w:rPr/>
        <w:t>antes</w:t>
      </w:r>
      <w:r>
        <w:rPr>
          <w:spacing w:val="-10"/>
        </w:rPr>
        <w:t> </w:t>
      </w:r>
      <w:r>
        <w:rPr/>
        <w:t>del procedimiento de descorne, como mantenimiento de la analgesia durante el procedimiento se administró a corresponder el grupo experimental, Lidocaína tampona, Bupivacaína tampona, y la combinación de estas, el AINE se repitió la misma dosis a las 24 horas después de la primera administración, hasta cumplir 5 </w:t>
      </w:r>
      <w:r>
        <w:rPr>
          <w:spacing w:val="-2"/>
        </w:rPr>
        <w:t>días.</w:t>
      </w:r>
    </w:p>
    <w:p>
      <w:pPr>
        <w:pStyle w:val="BodyText"/>
        <w:spacing w:after="0" w:line="360" w:lineRule="auto"/>
        <w:jc w:val="both"/>
        <w:sectPr>
          <w:pgSz w:w="11900" w:h="16860"/>
          <w:pgMar w:header="0" w:footer="1084" w:top="1620" w:bottom="1280" w:left="1133" w:right="850"/>
        </w:sectPr>
      </w:pPr>
    </w:p>
    <w:p>
      <w:pPr>
        <w:spacing w:before="70"/>
        <w:ind w:left="1135" w:right="0" w:firstLine="0"/>
        <w:jc w:val="left"/>
        <w:rPr>
          <w:b/>
          <w:sz w:val="24"/>
        </w:rPr>
      </w:pPr>
      <w:r>
        <w:rPr>
          <w:b/>
          <w:sz w:val="24"/>
        </w:rPr>
        <w:t>Preparación</w:t>
      </w:r>
      <w:r>
        <w:rPr>
          <w:b/>
          <w:spacing w:val="-1"/>
          <w:sz w:val="24"/>
        </w:rPr>
        <w:t> </w:t>
      </w:r>
      <w:r>
        <w:rPr>
          <w:b/>
          <w:sz w:val="24"/>
        </w:rPr>
        <w:t>de</w:t>
      </w:r>
      <w:r>
        <w:rPr>
          <w:b/>
          <w:spacing w:val="-5"/>
          <w:sz w:val="24"/>
        </w:rPr>
        <w:t> </w:t>
      </w:r>
      <w:r>
        <w:rPr>
          <w:b/>
          <w:sz w:val="24"/>
        </w:rPr>
        <w:t>los</w:t>
      </w:r>
      <w:r>
        <w:rPr>
          <w:b/>
          <w:spacing w:val="-4"/>
          <w:sz w:val="24"/>
        </w:rPr>
        <w:t> </w:t>
      </w:r>
      <w:r>
        <w:rPr>
          <w:b/>
          <w:sz w:val="24"/>
        </w:rPr>
        <w:t>anestésicos</w:t>
      </w:r>
      <w:r>
        <w:rPr>
          <w:b/>
          <w:spacing w:val="-2"/>
          <w:sz w:val="24"/>
        </w:rPr>
        <w:t> tamponados;</w:t>
      </w:r>
    </w:p>
    <w:p>
      <w:pPr>
        <w:pStyle w:val="BodyText"/>
        <w:spacing w:before="101"/>
        <w:ind w:left="0"/>
        <w:rPr>
          <w:b/>
        </w:rPr>
      </w:pPr>
    </w:p>
    <w:p>
      <w:pPr>
        <w:pStyle w:val="BodyText"/>
        <w:spacing w:line="360" w:lineRule="auto"/>
        <w:ind w:right="847"/>
        <w:jc w:val="both"/>
      </w:pPr>
      <w:r>
        <w:rPr/>
        <w:t>Los anestésicos locales se obtuvieron en una presentación de clorhidrato de lidocaína y clorhidrato de bupivacaína, los mismos que fueron tamponados con bicarbonato de sodio de uso médico, la unidad de medida fue 10 mL, donde se añadió 1 mL de bicarbonato de sodio a una concentración de 8.4% en 9 mL de lidocaína al 1%, y bupivacaína al 0,5% posteriormente se medió el pH de la solución</w:t>
      </w:r>
      <w:r>
        <w:rPr>
          <w:spacing w:val="-7"/>
        </w:rPr>
        <w:t> </w:t>
      </w:r>
      <w:r>
        <w:rPr/>
        <w:t>a</w:t>
      </w:r>
      <w:r>
        <w:rPr>
          <w:spacing w:val="-8"/>
        </w:rPr>
        <w:t> </w:t>
      </w:r>
      <w:r>
        <w:rPr/>
        <w:t>utilizar,</w:t>
      </w:r>
      <w:r>
        <w:rPr>
          <w:spacing w:val="-7"/>
        </w:rPr>
        <w:t> </w:t>
      </w:r>
      <w:r>
        <w:rPr/>
        <w:t>con</w:t>
      </w:r>
      <w:r>
        <w:rPr>
          <w:spacing w:val="-5"/>
        </w:rPr>
        <w:t> </w:t>
      </w:r>
      <w:r>
        <w:rPr/>
        <w:t>la</w:t>
      </w:r>
      <w:r>
        <w:rPr>
          <w:spacing w:val="-6"/>
        </w:rPr>
        <w:t> </w:t>
      </w:r>
      <w:r>
        <w:rPr/>
        <w:t>ayuda</w:t>
      </w:r>
      <w:r>
        <w:rPr>
          <w:spacing w:val="-6"/>
        </w:rPr>
        <w:t> </w:t>
      </w:r>
      <w:r>
        <w:rPr/>
        <w:t>de</w:t>
      </w:r>
      <w:r>
        <w:rPr>
          <w:spacing w:val="-6"/>
        </w:rPr>
        <w:t> </w:t>
      </w:r>
      <w:r>
        <w:rPr/>
        <w:t>una</w:t>
      </w:r>
      <w:r>
        <w:rPr>
          <w:spacing w:val="-6"/>
        </w:rPr>
        <w:t> </w:t>
      </w:r>
      <w:r>
        <w:rPr/>
        <w:t>tira</w:t>
      </w:r>
      <w:r>
        <w:rPr>
          <w:spacing w:val="-9"/>
        </w:rPr>
        <w:t> </w:t>
      </w:r>
      <w:r>
        <w:rPr/>
        <w:t>de</w:t>
      </w:r>
      <w:r>
        <w:rPr>
          <w:spacing w:val="-8"/>
        </w:rPr>
        <w:t> </w:t>
      </w:r>
      <w:r>
        <w:rPr/>
        <w:t>pH,</w:t>
      </w:r>
      <w:r>
        <w:rPr>
          <w:spacing w:val="-3"/>
        </w:rPr>
        <w:t> </w:t>
      </w:r>
      <w:r>
        <w:rPr/>
        <w:t>el</w:t>
      </w:r>
      <w:r>
        <w:rPr>
          <w:spacing w:val="-7"/>
        </w:rPr>
        <w:t> </w:t>
      </w:r>
      <w:r>
        <w:rPr/>
        <w:t>cual</w:t>
      </w:r>
      <w:r>
        <w:rPr>
          <w:spacing w:val="-1"/>
        </w:rPr>
        <w:t> </w:t>
      </w:r>
      <w:r>
        <w:rPr/>
        <w:t>fue</w:t>
      </w:r>
      <w:r>
        <w:rPr>
          <w:spacing w:val="-6"/>
        </w:rPr>
        <w:t> </w:t>
      </w:r>
      <w:r>
        <w:rPr/>
        <w:t>entre</w:t>
      </w:r>
      <w:r>
        <w:rPr>
          <w:spacing w:val="-8"/>
        </w:rPr>
        <w:t> </w:t>
      </w:r>
      <w:r>
        <w:rPr/>
        <w:t>6.5</w:t>
      </w:r>
      <w:r>
        <w:rPr>
          <w:spacing w:val="-5"/>
        </w:rPr>
        <w:t> </w:t>
      </w:r>
      <w:r>
        <w:rPr/>
        <w:t>a</w:t>
      </w:r>
      <w:r>
        <w:rPr>
          <w:spacing w:val="-6"/>
        </w:rPr>
        <w:t> </w:t>
      </w:r>
      <w:r>
        <w:rPr/>
        <w:t>7</w:t>
      </w:r>
      <w:r>
        <w:rPr>
          <w:spacing w:val="-5"/>
        </w:rPr>
        <w:t> </w:t>
      </w:r>
      <w:r>
        <w:rPr/>
        <w:t>el</w:t>
      </w:r>
      <w:r>
        <w:rPr>
          <w:spacing w:val="-7"/>
        </w:rPr>
        <w:t> </w:t>
      </w:r>
      <w:r>
        <w:rPr/>
        <w:t>pH</w:t>
      </w:r>
      <w:r>
        <w:rPr>
          <w:spacing w:val="-8"/>
        </w:rPr>
        <w:t> </w:t>
      </w:r>
      <w:r>
        <w:rPr/>
        <w:t>de la solución para el bloqueo del nervio cornual.</w:t>
      </w:r>
    </w:p>
    <w:p>
      <w:pPr>
        <w:spacing w:before="242"/>
        <w:ind w:left="1135" w:right="0" w:firstLine="0"/>
        <w:jc w:val="left"/>
        <w:rPr>
          <w:b/>
          <w:sz w:val="24"/>
        </w:rPr>
      </w:pPr>
      <w:r>
        <w:rPr>
          <w:b/>
          <w:sz w:val="24"/>
        </w:rPr>
        <w:t>Bloqueo</w:t>
      </w:r>
      <w:r>
        <w:rPr>
          <w:b/>
          <w:spacing w:val="-3"/>
          <w:sz w:val="24"/>
        </w:rPr>
        <w:t> </w:t>
      </w:r>
      <w:r>
        <w:rPr>
          <w:b/>
          <w:sz w:val="24"/>
        </w:rPr>
        <w:t>del nervio</w:t>
      </w:r>
      <w:r>
        <w:rPr>
          <w:b/>
          <w:spacing w:val="-1"/>
          <w:sz w:val="24"/>
        </w:rPr>
        <w:t> </w:t>
      </w:r>
      <w:r>
        <w:rPr>
          <w:b/>
          <w:spacing w:val="-2"/>
          <w:sz w:val="24"/>
        </w:rPr>
        <w:t>cornual;</w:t>
      </w:r>
    </w:p>
    <w:p>
      <w:pPr>
        <w:pStyle w:val="BodyText"/>
        <w:spacing w:before="101"/>
        <w:ind w:left="0"/>
        <w:rPr>
          <w:b/>
        </w:rPr>
      </w:pPr>
    </w:p>
    <w:p>
      <w:pPr>
        <w:pStyle w:val="BodyText"/>
        <w:spacing w:line="360" w:lineRule="auto"/>
        <w:ind w:right="847"/>
        <w:jc w:val="both"/>
      </w:pPr>
      <w:r>
        <w:rPr/>
        <w:t>El nervio cornual, se desensibilizó utilizando una aguja de calibre 16 a 20 G a la mitad entre la base del cuerno y el canto lateral del ojo, dirigiéndola a través del músculo frontal y</w:t>
      </w:r>
      <w:r>
        <w:rPr>
          <w:spacing w:val="-1"/>
        </w:rPr>
        <w:t> </w:t>
      </w:r>
      <w:r>
        <w:rPr/>
        <w:t>bajo la cara lateral del temporal del hueso frontal, se colocó 10 mL de anestésico tamponado de acuerdo a los tratamientos planteados en cada cuerno, se evaluó su desensibilización mediante punción del epitelio cornual.</w:t>
      </w:r>
    </w:p>
    <w:p>
      <w:pPr>
        <w:spacing w:before="242"/>
        <w:ind w:left="1135" w:right="0" w:firstLine="0"/>
        <w:jc w:val="left"/>
        <w:rPr>
          <w:b/>
          <w:sz w:val="24"/>
        </w:rPr>
      </w:pPr>
      <w:r>
        <w:rPr>
          <w:b/>
          <w:sz w:val="24"/>
        </w:rPr>
        <w:t>Descorne</w:t>
      </w:r>
      <w:r>
        <w:rPr>
          <w:b/>
          <w:spacing w:val="-6"/>
          <w:sz w:val="24"/>
        </w:rPr>
        <w:t> </w:t>
      </w:r>
      <w:r>
        <w:rPr>
          <w:b/>
          <w:sz w:val="24"/>
        </w:rPr>
        <w:t>de</w:t>
      </w:r>
      <w:r>
        <w:rPr>
          <w:b/>
          <w:spacing w:val="-4"/>
          <w:sz w:val="24"/>
        </w:rPr>
        <w:t> </w:t>
      </w:r>
      <w:r>
        <w:rPr>
          <w:b/>
          <w:sz w:val="24"/>
        </w:rPr>
        <w:t>las</w:t>
      </w:r>
      <w:r>
        <w:rPr>
          <w:b/>
          <w:spacing w:val="-2"/>
          <w:sz w:val="24"/>
        </w:rPr>
        <w:t> </w:t>
      </w:r>
      <w:r>
        <w:rPr>
          <w:b/>
          <w:sz w:val="24"/>
        </w:rPr>
        <w:t>unidades</w:t>
      </w:r>
      <w:r>
        <w:rPr>
          <w:b/>
          <w:spacing w:val="-1"/>
          <w:sz w:val="24"/>
        </w:rPr>
        <w:t> </w:t>
      </w:r>
      <w:r>
        <w:rPr>
          <w:b/>
          <w:spacing w:val="-2"/>
          <w:sz w:val="24"/>
        </w:rPr>
        <w:t>experimentales;</w:t>
      </w:r>
    </w:p>
    <w:p>
      <w:pPr>
        <w:pStyle w:val="BodyText"/>
        <w:spacing w:before="101"/>
        <w:ind w:left="0"/>
        <w:rPr>
          <w:b/>
        </w:rPr>
      </w:pPr>
    </w:p>
    <w:p>
      <w:pPr>
        <w:pStyle w:val="BodyText"/>
        <w:spacing w:line="360" w:lineRule="auto"/>
        <w:ind w:right="845"/>
        <w:jc w:val="both"/>
      </w:pPr>
      <w:r>
        <w:rPr>
          <w:spacing w:val="-2"/>
        </w:rPr>
        <w:t>Los</w:t>
      </w:r>
      <w:r>
        <w:rPr>
          <w:spacing w:val="-7"/>
        </w:rPr>
        <w:t> </w:t>
      </w:r>
      <w:r>
        <w:rPr>
          <w:spacing w:val="-2"/>
        </w:rPr>
        <w:t>procedimientos</w:t>
      </w:r>
      <w:r>
        <w:rPr>
          <w:spacing w:val="-6"/>
        </w:rPr>
        <w:t> </w:t>
      </w:r>
      <w:r>
        <w:rPr>
          <w:spacing w:val="-2"/>
        </w:rPr>
        <w:t>de</w:t>
      </w:r>
      <w:r>
        <w:rPr>
          <w:spacing w:val="-8"/>
        </w:rPr>
        <w:t> </w:t>
      </w:r>
      <w:r>
        <w:rPr>
          <w:spacing w:val="-2"/>
        </w:rPr>
        <w:t>descorne</w:t>
      </w:r>
      <w:r>
        <w:rPr>
          <w:spacing w:val="-10"/>
        </w:rPr>
        <w:t> </w:t>
      </w:r>
      <w:r>
        <w:rPr>
          <w:spacing w:val="-2"/>
        </w:rPr>
        <w:t>se</w:t>
      </w:r>
      <w:r>
        <w:rPr>
          <w:spacing w:val="-8"/>
        </w:rPr>
        <w:t> </w:t>
      </w:r>
      <w:r>
        <w:rPr>
          <w:spacing w:val="-2"/>
        </w:rPr>
        <w:t>realizaron</w:t>
      </w:r>
      <w:r>
        <w:rPr>
          <w:spacing w:val="-7"/>
        </w:rPr>
        <w:t> </w:t>
      </w:r>
      <w:r>
        <w:rPr>
          <w:spacing w:val="-2"/>
        </w:rPr>
        <w:t>mediante</w:t>
      </w:r>
      <w:r>
        <w:rPr>
          <w:spacing w:val="-8"/>
        </w:rPr>
        <w:t> </w:t>
      </w:r>
      <w:r>
        <w:rPr>
          <w:spacing w:val="-2"/>
        </w:rPr>
        <w:t>el</w:t>
      </w:r>
      <w:r>
        <w:rPr>
          <w:spacing w:val="-7"/>
        </w:rPr>
        <w:t> </w:t>
      </w:r>
      <w:r>
        <w:rPr>
          <w:spacing w:val="-2"/>
        </w:rPr>
        <w:t>método</w:t>
      </w:r>
      <w:r>
        <w:rPr>
          <w:spacing w:val="-7"/>
        </w:rPr>
        <w:t> </w:t>
      </w:r>
      <w:r>
        <w:rPr>
          <w:spacing w:val="-2"/>
        </w:rPr>
        <w:t>de</w:t>
      </w:r>
      <w:r>
        <w:rPr>
          <w:spacing w:val="-8"/>
        </w:rPr>
        <w:t> </w:t>
      </w:r>
      <w:r>
        <w:rPr>
          <w:spacing w:val="-2"/>
        </w:rPr>
        <w:t>hierro</w:t>
      </w:r>
      <w:r>
        <w:rPr>
          <w:spacing w:val="-5"/>
        </w:rPr>
        <w:t> </w:t>
      </w:r>
      <w:r>
        <w:rPr>
          <w:spacing w:val="-2"/>
        </w:rPr>
        <w:t>caliente, </w:t>
      </w:r>
      <w:r>
        <w:rPr/>
        <w:t>el</w:t>
      </w:r>
      <w:r>
        <w:rPr>
          <w:spacing w:val="-13"/>
        </w:rPr>
        <w:t> </w:t>
      </w:r>
      <w:r>
        <w:rPr/>
        <w:t>mismo</w:t>
      </w:r>
      <w:r>
        <w:rPr>
          <w:spacing w:val="-12"/>
        </w:rPr>
        <w:t> </w:t>
      </w:r>
      <w:r>
        <w:rPr/>
        <w:t>que</w:t>
      </w:r>
      <w:r>
        <w:rPr>
          <w:spacing w:val="-14"/>
        </w:rPr>
        <w:t> </w:t>
      </w:r>
      <w:r>
        <w:rPr/>
        <w:t>se</w:t>
      </w:r>
      <w:r>
        <w:rPr>
          <w:spacing w:val="-14"/>
        </w:rPr>
        <w:t> </w:t>
      </w:r>
      <w:r>
        <w:rPr/>
        <w:t>inició</w:t>
      </w:r>
      <w:r>
        <w:rPr>
          <w:spacing w:val="-13"/>
        </w:rPr>
        <w:t> </w:t>
      </w:r>
      <w:r>
        <w:rPr/>
        <w:t>con</w:t>
      </w:r>
      <w:r>
        <w:rPr>
          <w:spacing w:val="-13"/>
        </w:rPr>
        <w:t> </w:t>
      </w:r>
      <w:r>
        <w:rPr/>
        <w:t>el</w:t>
      </w:r>
      <w:r>
        <w:rPr>
          <w:spacing w:val="-13"/>
        </w:rPr>
        <w:t> </w:t>
      </w:r>
      <w:r>
        <w:rPr/>
        <w:t>tumbado</w:t>
      </w:r>
      <w:r>
        <w:rPr>
          <w:spacing w:val="-13"/>
        </w:rPr>
        <w:t> </w:t>
      </w:r>
      <w:r>
        <w:rPr/>
        <w:t>del</w:t>
      </w:r>
      <w:r>
        <w:rPr>
          <w:spacing w:val="-13"/>
        </w:rPr>
        <w:t> </w:t>
      </w:r>
      <w:r>
        <w:rPr/>
        <w:t>animal,</w:t>
      </w:r>
      <w:r>
        <w:rPr>
          <w:spacing w:val="-13"/>
        </w:rPr>
        <w:t> </w:t>
      </w:r>
      <w:r>
        <w:rPr/>
        <w:t>posteriormente</w:t>
      </w:r>
      <w:r>
        <w:rPr>
          <w:spacing w:val="-14"/>
        </w:rPr>
        <w:t> </w:t>
      </w:r>
      <w:r>
        <w:rPr/>
        <w:t>se</w:t>
      </w:r>
      <w:r>
        <w:rPr>
          <w:spacing w:val="-14"/>
        </w:rPr>
        <w:t> </w:t>
      </w:r>
      <w:r>
        <w:rPr/>
        <w:t>realizó</w:t>
      </w:r>
      <w:r>
        <w:rPr>
          <w:spacing w:val="-14"/>
        </w:rPr>
        <w:t> </w:t>
      </w:r>
      <w:r>
        <w:rPr/>
        <w:t>el</w:t>
      </w:r>
      <w:r>
        <w:rPr>
          <w:spacing w:val="-13"/>
        </w:rPr>
        <w:t> </w:t>
      </w:r>
      <w:r>
        <w:rPr/>
        <w:t>corte de la yema del cuerno, los mismos que fueron cauterizados con hierro caliente.</w:t>
      </w:r>
    </w:p>
    <w:p>
      <w:pPr>
        <w:spacing w:before="239"/>
        <w:ind w:left="1135" w:right="0" w:firstLine="0"/>
        <w:jc w:val="left"/>
        <w:rPr>
          <w:b/>
          <w:sz w:val="24"/>
        </w:rPr>
      </w:pPr>
      <w:r>
        <w:rPr>
          <w:b/>
          <w:sz w:val="24"/>
        </w:rPr>
        <w:t>Control</w:t>
      </w:r>
      <w:r>
        <w:rPr>
          <w:b/>
          <w:spacing w:val="-4"/>
          <w:sz w:val="24"/>
        </w:rPr>
        <w:t> </w:t>
      </w:r>
      <w:r>
        <w:rPr>
          <w:b/>
          <w:spacing w:val="-2"/>
          <w:sz w:val="24"/>
        </w:rPr>
        <w:t>postdescorne:</w:t>
      </w:r>
    </w:p>
    <w:p>
      <w:pPr>
        <w:pStyle w:val="BodyText"/>
        <w:spacing w:before="103"/>
        <w:ind w:left="0"/>
        <w:rPr>
          <w:b/>
        </w:rPr>
      </w:pPr>
    </w:p>
    <w:p>
      <w:pPr>
        <w:pStyle w:val="BodyText"/>
        <w:spacing w:line="360" w:lineRule="auto"/>
        <w:ind w:right="844"/>
        <w:jc w:val="both"/>
      </w:pPr>
      <w:r>
        <w:rPr/>
        <w:t>Los terneros recibieron un mismo manejo de la herida. Se aplicó</w:t>
      </w:r>
      <w:r>
        <w:rPr>
          <w:spacing w:val="-1"/>
        </w:rPr>
        <w:t> </w:t>
      </w:r>
      <w:r>
        <w:rPr/>
        <w:t>un antibiótico de amplio</w:t>
      </w:r>
      <w:r>
        <w:rPr>
          <w:spacing w:val="-3"/>
        </w:rPr>
        <w:t> </w:t>
      </w:r>
      <w:r>
        <w:rPr/>
        <w:t>espectro</w:t>
      </w:r>
      <w:r>
        <w:rPr>
          <w:spacing w:val="-3"/>
        </w:rPr>
        <w:t> </w:t>
      </w:r>
      <w:r>
        <w:rPr/>
        <w:t>de</w:t>
      </w:r>
      <w:r>
        <w:rPr>
          <w:spacing w:val="-4"/>
        </w:rPr>
        <w:t> </w:t>
      </w:r>
      <w:r>
        <w:rPr/>
        <w:t>forma parenteral</w:t>
      </w:r>
      <w:r>
        <w:rPr>
          <w:spacing w:val="-1"/>
        </w:rPr>
        <w:t> </w:t>
      </w:r>
      <w:r>
        <w:rPr/>
        <w:t>(Ceftiofur</w:t>
      </w:r>
      <w:r>
        <w:rPr>
          <w:spacing w:val="-4"/>
        </w:rPr>
        <w:t> </w:t>
      </w:r>
      <w:r>
        <w:rPr/>
        <w:t>2,2 mg/kg</w:t>
      </w:r>
      <w:r>
        <w:rPr>
          <w:spacing w:val="-3"/>
        </w:rPr>
        <w:t> </w:t>
      </w:r>
      <w:r>
        <w:rPr/>
        <w:t>IM</w:t>
      </w:r>
      <w:r>
        <w:rPr>
          <w:spacing w:val="-3"/>
        </w:rPr>
        <w:t> </w:t>
      </w:r>
      <w:r>
        <w:rPr/>
        <w:t>o</w:t>
      </w:r>
      <w:r>
        <w:rPr>
          <w:spacing w:val="-3"/>
        </w:rPr>
        <w:t> </w:t>
      </w:r>
      <w:r>
        <w:rPr/>
        <w:t>SC</w:t>
      </w:r>
      <w:r>
        <w:rPr>
          <w:spacing w:val="-3"/>
        </w:rPr>
        <w:t> </w:t>
      </w:r>
      <w:r>
        <w:rPr/>
        <w:t>cada</w:t>
      </w:r>
      <w:r>
        <w:rPr>
          <w:spacing w:val="-4"/>
        </w:rPr>
        <w:t> </w:t>
      </w:r>
      <w:r>
        <w:rPr/>
        <w:t>24</w:t>
      </w:r>
      <w:r>
        <w:rPr>
          <w:spacing w:val="-1"/>
        </w:rPr>
        <w:t> </w:t>
      </w:r>
      <w:r>
        <w:rPr/>
        <w:t>h,)</w:t>
      </w:r>
      <w:r>
        <w:rPr>
          <w:spacing w:val="-7"/>
        </w:rPr>
        <w:t> </w:t>
      </w:r>
      <w:r>
        <w:rPr/>
        <w:t>con el fin de prevenir infecciones secundarias. Adicionalmente, se administró un cicatrizante local en spray directamente sobre la herida.</w:t>
      </w:r>
    </w:p>
    <w:p>
      <w:pPr>
        <w:spacing w:before="241"/>
        <w:ind w:left="1135" w:right="0" w:firstLine="0"/>
        <w:jc w:val="left"/>
        <w:rPr>
          <w:b/>
          <w:sz w:val="24"/>
        </w:rPr>
      </w:pPr>
      <w:r>
        <w:rPr>
          <w:b/>
          <w:sz w:val="24"/>
        </w:rPr>
        <w:t>Toma</w:t>
      </w:r>
      <w:r>
        <w:rPr>
          <w:b/>
          <w:spacing w:val="-6"/>
          <w:sz w:val="24"/>
        </w:rPr>
        <w:t> </w:t>
      </w:r>
      <w:r>
        <w:rPr>
          <w:b/>
          <w:sz w:val="24"/>
        </w:rPr>
        <w:t>de</w:t>
      </w:r>
      <w:r>
        <w:rPr>
          <w:b/>
          <w:spacing w:val="-1"/>
          <w:sz w:val="24"/>
        </w:rPr>
        <w:t> </w:t>
      </w:r>
      <w:r>
        <w:rPr>
          <w:b/>
          <w:sz w:val="24"/>
        </w:rPr>
        <w:t>muestra</w:t>
      </w:r>
      <w:r>
        <w:rPr>
          <w:b/>
          <w:spacing w:val="-3"/>
          <w:sz w:val="24"/>
        </w:rPr>
        <w:t> </w:t>
      </w:r>
      <w:r>
        <w:rPr>
          <w:b/>
          <w:sz w:val="24"/>
        </w:rPr>
        <w:t>de</w:t>
      </w:r>
      <w:r>
        <w:rPr>
          <w:b/>
          <w:spacing w:val="-6"/>
          <w:sz w:val="24"/>
        </w:rPr>
        <w:t> </w:t>
      </w:r>
      <w:r>
        <w:rPr>
          <w:b/>
          <w:spacing w:val="-2"/>
          <w:sz w:val="24"/>
        </w:rPr>
        <w:t>sangre;</w:t>
      </w:r>
    </w:p>
    <w:p>
      <w:pPr>
        <w:pStyle w:val="BodyText"/>
        <w:spacing w:before="100"/>
        <w:ind w:left="0"/>
        <w:rPr>
          <w:b/>
        </w:rPr>
      </w:pPr>
    </w:p>
    <w:p>
      <w:pPr>
        <w:pStyle w:val="BodyText"/>
        <w:spacing w:line="360" w:lineRule="auto" w:before="1"/>
        <w:ind w:right="842"/>
        <w:jc w:val="both"/>
      </w:pPr>
      <w:r>
        <w:rPr/>
        <w:t>La toma de muestras sanguíneas en los terneros se realizó mediante punción en la vena</w:t>
      </w:r>
      <w:r>
        <w:rPr>
          <w:spacing w:val="-2"/>
        </w:rPr>
        <w:t> </w:t>
      </w:r>
      <w:r>
        <w:rPr/>
        <w:t>yugular</w:t>
      </w:r>
      <w:r>
        <w:rPr>
          <w:spacing w:val="-9"/>
        </w:rPr>
        <w:t> </w:t>
      </w:r>
      <w:r>
        <w:rPr/>
        <w:t>o</w:t>
      </w:r>
      <w:r>
        <w:rPr>
          <w:spacing w:val="-8"/>
        </w:rPr>
        <w:t> </w:t>
      </w:r>
      <w:r>
        <w:rPr/>
        <w:t>en</w:t>
      </w:r>
      <w:r>
        <w:rPr>
          <w:spacing w:val="-8"/>
        </w:rPr>
        <w:t> </w:t>
      </w:r>
      <w:r>
        <w:rPr/>
        <w:t>su</w:t>
      </w:r>
      <w:r>
        <w:rPr>
          <w:spacing w:val="-8"/>
        </w:rPr>
        <w:t> </w:t>
      </w:r>
      <w:r>
        <w:rPr/>
        <w:t>defecto</w:t>
      </w:r>
      <w:r>
        <w:rPr>
          <w:spacing w:val="-7"/>
        </w:rPr>
        <w:t> </w:t>
      </w:r>
      <w:r>
        <w:rPr/>
        <w:t>de</w:t>
      </w:r>
      <w:r>
        <w:rPr>
          <w:spacing w:val="-11"/>
        </w:rPr>
        <w:t> </w:t>
      </w:r>
      <w:r>
        <w:rPr/>
        <w:t>la</w:t>
      </w:r>
      <w:r>
        <w:rPr>
          <w:spacing w:val="-11"/>
        </w:rPr>
        <w:t> </w:t>
      </w:r>
      <w:r>
        <w:rPr/>
        <w:t>vena</w:t>
      </w:r>
      <w:r>
        <w:rPr>
          <w:spacing w:val="-8"/>
        </w:rPr>
        <w:t> </w:t>
      </w:r>
      <w:r>
        <w:rPr/>
        <w:t>coxígea,</w:t>
      </w:r>
      <w:r>
        <w:rPr>
          <w:spacing w:val="-8"/>
        </w:rPr>
        <w:t> </w:t>
      </w:r>
      <w:r>
        <w:rPr/>
        <w:t>utilizando</w:t>
      </w:r>
      <w:r>
        <w:rPr>
          <w:spacing w:val="-7"/>
        </w:rPr>
        <w:t> </w:t>
      </w:r>
      <w:r>
        <w:rPr/>
        <w:t>una</w:t>
      </w:r>
      <w:r>
        <w:rPr>
          <w:spacing w:val="-10"/>
        </w:rPr>
        <w:t> </w:t>
      </w:r>
      <w:r>
        <w:rPr/>
        <w:t>aguja</w:t>
      </w:r>
      <w:r>
        <w:rPr>
          <w:spacing w:val="-8"/>
        </w:rPr>
        <w:t> </w:t>
      </w:r>
      <w:r>
        <w:rPr/>
        <w:t>estéril</w:t>
      </w:r>
      <w:r>
        <w:rPr>
          <w:spacing w:val="-2"/>
        </w:rPr>
        <w:t> </w:t>
      </w:r>
      <w:r>
        <w:rPr/>
        <w:t>de</w:t>
      </w:r>
      <w:r>
        <w:rPr>
          <w:spacing w:val="-11"/>
        </w:rPr>
        <w:t> </w:t>
      </w:r>
      <w:r>
        <w:rPr/>
        <w:t>18–20</w:t>
      </w:r>
      <w:r>
        <w:rPr>
          <w:spacing w:val="-8"/>
        </w:rPr>
        <w:t> </w:t>
      </w:r>
      <w:r>
        <w:rPr/>
        <w:t>G</w:t>
      </w:r>
      <w:r>
        <w:rPr>
          <w:spacing w:val="-6"/>
        </w:rPr>
        <w:t> </w:t>
      </w:r>
      <w:r>
        <w:rPr/>
        <w:t>acoplada</w:t>
      </w:r>
      <w:r>
        <w:rPr>
          <w:spacing w:val="-5"/>
        </w:rPr>
        <w:t> </w:t>
      </w:r>
      <w:r>
        <w:rPr/>
        <w:t>a</w:t>
      </w:r>
      <w:r>
        <w:rPr>
          <w:spacing w:val="-6"/>
        </w:rPr>
        <w:t> </w:t>
      </w:r>
      <w:r>
        <w:rPr/>
        <w:t>un</w:t>
      </w:r>
      <w:r>
        <w:rPr>
          <w:spacing w:val="-6"/>
        </w:rPr>
        <w:t> </w:t>
      </w:r>
      <w:r>
        <w:rPr/>
        <w:t>sistema</w:t>
      </w:r>
      <w:r>
        <w:rPr>
          <w:spacing w:val="-6"/>
        </w:rPr>
        <w:t> </w:t>
      </w:r>
      <w:r>
        <w:rPr/>
        <w:t>Vacutainer®,</w:t>
      </w:r>
      <w:r>
        <w:rPr>
          <w:spacing w:val="-5"/>
        </w:rPr>
        <w:t> </w:t>
      </w:r>
      <w:r>
        <w:rPr/>
        <w:t>recolectando</w:t>
      </w:r>
      <w:r>
        <w:rPr>
          <w:spacing w:val="-6"/>
        </w:rPr>
        <w:t> </w:t>
      </w:r>
      <w:r>
        <w:rPr/>
        <w:t>de</w:t>
      </w:r>
      <w:r>
        <w:rPr>
          <w:spacing w:val="-6"/>
        </w:rPr>
        <w:t> </w:t>
      </w:r>
      <w:r>
        <w:rPr/>
        <w:t>3</w:t>
      </w:r>
      <w:r>
        <w:rPr>
          <w:spacing w:val="-6"/>
        </w:rPr>
        <w:t> </w:t>
      </w:r>
      <w:r>
        <w:rPr/>
        <w:t>a</w:t>
      </w:r>
      <w:r>
        <w:rPr>
          <w:spacing w:val="-6"/>
        </w:rPr>
        <w:t> </w:t>
      </w:r>
      <w:r>
        <w:rPr/>
        <w:t>5</w:t>
      </w:r>
      <w:r>
        <w:rPr>
          <w:spacing w:val="-6"/>
        </w:rPr>
        <w:t> </w:t>
      </w:r>
      <w:r>
        <w:rPr/>
        <w:t>mililitros</w:t>
      </w:r>
      <w:r>
        <w:rPr>
          <w:spacing w:val="-5"/>
        </w:rPr>
        <w:t> </w:t>
      </w:r>
      <w:r>
        <w:rPr/>
        <w:t>de</w:t>
      </w:r>
      <w:r>
        <w:rPr>
          <w:spacing w:val="-6"/>
        </w:rPr>
        <w:t> </w:t>
      </w:r>
      <w:r>
        <w:rPr>
          <w:spacing w:val="-2"/>
        </w:rPr>
        <w:t>sangre</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46"/>
        <w:jc w:val="both"/>
      </w:pPr>
      <w:bookmarkStart w:name="_bookmark50" w:id="51"/>
      <w:bookmarkEnd w:id="51"/>
      <w:r>
        <w:rPr/>
      </w:r>
      <w:r>
        <w:rPr/>
        <w:t>en tubos de tapón rojo (sin anticoagulante) para obtener suero destinado a la determinación de proteína C reactiva; las muestras permanecieron en posición </w:t>
      </w:r>
      <w:r>
        <w:rPr>
          <w:spacing w:val="-2"/>
        </w:rPr>
        <w:t>vertical</w:t>
      </w:r>
      <w:r>
        <w:rPr>
          <w:spacing w:val="-13"/>
        </w:rPr>
        <w:t> </w:t>
      </w:r>
      <w:r>
        <w:rPr>
          <w:spacing w:val="-2"/>
        </w:rPr>
        <w:t>durante</w:t>
      </w:r>
      <w:r>
        <w:rPr>
          <w:spacing w:val="-7"/>
        </w:rPr>
        <w:t> </w:t>
      </w:r>
      <w:r>
        <w:rPr>
          <w:spacing w:val="-2"/>
        </w:rPr>
        <w:t>20–30</w:t>
      </w:r>
      <w:r>
        <w:rPr>
          <w:spacing w:val="-9"/>
        </w:rPr>
        <w:t> </w:t>
      </w:r>
      <w:r>
        <w:rPr>
          <w:spacing w:val="-2"/>
        </w:rPr>
        <w:t>minutos</w:t>
      </w:r>
      <w:r>
        <w:rPr>
          <w:spacing w:val="-4"/>
        </w:rPr>
        <w:t> </w:t>
      </w:r>
      <w:r>
        <w:rPr>
          <w:spacing w:val="-2"/>
        </w:rPr>
        <w:t>para</w:t>
      </w:r>
      <w:r>
        <w:rPr>
          <w:spacing w:val="-10"/>
        </w:rPr>
        <w:t> </w:t>
      </w:r>
      <w:r>
        <w:rPr>
          <w:spacing w:val="-2"/>
        </w:rPr>
        <w:t>permitir</w:t>
      </w:r>
      <w:r>
        <w:rPr>
          <w:spacing w:val="-9"/>
        </w:rPr>
        <w:t> </w:t>
      </w:r>
      <w:r>
        <w:rPr>
          <w:spacing w:val="-2"/>
        </w:rPr>
        <w:t>la</w:t>
      </w:r>
      <w:r>
        <w:rPr>
          <w:spacing w:val="-10"/>
        </w:rPr>
        <w:t> </w:t>
      </w:r>
      <w:r>
        <w:rPr>
          <w:spacing w:val="-2"/>
        </w:rPr>
        <w:t>coagulación</w:t>
      </w:r>
      <w:r>
        <w:rPr/>
        <w:t> </w:t>
      </w:r>
      <w:r>
        <w:rPr>
          <w:spacing w:val="-2"/>
        </w:rPr>
        <w:t>y</w:t>
      </w:r>
      <w:r>
        <w:rPr>
          <w:spacing w:val="-13"/>
        </w:rPr>
        <w:t> </w:t>
      </w:r>
      <w:r>
        <w:rPr>
          <w:spacing w:val="-2"/>
        </w:rPr>
        <w:t>posteriormente</w:t>
      </w:r>
      <w:r>
        <w:rPr>
          <w:spacing w:val="-8"/>
        </w:rPr>
        <w:t> </w:t>
      </w:r>
      <w:r>
        <w:rPr>
          <w:spacing w:val="-2"/>
        </w:rPr>
        <w:t>fueron </w:t>
      </w:r>
      <w:r>
        <w:rPr/>
        <w:t>centrifugadas a</w:t>
      </w:r>
      <w:r>
        <w:rPr>
          <w:spacing w:val="-2"/>
        </w:rPr>
        <w:t> </w:t>
      </w:r>
      <w:r>
        <w:rPr/>
        <w:t>3000</w:t>
      </w:r>
      <w:r>
        <w:rPr>
          <w:spacing w:val="-1"/>
        </w:rPr>
        <w:t> </w:t>
      </w:r>
      <w:r>
        <w:rPr/>
        <w:t>rpm por</w:t>
      </w:r>
      <w:r>
        <w:rPr>
          <w:spacing w:val="-2"/>
        </w:rPr>
        <w:t> </w:t>
      </w:r>
      <w:r>
        <w:rPr/>
        <w:t>10</w:t>
      </w:r>
      <w:r>
        <w:rPr>
          <w:spacing w:val="-1"/>
        </w:rPr>
        <w:t> </w:t>
      </w:r>
      <w:r>
        <w:rPr/>
        <w:t>minutos, separando</w:t>
      </w:r>
      <w:r>
        <w:rPr>
          <w:spacing w:val="-1"/>
        </w:rPr>
        <w:t> </w:t>
      </w:r>
      <w:r>
        <w:rPr/>
        <w:t>el</w:t>
      </w:r>
      <w:r>
        <w:rPr>
          <w:spacing w:val="-1"/>
        </w:rPr>
        <w:t> </w:t>
      </w:r>
      <w:r>
        <w:rPr/>
        <w:t>suero</w:t>
      </w:r>
      <w:r>
        <w:rPr>
          <w:spacing w:val="-1"/>
        </w:rPr>
        <w:t> </w:t>
      </w:r>
      <w:r>
        <w:rPr/>
        <w:t>que</w:t>
      </w:r>
      <w:r>
        <w:rPr>
          <w:spacing w:val="-2"/>
        </w:rPr>
        <w:t> </w:t>
      </w:r>
      <w:r>
        <w:rPr/>
        <w:t>fue</w:t>
      </w:r>
      <w:r>
        <w:rPr>
          <w:spacing w:val="-3"/>
        </w:rPr>
        <w:t> </w:t>
      </w:r>
      <w:r>
        <w:rPr/>
        <w:t>transferido</w:t>
      </w:r>
      <w:r>
        <w:rPr>
          <w:spacing w:val="-1"/>
        </w:rPr>
        <w:t> </w:t>
      </w:r>
      <w:r>
        <w:rPr/>
        <w:t>a microtubos</w:t>
      </w:r>
      <w:r>
        <w:rPr>
          <w:spacing w:val="-2"/>
        </w:rPr>
        <w:t> </w:t>
      </w:r>
      <w:r>
        <w:rPr/>
        <w:t>criogénicos y</w:t>
      </w:r>
      <w:r>
        <w:rPr>
          <w:spacing w:val="-5"/>
        </w:rPr>
        <w:t> </w:t>
      </w:r>
      <w:r>
        <w:rPr/>
        <w:t>almacenado a</w:t>
      </w:r>
      <w:r>
        <w:rPr>
          <w:spacing w:val="-1"/>
        </w:rPr>
        <w:t> </w:t>
      </w:r>
      <w:r>
        <w:rPr/>
        <w:t>-20</w:t>
      </w:r>
      <w:r>
        <w:rPr>
          <w:spacing w:val="-2"/>
        </w:rPr>
        <w:t> </w:t>
      </w:r>
      <w:r>
        <w:rPr/>
        <w:t>°C</w:t>
      </w:r>
      <w:r>
        <w:rPr>
          <w:spacing w:val="-1"/>
        </w:rPr>
        <w:t> </w:t>
      </w:r>
      <w:r>
        <w:rPr/>
        <w:t>o</w:t>
      </w:r>
      <w:r>
        <w:rPr>
          <w:spacing w:val="-2"/>
        </w:rPr>
        <w:t> </w:t>
      </w:r>
      <w:r>
        <w:rPr/>
        <w:t>inferior</w:t>
      </w:r>
      <w:r>
        <w:rPr>
          <w:spacing w:val="-3"/>
        </w:rPr>
        <w:t> </w:t>
      </w:r>
      <w:r>
        <w:rPr/>
        <w:t>hasta</w:t>
      </w:r>
      <w:r>
        <w:rPr>
          <w:spacing w:val="-2"/>
        </w:rPr>
        <w:t> </w:t>
      </w:r>
      <w:r>
        <w:rPr/>
        <w:t>su</w:t>
      </w:r>
      <w:r>
        <w:rPr>
          <w:spacing w:val="-2"/>
        </w:rPr>
        <w:t> </w:t>
      </w:r>
      <w:r>
        <w:rPr/>
        <w:t>análisis;</w:t>
      </w:r>
      <w:r>
        <w:rPr>
          <w:spacing w:val="-3"/>
        </w:rPr>
        <w:t> </w:t>
      </w:r>
      <w:r>
        <w:rPr/>
        <w:t>durante el</w:t>
      </w:r>
      <w:r>
        <w:rPr>
          <w:spacing w:val="-3"/>
        </w:rPr>
        <w:t> </w:t>
      </w:r>
      <w:r>
        <w:rPr/>
        <w:t>transporte</w:t>
      </w:r>
      <w:r>
        <w:rPr>
          <w:spacing w:val="-2"/>
        </w:rPr>
        <w:t> </w:t>
      </w:r>
      <w:r>
        <w:rPr/>
        <w:t>al</w:t>
      </w:r>
      <w:r>
        <w:rPr>
          <w:spacing w:val="-3"/>
        </w:rPr>
        <w:t> </w:t>
      </w:r>
      <w:r>
        <w:rPr/>
        <w:t>laboratorio,</w:t>
      </w:r>
      <w:r>
        <w:rPr>
          <w:spacing w:val="-3"/>
        </w:rPr>
        <w:t> </w:t>
      </w:r>
      <w:r>
        <w:rPr/>
        <w:t>se</w:t>
      </w:r>
      <w:r>
        <w:rPr>
          <w:spacing w:val="-2"/>
        </w:rPr>
        <w:t> </w:t>
      </w:r>
      <w:r>
        <w:rPr/>
        <w:t>garantizó</w:t>
      </w:r>
      <w:r>
        <w:rPr>
          <w:spacing w:val="-3"/>
        </w:rPr>
        <w:t> </w:t>
      </w:r>
      <w:r>
        <w:rPr/>
        <w:t>la</w:t>
      </w:r>
      <w:r>
        <w:rPr>
          <w:spacing w:val="-3"/>
        </w:rPr>
        <w:t> </w:t>
      </w:r>
      <w:r>
        <w:rPr/>
        <w:t>cadena</w:t>
      </w:r>
      <w:r>
        <w:rPr>
          <w:spacing w:val="-2"/>
        </w:rPr>
        <w:t> </w:t>
      </w:r>
      <w:r>
        <w:rPr/>
        <w:t>de</w:t>
      </w:r>
      <w:r>
        <w:rPr>
          <w:spacing w:val="-4"/>
        </w:rPr>
        <w:t> </w:t>
      </w:r>
      <w:r>
        <w:rPr/>
        <w:t>frío</w:t>
      </w:r>
      <w:r>
        <w:rPr>
          <w:spacing w:val="-3"/>
        </w:rPr>
        <w:t> </w:t>
      </w:r>
      <w:r>
        <w:rPr/>
        <w:t>(2–8</w:t>
      </w:r>
      <w:r>
        <w:rPr>
          <w:spacing w:val="-1"/>
        </w:rPr>
        <w:t> </w:t>
      </w:r>
      <w:r>
        <w:rPr/>
        <w:t>°C)</w:t>
      </w:r>
      <w:r>
        <w:rPr>
          <w:spacing w:val="-3"/>
        </w:rPr>
        <w:t> </w:t>
      </w:r>
      <w:r>
        <w:rPr/>
        <w:t>mediante</w:t>
      </w:r>
      <w:r>
        <w:rPr>
          <w:spacing w:val="-4"/>
        </w:rPr>
        <w:t> </w:t>
      </w:r>
      <w:r>
        <w:rPr/>
        <w:t>el</w:t>
      </w:r>
      <w:r>
        <w:rPr>
          <w:spacing w:val="-3"/>
        </w:rPr>
        <w:t> </w:t>
      </w:r>
      <w:r>
        <w:rPr/>
        <w:t>uso de un cooler incorporado con hielo seco o gel refrigerante, verificándose a la recepción la integridad de las muestras para lo cual se verificó la ausencia de hemólisis y conservación del volumen, para finalmente mantenerlas bajo congelación hasta su procesamiento mediante técnicas inmunoturbidimétricas o </w:t>
      </w:r>
      <w:r>
        <w:rPr>
          <w:spacing w:val="-2"/>
        </w:rPr>
        <w:t>ELISA.</w:t>
      </w:r>
    </w:p>
    <w:p>
      <w:pPr>
        <w:spacing w:before="240"/>
        <w:ind w:left="1135" w:right="0" w:firstLine="0"/>
        <w:jc w:val="both"/>
        <w:rPr>
          <w:b/>
          <w:sz w:val="24"/>
        </w:rPr>
      </w:pPr>
      <w:r>
        <w:rPr>
          <w:b/>
          <w:sz w:val="24"/>
        </w:rPr>
        <w:t>Valoración del</w:t>
      </w:r>
      <w:r>
        <w:rPr>
          <w:b/>
          <w:spacing w:val="-1"/>
          <w:sz w:val="24"/>
        </w:rPr>
        <w:t> </w:t>
      </w:r>
      <w:r>
        <w:rPr>
          <w:b/>
          <w:spacing w:val="-2"/>
          <w:sz w:val="24"/>
        </w:rPr>
        <w:t>dolor;</w:t>
      </w:r>
    </w:p>
    <w:p>
      <w:pPr>
        <w:pStyle w:val="BodyText"/>
        <w:spacing w:before="103"/>
        <w:ind w:left="0"/>
        <w:rPr>
          <w:b/>
        </w:rPr>
      </w:pPr>
    </w:p>
    <w:p>
      <w:pPr>
        <w:pStyle w:val="BodyText"/>
        <w:spacing w:line="360" w:lineRule="auto"/>
        <w:ind w:right="846"/>
        <w:jc w:val="both"/>
      </w:pPr>
      <w:r>
        <w:rPr/>
        <w:t>La valoración del dolor se realizó mediante la escala modificada del dolor de Unesp-Botucatu descrita por Oliveira </w:t>
      </w:r>
      <w:r>
        <w:rPr>
          <w:i/>
        </w:rPr>
        <w:t>et al, </w:t>
      </w:r>
      <w:r>
        <w:rPr/>
        <w:t>(2014) y Trevisan </w:t>
      </w:r>
      <w:r>
        <w:rPr>
          <w:i/>
        </w:rPr>
        <w:t>et al</w:t>
      </w:r>
      <w:r>
        <w:rPr/>
        <w:t>, (2022), en donde</w:t>
      </w:r>
      <w:r>
        <w:rPr>
          <w:spacing w:val="-7"/>
        </w:rPr>
        <w:t> </w:t>
      </w:r>
      <w:r>
        <w:rPr/>
        <w:t>se</w:t>
      </w:r>
      <w:r>
        <w:rPr>
          <w:spacing w:val="-7"/>
        </w:rPr>
        <w:t> </w:t>
      </w:r>
      <w:r>
        <w:rPr/>
        <w:t>observó</w:t>
      </w:r>
      <w:r>
        <w:rPr>
          <w:spacing w:val="-6"/>
        </w:rPr>
        <w:t> </w:t>
      </w:r>
      <w:r>
        <w:rPr/>
        <w:t>15</w:t>
      </w:r>
      <w:r>
        <w:rPr>
          <w:spacing w:val="-6"/>
        </w:rPr>
        <w:t> </w:t>
      </w:r>
      <w:r>
        <w:rPr/>
        <w:t>puntos</w:t>
      </w:r>
      <w:r>
        <w:rPr>
          <w:spacing w:val="-5"/>
        </w:rPr>
        <w:t> </w:t>
      </w:r>
      <w:r>
        <w:rPr/>
        <w:t>comportamentales</w:t>
      </w:r>
      <w:r>
        <w:rPr>
          <w:spacing w:val="-6"/>
        </w:rPr>
        <w:t> </w:t>
      </w:r>
      <w:r>
        <w:rPr/>
        <w:t>en</w:t>
      </w:r>
      <w:r>
        <w:rPr>
          <w:spacing w:val="-6"/>
        </w:rPr>
        <w:t> </w:t>
      </w:r>
      <w:r>
        <w:rPr/>
        <w:t>los</w:t>
      </w:r>
      <w:r>
        <w:rPr>
          <w:spacing w:val="-6"/>
        </w:rPr>
        <w:t> </w:t>
      </w:r>
      <w:r>
        <w:rPr/>
        <w:t>teneros,</w:t>
      </w:r>
      <w:r>
        <w:rPr>
          <w:spacing w:val="-6"/>
        </w:rPr>
        <w:t> </w:t>
      </w:r>
      <w:r>
        <w:rPr/>
        <w:t>donde</w:t>
      </w:r>
      <w:r>
        <w:rPr>
          <w:spacing w:val="-7"/>
        </w:rPr>
        <w:t> </w:t>
      </w:r>
      <w:r>
        <w:rPr/>
        <w:t>menor</w:t>
      </w:r>
      <w:r>
        <w:rPr>
          <w:spacing w:val="-5"/>
        </w:rPr>
        <w:t> </w:t>
      </w:r>
      <w:r>
        <w:rPr/>
        <w:t>o</w:t>
      </w:r>
      <w:r>
        <w:rPr>
          <w:spacing w:val="-6"/>
        </w:rPr>
        <w:t> </w:t>
      </w:r>
      <w:r>
        <w:rPr/>
        <w:t>igual 1 el animal no presenta dolor y mayor o igual a 5 el animal presente un dolor moderado y valores superiores a 5 indicarán la presencia de dolor muy fuerte.</w:t>
      </w:r>
    </w:p>
    <w:p>
      <w:pPr>
        <w:spacing w:before="240"/>
        <w:ind w:left="1135" w:right="0" w:firstLine="0"/>
        <w:jc w:val="both"/>
        <w:rPr>
          <w:b/>
          <w:sz w:val="24"/>
        </w:rPr>
      </w:pPr>
      <w:r>
        <w:rPr>
          <w:b/>
          <w:sz w:val="24"/>
        </w:rPr>
        <w:t>Análisis de</w:t>
      </w:r>
      <w:r>
        <w:rPr>
          <w:b/>
          <w:spacing w:val="-3"/>
          <w:sz w:val="24"/>
        </w:rPr>
        <w:t> </w:t>
      </w:r>
      <w:r>
        <w:rPr>
          <w:b/>
          <w:spacing w:val="-4"/>
          <w:sz w:val="24"/>
        </w:rPr>
        <w:t>datos</w:t>
      </w:r>
    </w:p>
    <w:p>
      <w:pPr>
        <w:pStyle w:val="BodyText"/>
        <w:spacing w:before="101"/>
        <w:ind w:left="0"/>
        <w:rPr>
          <w:b/>
        </w:rPr>
      </w:pPr>
    </w:p>
    <w:p>
      <w:pPr>
        <w:pStyle w:val="BodyText"/>
        <w:spacing w:line="360" w:lineRule="auto"/>
        <w:ind w:right="849"/>
        <w:jc w:val="both"/>
      </w:pPr>
      <w:r>
        <w:rPr/>
        <w:t>Los resultados fueron analizados mediante la ayuda de paquetes estadísticos SAS, SPSS, para medir el efecto de los protocolos de analgesia multimodal sobre los parámetros</w:t>
      </w:r>
      <w:r>
        <w:rPr>
          <w:spacing w:val="-6"/>
        </w:rPr>
        <w:t> </w:t>
      </w:r>
      <w:r>
        <w:rPr/>
        <w:t>conductuales</w:t>
      </w:r>
      <w:r>
        <w:rPr>
          <w:spacing w:val="-1"/>
        </w:rPr>
        <w:t> </w:t>
      </w:r>
      <w:r>
        <w:rPr/>
        <w:t>y</w:t>
      </w:r>
      <w:r>
        <w:rPr>
          <w:spacing w:val="-13"/>
        </w:rPr>
        <w:t> </w:t>
      </w:r>
      <w:r>
        <w:rPr/>
        <w:t>fisiológicos</w:t>
      </w:r>
      <w:r>
        <w:rPr>
          <w:spacing w:val="-1"/>
        </w:rPr>
        <w:t> </w:t>
      </w:r>
      <w:r>
        <w:rPr/>
        <w:t>en</w:t>
      </w:r>
      <w:r>
        <w:rPr>
          <w:spacing w:val="-8"/>
        </w:rPr>
        <w:t> </w:t>
      </w:r>
      <w:r>
        <w:rPr/>
        <w:t>procedimientos</w:t>
      </w:r>
      <w:r>
        <w:rPr>
          <w:spacing w:val="-4"/>
        </w:rPr>
        <w:t> </w:t>
      </w:r>
      <w:r>
        <w:rPr/>
        <w:t>de</w:t>
      </w:r>
      <w:r>
        <w:rPr>
          <w:spacing w:val="-9"/>
        </w:rPr>
        <w:t> </w:t>
      </w:r>
      <w:r>
        <w:rPr/>
        <w:t>descorne</w:t>
      </w:r>
      <w:r>
        <w:rPr>
          <w:spacing w:val="-7"/>
        </w:rPr>
        <w:t> </w:t>
      </w:r>
      <w:r>
        <w:rPr/>
        <w:t>en</w:t>
      </w:r>
      <w:r>
        <w:rPr>
          <w:spacing w:val="-6"/>
        </w:rPr>
        <w:t> </w:t>
      </w:r>
      <w:r>
        <w:rPr/>
        <w:t>terneros.</w:t>
      </w:r>
    </w:p>
    <w:p>
      <w:pPr>
        <w:pStyle w:val="BodyText"/>
        <w:spacing w:after="0" w:line="360" w:lineRule="auto"/>
        <w:jc w:val="both"/>
        <w:sectPr>
          <w:pgSz w:w="11900" w:h="16860"/>
          <w:pgMar w:header="0" w:footer="1084" w:top="1620" w:bottom="1280" w:left="1133" w:right="850"/>
        </w:sectPr>
      </w:pPr>
    </w:p>
    <w:p>
      <w:pPr>
        <w:pStyle w:val="Heading1"/>
      </w:pPr>
      <w:r>
        <w:rPr/>
        <w:t>CAPÍTULO</w:t>
      </w:r>
      <w:r>
        <w:rPr>
          <w:spacing w:val="-1"/>
        </w:rPr>
        <w:t> </w:t>
      </w:r>
      <w:r>
        <w:rPr/>
        <w:t>IV.</w:t>
      </w:r>
      <w:r>
        <w:rPr>
          <w:spacing w:val="-1"/>
        </w:rPr>
        <w:t> </w:t>
      </w:r>
      <w:r>
        <w:rPr/>
        <w:t>RESULTADOS Y </w:t>
      </w:r>
      <w:r>
        <w:rPr>
          <w:spacing w:val="-2"/>
        </w:rPr>
        <w:t>DISCUSIÓN.</w:t>
      </w:r>
    </w:p>
    <w:p>
      <w:pPr>
        <w:pStyle w:val="BodyText"/>
        <w:spacing w:before="101"/>
        <w:ind w:left="0"/>
        <w:rPr>
          <w:b/>
        </w:rPr>
      </w:pPr>
    </w:p>
    <w:p>
      <w:pPr>
        <w:pStyle w:val="Heading3"/>
        <w:spacing w:before="0"/>
      </w:pPr>
      <w:bookmarkStart w:name="_bookmark51" w:id="52"/>
      <w:bookmarkEnd w:id="52"/>
      <w:r>
        <w:rPr>
          <w:b w:val="0"/>
          <w:i w:val="0"/>
        </w:rPr>
      </w:r>
      <w:r>
        <w:rPr/>
        <w:t>Tabla </w:t>
      </w:r>
      <w:r>
        <w:rPr>
          <w:spacing w:val="-10"/>
        </w:rPr>
        <w:t>6</w:t>
      </w:r>
    </w:p>
    <w:p>
      <w:pPr>
        <w:spacing w:line="360" w:lineRule="auto" w:before="140" w:after="6"/>
        <w:ind w:left="1135" w:right="793" w:firstLine="0"/>
        <w:jc w:val="left"/>
        <w:rPr>
          <w:i/>
          <w:sz w:val="24"/>
        </w:rPr>
      </w:pPr>
      <w:r>
        <w:rPr>
          <w:i/>
          <w:sz w:val="24"/>
        </w:rPr>
        <w:t>Promedio</w:t>
      </w:r>
      <w:r>
        <w:rPr>
          <w:i/>
          <w:spacing w:val="-4"/>
          <w:sz w:val="24"/>
        </w:rPr>
        <w:t> </w:t>
      </w:r>
      <w:r>
        <w:rPr>
          <w:i/>
          <w:sz w:val="24"/>
        </w:rPr>
        <w:t>de</w:t>
      </w:r>
      <w:r>
        <w:rPr>
          <w:i/>
          <w:spacing w:val="-4"/>
          <w:sz w:val="24"/>
        </w:rPr>
        <w:t> </w:t>
      </w:r>
      <w:r>
        <w:rPr>
          <w:i/>
          <w:sz w:val="24"/>
        </w:rPr>
        <w:t>frecuencia</w:t>
      </w:r>
      <w:r>
        <w:rPr>
          <w:i/>
          <w:spacing w:val="-3"/>
          <w:sz w:val="24"/>
        </w:rPr>
        <w:t> </w:t>
      </w:r>
      <w:r>
        <w:rPr>
          <w:i/>
          <w:sz w:val="24"/>
        </w:rPr>
        <w:t>cardiaca,</w:t>
      </w:r>
      <w:r>
        <w:rPr>
          <w:i/>
          <w:spacing w:val="-4"/>
          <w:sz w:val="24"/>
        </w:rPr>
        <w:t> </w:t>
      </w:r>
      <w:r>
        <w:rPr>
          <w:i/>
          <w:sz w:val="24"/>
        </w:rPr>
        <w:t>respiratoria</w:t>
      </w:r>
      <w:r>
        <w:rPr>
          <w:i/>
          <w:spacing w:val="-4"/>
          <w:sz w:val="24"/>
        </w:rPr>
        <w:t> </w:t>
      </w:r>
      <w:r>
        <w:rPr>
          <w:i/>
          <w:sz w:val="24"/>
        </w:rPr>
        <w:t>antes</w:t>
      </w:r>
      <w:r>
        <w:rPr>
          <w:i/>
          <w:spacing w:val="-4"/>
          <w:sz w:val="24"/>
        </w:rPr>
        <w:t> </w:t>
      </w:r>
      <w:r>
        <w:rPr>
          <w:i/>
          <w:sz w:val="24"/>
        </w:rPr>
        <w:t>y</w:t>
      </w:r>
      <w:r>
        <w:rPr>
          <w:i/>
          <w:spacing w:val="-5"/>
          <w:sz w:val="24"/>
        </w:rPr>
        <w:t> </w:t>
      </w:r>
      <w:r>
        <w:rPr>
          <w:i/>
          <w:sz w:val="24"/>
        </w:rPr>
        <w:t>después</w:t>
      </w:r>
      <w:r>
        <w:rPr>
          <w:i/>
          <w:spacing w:val="-4"/>
          <w:sz w:val="24"/>
        </w:rPr>
        <w:t> </w:t>
      </w:r>
      <w:r>
        <w:rPr>
          <w:i/>
          <w:sz w:val="24"/>
        </w:rPr>
        <w:t>del</w:t>
      </w:r>
      <w:r>
        <w:rPr>
          <w:i/>
          <w:spacing w:val="-4"/>
          <w:sz w:val="24"/>
        </w:rPr>
        <w:t> </w:t>
      </w:r>
      <w:r>
        <w:rPr>
          <w:i/>
          <w:sz w:val="24"/>
        </w:rPr>
        <w:t>descorne (latidos/min) con los efectos de tratamientos analgésicos</w:t>
      </w:r>
    </w:p>
    <w:tbl>
      <w:tblPr>
        <w:tblW w:w="0" w:type="auto"/>
        <w:jc w:val="left"/>
        <w:tblInd w:w="1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17"/>
        <w:gridCol w:w="1092"/>
        <w:gridCol w:w="1083"/>
        <w:gridCol w:w="1206"/>
        <w:gridCol w:w="1208"/>
        <w:gridCol w:w="1264"/>
        <w:gridCol w:w="1269"/>
      </w:tblGrid>
      <w:tr>
        <w:trPr>
          <w:trHeight w:val="1245" w:hRule="atLeast"/>
        </w:trPr>
        <w:tc>
          <w:tcPr>
            <w:tcW w:w="1217" w:type="dxa"/>
            <w:tcBorders>
              <w:top w:val="single" w:sz="4" w:space="0" w:color="7E7E7E"/>
              <w:bottom w:val="single" w:sz="4" w:space="0" w:color="7E7E7E"/>
            </w:tcBorders>
          </w:tcPr>
          <w:p>
            <w:pPr>
              <w:pStyle w:val="TableParagraph"/>
              <w:spacing w:line="207" w:lineRule="exact"/>
              <w:ind w:left="122"/>
              <w:rPr>
                <w:b/>
                <w:sz w:val="18"/>
              </w:rPr>
            </w:pPr>
            <w:r>
              <w:rPr>
                <w:b/>
                <w:spacing w:val="-2"/>
                <w:sz w:val="18"/>
              </w:rPr>
              <w:t>Tratamiento</w:t>
            </w:r>
          </w:p>
        </w:tc>
        <w:tc>
          <w:tcPr>
            <w:tcW w:w="1092" w:type="dxa"/>
            <w:tcBorders>
              <w:top w:val="single" w:sz="4" w:space="0" w:color="7E7E7E"/>
              <w:bottom w:val="single" w:sz="4" w:space="0" w:color="7E7E7E"/>
            </w:tcBorders>
          </w:tcPr>
          <w:p>
            <w:pPr>
              <w:pStyle w:val="TableParagraph"/>
              <w:spacing w:line="360" w:lineRule="auto"/>
              <w:ind w:left="127"/>
              <w:rPr>
                <w:b/>
                <w:sz w:val="18"/>
              </w:rPr>
            </w:pPr>
            <w:r>
              <w:rPr>
                <w:b/>
                <w:spacing w:val="-2"/>
                <w:sz w:val="18"/>
              </w:rPr>
              <w:t>Frecuencia Cardíaca (lat/min)</w:t>
            </w:r>
          </w:p>
        </w:tc>
        <w:tc>
          <w:tcPr>
            <w:tcW w:w="1083" w:type="dxa"/>
            <w:tcBorders>
              <w:top w:val="single" w:sz="4" w:space="0" w:color="7E7E7E"/>
              <w:bottom w:val="single" w:sz="4" w:space="0" w:color="7E7E7E"/>
            </w:tcBorders>
          </w:tcPr>
          <w:p>
            <w:pPr>
              <w:pStyle w:val="TableParagraph"/>
              <w:spacing w:line="360" w:lineRule="auto"/>
              <w:ind w:left="118"/>
              <w:rPr>
                <w:b/>
                <w:sz w:val="18"/>
              </w:rPr>
            </w:pPr>
            <w:r>
              <w:rPr>
                <w:b/>
                <w:spacing w:val="-2"/>
                <w:sz w:val="18"/>
              </w:rPr>
              <w:t>Frecuencia Cardíaca (lat/min)</w:t>
            </w:r>
          </w:p>
        </w:tc>
        <w:tc>
          <w:tcPr>
            <w:tcW w:w="1206" w:type="dxa"/>
            <w:tcBorders>
              <w:top w:val="single" w:sz="4" w:space="0" w:color="7E7E7E"/>
              <w:bottom w:val="single" w:sz="4" w:space="0" w:color="7E7E7E"/>
            </w:tcBorders>
          </w:tcPr>
          <w:p>
            <w:pPr>
              <w:pStyle w:val="TableParagraph"/>
              <w:spacing w:line="360" w:lineRule="auto"/>
              <w:ind w:left="119"/>
              <w:rPr>
                <w:b/>
                <w:sz w:val="18"/>
              </w:rPr>
            </w:pPr>
            <w:r>
              <w:rPr>
                <w:b/>
                <w:spacing w:val="-2"/>
                <w:sz w:val="18"/>
              </w:rPr>
              <w:t>Frecuencia Respiratoria (resp/min)</w:t>
            </w:r>
          </w:p>
        </w:tc>
        <w:tc>
          <w:tcPr>
            <w:tcW w:w="1208" w:type="dxa"/>
            <w:tcBorders>
              <w:top w:val="single" w:sz="4" w:space="0" w:color="7E7E7E"/>
              <w:bottom w:val="single" w:sz="4" w:space="0" w:color="7E7E7E"/>
            </w:tcBorders>
          </w:tcPr>
          <w:p>
            <w:pPr>
              <w:pStyle w:val="TableParagraph"/>
              <w:spacing w:line="360" w:lineRule="auto"/>
              <w:ind w:left="121"/>
              <w:rPr>
                <w:b/>
                <w:sz w:val="18"/>
              </w:rPr>
            </w:pPr>
            <w:r>
              <w:rPr>
                <w:b/>
                <w:spacing w:val="-2"/>
                <w:sz w:val="18"/>
              </w:rPr>
              <w:t>Frecuencia Respiratoria (resp/min)</w:t>
            </w:r>
          </w:p>
        </w:tc>
        <w:tc>
          <w:tcPr>
            <w:tcW w:w="1264" w:type="dxa"/>
            <w:tcBorders>
              <w:top w:val="single" w:sz="4" w:space="0" w:color="7E7E7E"/>
              <w:bottom w:val="single" w:sz="4" w:space="0" w:color="7E7E7E"/>
            </w:tcBorders>
          </w:tcPr>
          <w:p>
            <w:pPr>
              <w:pStyle w:val="TableParagraph"/>
              <w:spacing w:line="360" w:lineRule="auto"/>
              <w:ind w:left="121" w:right="115"/>
              <w:rPr>
                <w:b/>
                <w:sz w:val="18"/>
              </w:rPr>
            </w:pPr>
            <w:r>
              <w:rPr>
                <w:b/>
                <w:spacing w:val="-2"/>
                <w:sz w:val="18"/>
              </w:rPr>
              <w:t>Temperatura Corporal</w:t>
            </w:r>
            <w:r>
              <w:rPr>
                <w:b/>
                <w:spacing w:val="40"/>
                <w:sz w:val="18"/>
              </w:rPr>
              <w:t> </w:t>
            </w:r>
            <w:r>
              <w:rPr>
                <w:b/>
                <w:spacing w:val="-4"/>
                <w:sz w:val="18"/>
              </w:rPr>
              <w:t>(°C)</w:t>
            </w:r>
          </w:p>
        </w:tc>
        <w:tc>
          <w:tcPr>
            <w:tcW w:w="1269" w:type="dxa"/>
            <w:tcBorders>
              <w:top w:val="single" w:sz="4" w:space="0" w:color="7E7E7E"/>
              <w:bottom w:val="single" w:sz="4" w:space="0" w:color="7E7E7E"/>
            </w:tcBorders>
          </w:tcPr>
          <w:p>
            <w:pPr>
              <w:pStyle w:val="TableParagraph"/>
              <w:spacing w:line="360" w:lineRule="auto"/>
              <w:ind w:left="117" w:right="124"/>
              <w:rPr>
                <w:b/>
                <w:sz w:val="18"/>
              </w:rPr>
            </w:pPr>
            <w:r>
              <w:rPr>
                <w:b/>
                <w:spacing w:val="-2"/>
                <w:sz w:val="18"/>
              </w:rPr>
              <w:t>Temperatura Corporal</w:t>
            </w:r>
            <w:r>
              <w:rPr>
                <w:b/>
                <w:spacing w:val="40"/>
                <w:sz w:val="18"/>
              </w:rPr>
              <w:t> </w:t>
            </w:r>
            <w:r>
              <w:rPr>
                <w:b/>
                <w:spacing w:val="-4"/>
                <w:sz w:val="18"/>
              </w:rPr>
              <w:t>(°C)</w:t>
            </w:r>
          </w:p>
        </w:tc>
      </w:tr>
      <w:tr>
        <w:trPr>
          <w:trHeight w:val="890" w:hRule="atLeast"/>
        </w:trPr>
        <w:tc>
          <w:tcPr>
            <w:tcW w:w="1217" w:type="dxa"/>
            <w:tcBorders>
              <w:top w:val="single" w:sz="4" w:space="0" w:color="7E7E7E"/>
            </w:tcBorders>
          </w:tcPr>
          <w:p>
            <w:pPr>
              <w:pStyle w:val="TableParagraph"/>
              <w:rPr>
                <w:sz w:val="20"/>
              </w:rPr>
            </w:pPr>
          </w:p>
        </w:tc>
        <w:tc>
          <w:tcPr>
            <w:tcW w:w="1092" w:type="dxa"/>
            <w:tcBorders>
              <w:top w:val="single" w:sz="4" w:space="0" w:color="7E7E7E"/>
            </w:tcBorders>
          </w:tcPr>
          <w:p>
            <w:pPr>
              <w:pStyle w:val="TableParagraph"/>
              <w:spacing w:line="362" w:lineRule="auto"/>
              <w:ind w:left="127" w:right="272"/>
              <w:rPr>
                <w:sz w:val="18"/>
              </w:rPr>
            </w:pPr>
            <w:r>
              <w:rPr>
                <w:sz w:val="18"/>
              </w:rPr>
              <w:t>Antes</w:t>
            </w:r>
            <w:r>
              <w:rPr>
                <w:spacing w:val="-12"/>
                <w:sz w:val="18"/>
              </w:rPr>
              <w:t> </w:t>
            </w:r>
            <w:r>
              <w:rPr>
                <w:sz w:val="18"/>
              </w:rPr>
              <w:t>del </w:t>
            </w:r>
            <w:r>
              <w:rPr>
                <w:spacing w:val="-2"/>
                <w:sz w:val="18"/>
              </w:rPr>
              <w:t>descorne</w:t>
            </w:r>
          </w:p>
        </w:tc>
        <w:tc>
          <w:tcPr>
            <w:tcW w:w="1083" w:type="dxa"/>
            <w:tcBorders>
              <w:top w:val="single" w:sz="4" w:space="0" w:color="7E7E7E"/>
            </w:tcBorders>
          </w:tcPr>
          <w:p>
            <w:pPr>
              <w:pStyle w:val="TableParagraph"/>
              <w:ind w:left="118"/>
              <w:rPr>
                <w:sz w:val="18"/>
              </w:rPr>
            </w:pPr>
            <w:r>
              <w:rPr>
                <w:spacing w:val="-2"/>
                <w:sz w:val="18"/>
              </w:rPr>
              <w:t>Después</w:t>
            </w:r>
          </w:p>
          <w:p>
            <w:pPr>
              <w:pStyle w:val="TableParagraph"/>
              <w:spacing w:line="310" w:lineRule="atLeast" w:before="2"/>
              <w:ind w:left="118" w:right="321"/>
              <w:rPr>
                <w:sz w:val="18"/>
              </w:rPr>
            </w:pPr>
            <w:r>
              <w:rPr>
                <w:spacing w:val="-4"/>
                <w:sz w:val="18"/>
              </w:rPr>
              <w:t>del </w:t>
            </w:r>
            <w:r>
              <w:rPr>
                <w:spacing w:val="-2"/>
                <w:sz w:val="18"/>
              </w:rPr>
              <w:t>descorné</w:t>
            </w:r>
          </w:p>
        </w:tc>
        <w:tc>
          <w:tcPr>
            <w:tcW w:w="1206" w:type="dxa"/>
            <w:tcBorders>
              <w:top w:val="single" w:sz="4" w:space="0" w:color="7E7E7E"/>
            </w:tcBorders>
          </w:tcPr>
          <w:p>
            <w:pPr>
              <w:pStyle w:val="TableParagraph"/>
              <w:spacing w:line="362" w:lineRule="auto"/>
              <w:ind w:left="119" w:right="394"/>
              <w:rPr>
                <w:sz w:val="18"/>
              </w:rPr>
            </w:pPr>
            <w:r>
              <w:rPr>
                <w:sz w:val="18"/>
              </w:rPr>
              <w:t>Antes</w:t>
            </w:r>
            <w:r>
              <w:rPr>
                <w:spacing w:val="-12"/>
                <w:sz w:val="18"/>
              </w:rPr>
              <w:t> </w:t>
            </w:r>
            <w:r>
              <w:rPr>
                <w:sz w:val="18"/>
              </w:rPr>
              <w:t>del </w:t>
            </w:r>
            <w:r>
              <w:rPr>
                <w:spacing w:val="-2"/>
                <w:sz w:val="18"/>
              </w:rPr>
              <w:t>descorne</w:t>
            </w:r>
          </w:p>
        </w:tc>
        <w:tc>
          <w:tcPr>
            <w:tcW w:w="1208" w:type="dxa"/>
            <w:tcBorders>
              <w:top w:val="single" w:sz="4" w:space="0" w:color="7E7E7E"/>
            </w:tcBorders>
          </w:tcPr>
          <w:p>
            <w:pPr>
              <w:pStyle w:val="TableParagraph"/>
              <w:spacing w:line="362" w:lineRule="auto"/>
              <w:ind w:left="121" w:right="204"/>
              <w:rPr>
                <w:sz w:val="18"/>
              </w:rPr>
            </w:pPr>
            <w:r>
              <w:rPr>
                <w:sz w:val="18"/>
              </w:rPr>
              <w:t>Después</w:t>
            </w:r>
            <w:r>
              <w:rPr>
                <w:spacing w:val="-12"/>
                <w:sz w:val="18"/>
              </w:rPr>
              <w:t> </w:t>
            </w:r>
            <w:r>
              <w:rPr>
                <w:sz w:val="18"/>
              </w:rPr>
              <w:t>del </w:t>
            </w:r>
            <w:r>
              <w:rPr>
                <w:spacing w:val="-2"/>
                <w:sz w:val="18"/>
              </w:rPr>
              <w:t>descorne</w:t>
            </w:r>
          </w:p>
        </w:tc>
        <w:tc>
          <w:tcPr>
            <w:tcW w:w="1264" w:type="dxa"/>
            <w:tcBorders>
              <w:top w:val="single" w:sz="4" w:space="0" w:color="7E7E7E"/>
            </w:tcBorders>
          </w:tcPr>
          <w:p>
            <w:pPr>
              <w:pStyle w:val="TableParagraph"/>
              <w:spacing w:line="362" w:lineRule="auto"/>
              <w:ind w:left="121" w:right="450"/>
              <w:rPr>
                <w:sz w:val="18"/>
              </w:rPr>
            </w:pPr>
            <w:r>
              <w:rPr>
                <w:sz w:val="18"/>
              </w:rPr>
              <w:t>Antes</w:t>
            </w:r>
            <w:r>
              <w:rPr>
                <w:spacing w:val="-12"/>
                <w:sz w:val="18"/>
              </w:rPr>
              <w:t> </w:t>
            </w:r>
            <w:r>
              <w:rPr>
                <w:sz w:val="18"/>
              </w:rPr>
              <w:t>del </w:t>
            </w:r>
            <w:r>
              <w:rPr>
                <w:spacing w:val="-2"/>
                <w:sz w:val="18"/>
              </w:rPr>
              <w:t>descorne</w:t>
            </w:r>
          </w:p>
        </w:tc>
        <w:tc>
          <w:tcPr>
            <w:tcW w:w="1269" w:type="dxa"/>
            <w:tcBorders>
              <w:top w:val="single" w:sz="4" w:space="0" w:color="7E7E7E"/>
            </w:tcBorders>
          </w:tcPr>
          <w:p>
            <w:pPr>
              <w:pStyle w:val="TableParagraph"/>
              <w:spacing w:line="362" w:lineRule="auto"/>
              <w:ind w:left="117" w:right="269"/>
              <w:rPr>
                <w:sz w:val="18"/>
              </w:rPr>
            </w:pPr>
            <w:r>
              <w:rPr>
                <w:sz w:val="18"/>
              </w:rPr>
              <w:t>Después</w:t>
            </w:r>
            <w:r>
              <w:rPr>
                <w:spacing w:val="-12"/>
                <w:sz w:val="18"/>
              </w:rPr>
              <w:t> </w:t>
            </w:r>
            <w:r>
              <w:rPr>
                <w:sz w:val="18"/>
              </w:rPr>
              <w:t>del </w:t>
            </w:r>
            <w:r>
              <w:rPr>
                <w:spacing w:val="-2"/>
                <w:sz w:val="18"/>
              </w:rPr>
              <w:t>descorne</w:t>
            </w:r>
          </w:p>
        </w:tc>
      </w:tr>
      <w:tr>
        <w:trPr>
          <w:trHeight w:val="332" w:hRule="atLeast"/>
        </w:trPr>
        <w:tc>
          <w:tcPr>
            <w:tcW w:w="1217" w:type="dxa"/>
          </w:tcPr>
          <w:p>
            <w:pPr>
              <w:pStyle w:val="TableParagraph"/>
              <w:spacing w:before="53"/>
              <w:ind w:left="122"/>
              <w:rPr>
                <w:sz w:val="18"/>
              </w:rPr>
            </w:pPr>
            <w:r>
              <w:rPr>
                <w:sz w:val="18"/>
              </w:rPr>
              <w:t>T0</w:t>
            </w:r>
            <w:r>
              <w:rPr>
                <w:spacing w:val="-1"/>
                <w:sz w:val="18"/>
              </w:rPr>
              <w:t> </w:t>
            </w:r>
            <w:r>
              <w:rPr>
                <w:spacing w:val="-2"/>
                <w:sz w:val="18"/>
              </w:rPr>
              <w:t>(Testigo)</w:t>
            </w:r>
          </w:p>
        </w:tc>
        <w:tc>
          <w:tcPr>
            <w:tcW w:w="1092" w:type="dxa"/>
          </w:tcPr>
          <w:p>
            <w:pPr>
              <w:pStyle w:val="TableParagraph"/>
              <w:spacing w:before="53"/>
              <w:ind w:left="127"/>
              <w:rPr>
                <w:sz w:val="18"/>
              </w:rPr>
            </w:pPr>
            <w:r>
              <w:rPr>
                <w:spacing w:val="-2"/>
                <w:sz w:val="18"/>
              </w:rPr>
              <w:t>96.50</w:t>
            </w:r>
          </w:p>
        </w:tc>
        <w:tc>
          <w:tcPr>
            <w:tcW w:w="1083" w:type="dxa"/>
          </w:tcPr>
          <w:p>
            <w:pPr>
              <w:pStyle w:val="TableParagraph"/>
              <w:spacing w:before="53"/>
              <w:ind w:left="101" w:right="122"/>
              <w:jc w:val="center"/>
              <w:rPr>
                <w:rFonts w:ascii="Cambria Math"/>
                <w:sz w:val="18"/>
              </w:rPr>
            </w:pPr>
            <w:r>
              <w:rPr>
                <w:rFonts w:ascii="Cambria Math"/>
                <w:spacing w:val="-2"/>
                <w:sz w:val="18"/>
              </w:rPr>
              <w:t>126.75</w:t>
            </w:r>
          </w:p>
        </w:tc>
        <w:tc>
          <w:tcPr>
            <w:tcW w:w="1206" w:type="dxa"/>
          </w:tcPr>
          <w:p>
            <w:pPr>
              <w:pStyle w:val="TableParagraph"/>
              <w:spacing w:before="53"/>
              <w:ind w:left="119"/>
              <w:rPr>
                <w:sz w:val="18"/>
              </w:rPr>
            </w:pPr>
            <w:r>
              <w:rPr>
                <w:spacing w:val="-2"/>
                <w:sz w:val="18"/>
              </w:rPr>
              <w:t>28.75</w:t>
            </w:r>
          </w:p>
        </w:tc>
        <w:tc>
          <w:tcPr>
            <w:tcW w:w="1208" w:type="dxa"/>
          </w:tcPr>
          <w:p>
            <w:pPr>
              <w:pStyle w:val="TableParagraph"/>
              <w:spacing w:before="53"/>
              <w:ind w:left="325"/>
              <w:rPr>
                <w:rFonts w:ascii="Cambria Math"/>
                <w:sz w:val="18"/>
              </w:rPr>
            </w:pPr>
            <w:r>
              <w:rPr>
                <w:rFonts w:ascii="Cambria Math"/>
                <w:spacing w:val="-2"/>
                <w:sz w:val="18"/>
              </w:rPr>
              <w:t>42.00</w:t>
            </w:r>
          </w:p>
        </w:tc>
        <w:tc>
          <w:tcPr>
            <w:tcW w:w="1264" w:type="dxa"/>
          </w:tcPr>
          <w:p>
            <w:pPr>
              <w:pStyle w:val="TableParagraph"/>
              <w:spacing w:before="53"/>
              <w:ind w:left="121"/>
              <w:rPr>
                <w:sz w:val="18"/>
              </w:rPr>
            </w:pPr>
            <w:r>
              <w:rPr>
                <w:spacing w:val="-2"/>
                <w:sz w:val="18"/>
              </w:rPr>
              <w:t>38.55</w:t>
            </w:r>
          </w:p>
        </w:tc>
        <w:tc>
          <w:tcPr>
            <w:tcW w:w="1269" w:type="dxa"/>
          </w:tcPr>
          <w:p>
            <w:pPr>
              <w:pStyle w:val="TableParagraph"/>
              <w:spacing w:before="53"/>
              <w:ind w:left="352"/>
              <w:rPr>
                <w:rFonts w:ascii="Cambria Math"/>
                <w:sz w:val="18"/>
              </w:rPr>
            </w:pPr>
            <w:r>
              <w:rPr>
                <w:rFonts w:ascii="Cambria Math"/>
                <w:spacing w:val="-2"/>
                <w:sz w:val="18"/>
              </w:rPr>
              <w:t>39.75</w:t>
            </w:r>
          </w:p>
        </w:tc>
      </w:tr>
      <w:tr>
        <w:trPr>
          <w:trHeight w:val="321" w:hRule="atLeast"/>
        </w:trPr>
        <w:tc>
          <w:tcPr>
            <w:tcW w:w="1217" w:type="dxa"/>
          </w:tcPr>
          <w:p>
            <w:pPr>
              <w:pStyle w:val="TableParagraph"/>
              <w:rPr>
                <w:sz w:val="20"/>
              </w:rPr>
            </w:pPr>
          </w:p>
        </w:tc>
        <w:tc>
          <w:tcPr>
            <w:tcW w:w="1092" w:type="dxa"/>
          </w:tcPr>
          <w:p>
            <w:pPr>
              <w:pStyle w:val="TableParagraph"/>
              <w:rPr>
                <w:sz w:val="20"/>
              </w:rPr>
            </w:pPr>
          </w:p>
        </w:tc>
        <w:tc>
          <w:tcPr>
            <w:tcW w:w="1083" w:type="dxa"/>
          </w:tcPr>
          <w:p>
            <w:pPr>
              <w:pStyle w:val="TableParagraph"/>
              <w:spacing w:before="49"/>
              <w:ind w:left="136" w:right="122"/>
              <w:jc w:val="center"/>
              <w:rPr>
                <w:sz w:val="18"/>
              </w:rPr>
            </w:pPr>
            <w:r>
              <w:rPr>
                <w:rFonts w:ascii="Cambria Math" w:hAnsi="Cambria Math"/>
                <w:sz w:val="18"/>
              </w:rPr>
              <w:t>±</w:t>
            </w:r>
            <w:r>
              <w:rPr>
                <w:rFonts w:ascii="Cambria Math" w:hAnsi="Cambria Math"/>
                <w:spacing w:val="1"/>
                <w:sz w:val="18"/>
              </w:rPr>
              <w:t> </w:t>
            </w:r>
            <w:r>
              <w:rPr>
                <w:rFonts w:ascii="Cambria Math" w:hAnsi="Cambria Math"/>
                <w:spacing w:val="-2"/>
                <w:sz w:val="18"/>
              </w:rPr>
              <w:t>3.50</w:t>
            </w:r>
            <w:r>
              <w:rPr>
                <w:spacing w:val="-2"/>
                <w:sz w:val="18"/>
                <w:vertAlign w:val="superscript"/>
              </w:rPr>
              <w:t>b</w:t>
            </w:r>
          </w:p>
        </w:tc>
        <w:tc>
          <w:tcPr>
            <w:tcW w:w="1206" w:type="dxa"/>
          </w:tcPr>
          <w:p>
            <w:pPr>
              <w:pStyle w:val="TableParagraph"/>
              <w:rPr>
                <w:sz w:val="20"/>
              </w:rPr>
            </w:pPr>
          </w:p>
        </w:tc>
        <w:tc>
          <w:tcPr>
            <w:tcW w:w="1208" w:type="dxa"/>
          </w:tcPr>
          <w:p>
            <w:pPr>
              <w:pStyle w:val="TableParagraph"/>
              <w:spacing w:before="49"/>
              <w:ind w:left="325"/>
              <w:rPr>
                <w:sz w:val="18"/>
              </w:rPr>
            </w:pPr>
            <w:r>
              <w:rPr>
                <w:rFonts w:ascii="Cambria Math" w:hAnsi="Cambria Math"/>
                <w:sz w:val="18"/>
              </w:rPr>
              <w:t>±</w:t>
            </w:r>
            <w:r>
              <w:rPr>
                <w:rFonts w:ascii="Cambria Math" w:hAnsi="Cambria Math"/>
                <w:spacing w:val="1"/>
                <w:sz w:val="18"/>
              </w:rPr>
              <w:t> </w:t>
            </w:r>
            <w:r>
              <w:rPr>
                <w:rFonts w:ascii="Cambria Math" w:hAnsi="Cambria Math"/>
                <w:spacing w:val="-2"/>
                <w:sz w:val="18"/>
              </w:rPr>
              <w:t>6.93</w:t>
            </w:r>
            <w:r>
              <w:rPr>
                <w:spacing w:val="-2"/>
                <w:sz w:val="18"/>
                <w:vertAlign w:val="superscript"/>
              </w:rPr>
              <w:t>b</w:t>
            </w:r>
          </w:p>
        </w:tc>
        <w:tc>
          <w:tcPr>
            <w:tcW w:w="1264" w:type="dxa"/>
          </w:tcPr>
          <w:p>
            <w:pPr>
              <w:pStyle w:val="TableParagraph"/>
              <w:rPr>
                <w:sz w:val="20"/>
              </w:rPr>
            </w:pPr>
          </w:p>
        </w:tc>
        <w:tc>
          <w:tcPr>
            <w:tcW w:w="1269" w:type="dxa"/>
          </w:tcPr>
          <w:p>
            <w:pPr>
              <w:pStyle w:val="TableParagraph"/>
              <w:spacing w:before="37"/>
              <w:ind w:left="352"/>
              <w:rPr>
                <w:sz w:val="18"/>
              </w:rPr>
            </w:pPr>
            <w:r>
              <w:rPr>
                <w:rFonts w:ascii="Cambria Math" w:hAnsi="Cambria Math"/>
                <w:sz w:val="18"/>
              </w:rPr>
              <w:t>±</w:t>
            </w:r>
            <w:r>
              <w:rPr>
                <w:rFonts w:ascii="Cambria Math" w:hAnsi="Cambria Math"/>
                <w:spacing w:val="-2"/>
                <w:sz w:val="18"/>
              </w:rPr>
              <w:t> 0.25</w:t>
            </w:r>
            <w:r>
              <w:rPr>
                <w:spacing w:val="-2"/>
                <w:sz w:val="18"/>
                <w:vertAlign w:val="superscript"/>
              </w:rPr>
              <w:t>a</w:t>
            </w:r>
          </w:p>
        </w:tc>
      </w:tr>
      <w:tr>
        <w:trPr>
          <w:trHeight w:val="316" w:hRule="atLeast"/>
        </w:trPr>
        <w:tc>
          <w:tcPr>
            <w:tcW w:w="1217" w:type="dxa"/>
          </w:tcPr>
          <w:p>
            <w:pPr>
              <w:pStyle w:val="TableParagraph"/>
              <w:spacing w:before="53"/>
              <w:ind w:left="122"/>
              <w:rPr>
                <w:sz w:val="18"/>
              </w:rPr>
            </w:pPr>
            <w:r>
              <w:rPr>
                <w:spacing w:val="-5"/>
                <w:sz w:val="18"/>
              </w:rPr>
              <w:t>T1</w:t>
            </w:r>
          </w:p>
        </w:tc>
        <w:tc>
          <w:tcPr>
            <w:tcW w:w="1092" w:type="dxa"/>
          </w:tcPr>
          <w:p>
            <w:pPr>
              <w:pStyle w:val="TableParagraph"/>
              <w:spacing w:before="53"/>
              <w:ind w:left="127"/>
              <w:rPr>
                <w:sz w:val="18"/>
              </w:rPr>
            </w:pPr>
            <w:r>
              <w:rPr>
                <w:spacing w:val="-2"/>
                <w:sz w:val="18"/>
              </w:rPr>
              <w:t>95.50</w:t>
            </w:r>
          </w:p>
        </w:tc>
        <w:tc>
          <w:tcPr>
            <w:tcW w:w="1083" w:type="dxa"/>
          </w:tcPr>
          <w:p>
            <w:pPr>
              <w:pStyle w:val="TableParagraph"/>
              <w:spacing w:before="52"/>
              <w:ind w:left="104" w:right="122"/>
              <w:jc w:val="center"/>
              <w:rPr>
                <w:rFonts w:ascii="Cambria Math"/>
                <w:sz w:val="18"/>
              </w:rPr>
            </w:pPr>
            <w:r>
              <w:rPr>
                <w:rFonts w:ascii="Cambria Math"/>
                <w:spacing w:val="-2"/>
                <w:sz w:val="18"/>
              </w:rPr>
              <w:t>130.25</w:t>
            </w:r>
          </w:p>
        </w:tc>
        <w:tc>
          <w:tcPr>
            <w:tcW w:w="1206" w:type="dxa"/>
          </w:tcPr>
          <w:p>
            <w:pPr>
              <w:pStyle w:val="TableParagraph"/>
              <w:spacing w:before="53"/>
              <w:ind w:left="119"/>
              <w:rPr>
                <w:sz w:val="18"/>
              </w:rPr>
            </w:pPr>
            <w:r>
              <w:rPr>
                <w:spacing w:val="-2"/>
                <w:sz w:val="18"/>
              </w:rPr>
              <w:t>27.50</w:t>
            </w:r>
          </w:p>
        </w:tc>
        <w:tc>
          <w:tcPr>
            <w:tcW w:w="1208" w:type="dxa"/>
          </w:tcPr>
          <w:p>
            <w:pPr>
              <w:pStyle w:val="TableParagraph"/>
              <w:spacing w:before="52"/>
              <w:ind w:left="330"/>
              <w:rPr>
                <w:rFonts w:ascii="Cambria Math"/>
                <w:sz w:val="18"/>
              </w:rPr>
            </w:pPr>
            <w:r>
              <w:rPr>
                <w:rFonts w:ascii="Cambria Math"/>
                <w:spacing w:val="-2"/>
                <w:sz w:val="18"/>
              </w:rPr>
              <w:t>58.25</w:t>
            </w:r>
          </w:p>
        </w:tc>
        <w:tc>
          <w:tcPr>
            <w:tcW w:w="1264" w:type="dxa"/>
          </w:tcPr>
          <w:p>
            <w:pPr>
              <w:pStyle w:val="TableParagraph"/>
              <w:spacing w:before="53"/>
              <w:ind w:left="121"/>
              <w:rPr>
                <w:sz w:val="18"/>
              </w:rPr>
            </w:pPr>
            <w:r>
              <w:rPr>
                <w:spacing w:val="-2"/>
                <w:sz w:val="18"/>
              </w:rPr>
              <w:t>38.50</w:t>
            </w:r>
          </w:p>
        </w:tc>
        <w:tc>
          <w:tcPr>
            <w:tcW w:w="1269" w:type="dxa"/>
          </w:tcPr>
          <w:p>
            <w:pPr>
              <w:pStyle w:val="TableParagraph"/>
              <w:spacing w:before="52"/>
              <w:ind w:left="347"/>
              <w:rPr>
                <w:rFonts w:ascii="Cambria Math"/>
                <w:sz w:val="18"/>
              </w:rPr>
            </w:pPr>
            <w:r>
              <w:rPr>
                <w:rFonts w:ascii="Cambria Math"/>
                <w:spacing w:val="-2"/>
                <w:sz w:val="18"/>
              </w:rPr>
              <w:t>39.20</w:t>
            </w:r>
          </w:p>
        </w:tc>
      </w:tr>
      <w:tr>
        <w:trPr>
          <w:trHeight w:val="320" w:hRule="atLeast"/>
        </w:trPr>
        <w:tc>
          <w:tcPr>
            <w:tcW w:w="1217" w:type="dxa"/>
          </w:tcPr>
          <w:p>
            <w:pPr>
              <w:pStyle w:val="TableParagraph"/>
              <w:spacing w:before="45"/>
              <w:ind w:left="122"/>
              <w:rPr>
                <w:sz w:val="18"/>
              </w:rPr>
            </w:pPr>
            <w:r>
              <w:rPr>
                <w:sz w:val="18"/>
              </w:rPr>
              <w:t>(Lidocaína</w:t>
            </w:r>
            <w:r>
              <w:rPr>
                <w:spacing w:val="-2"/>
                <w:sz w:val="18"/>
              </w:rPr>
              <w:t> </w:t>
            </w:r>
            <w:r>
              <w:rPr>
                <w:spacing w:val="-10"/>
                <w:sz w:val="18"/>
              </w:rPr>
              <w:t>+</w:t>
            </w:r>
          </w:p>
        </w:tc>
        <w:tc>
          <w:tcPr>
            <w:tcW w:w="1092" w:type="dxa"/>
          </w:tcPr>
          <w:p>
            <w:pPr>
              <w:pStyle w:val="TableParagraph"/>
              <w:rPr>
                <w:sz w:val="20"/>
              </w:rPr>
            </w:pPr>
          </w:p>
        </w:tc>
        <w:tc>
          <w:tcPr>
            <w:tcW w:w="1083" w:type="dxa"/>
          </w:tcPr>
          <w:p>
            <w:pPr>
              <w:pStyle w:val="TableParagraph"/>
              <w:spacing w:before="52"/>
              <w:ind w:left="138" w:right="122"/>
              <w:jc w:val="center"/>
              <w:rPr>
                <w:sz w:val="18"/>
              </w:rPr>
            </w:pPr>
            <w:r>
              <w:rPr>
                <w:rFonts w:ascii="Cambria Math" w:hAnsi="Cambria Math"/>
                <w:sz w:val="18"/>
              </w:rPr>
              <w:t>±</w:t>
            </w:r>
            <w:r>
              <w:rPr>
                <w:rFonts w:ascii="Cambria Math" w:hAnsi="Cambria Math"/>
                <w:spacing w:val="1"/>
                <w:sz w:val="18"/>
              </w:rPr>
              <w:t> </w:t>
            </w:r>
            <w:r>
              <w:rPr>
                <w:rFonts w:ascii="Cambria Math" w:hAnsi="Cambria Math"/>
                <w:spacing w:val="-2"/>
                <w:sz w:val="18"/>
              </w:rPr>
              <w:t>2.50</w:t>
            </w:r>
            <w:r>
              <w:rPr>
                <w:spacing w:val="-2"/>
                <w:sz w:val="18"/>
                <w:vertAlign w:val="superscript"/>
              </w:rPr>
              <w:t>a</w:t>
            </w:r>
          </w:p>
        </w:tc>
        <w:tc>
          <w:tcPr>
            <w:tcW w:w="1206" w:type="dxa"/>
          </w:tcPr>
          <w:p>
            <w:pPr>
              <w:pStyle w:val="TableParagraph"/>
              <w:rPr>
                <w:sz w:val="20"/>
              </w:rPr>
            </w:pPr>
          </w:p>
        </w:tc>
        <w:tc>
          <w:tcPr>
            <w:tcW w:w="1208" w:type="dxa"/>
          </w:tcPr>
          <w:p>
            <w:pPr>
              <w:pStyle w:val="TableParagraph"/>
              <w:spacing w:before="52"/>
              <w:ind w:left="330"/>
              <w:rPr>
                <w:sz w:val="18"/>
              </w:rPr>
            </w:pPr>
            <w:r>
              <w:rPr>
                <w:rFonts w:ascii="Cambria Math" w:hAnsi="Cambria Math"/>
                <w:sz w:val="18"/>
              </w:rPr>
              <w:t>±</w:t>
            </w:r>
            <w:r>
              <w:rPr>
                <w:rFonts w:ascii="Cambria Math" w:hAnsi="Cambria Math"/>
                <w:spacing w:val="-2"/>
                <w:sz w:val="18"/>
              </w:rPr>
              <w:t> 1.71</w:t>
            </w:r>
            <w:r>
              <w:rPr>
                <w:spacing w:val="-2"/>
                <w:sz w:val="18"/>
                <w:vertAlign w:val="superscript"/>
              </w:rPr>
              <w:t>a</w:t>
            </w:r>
          </w:p>
        </w:tc>
        <w:tc>
          <w:tcPr>
            <w:tcW w:w="1264" w:type="dxa"/>
          </w:tcPr>
          <w:p>
            <w:pPr>
              <w:pStyle w:val="TableParagraph"/>
              <w:rPr>
                <w:sz w:val="20"/>
              </w:rPr>
            </w:pPr>
          </w:p>
        </w:tc>
        <w:tc>
          <w:tcPr>
            <w:tcW w:w="1269" w:type="dxa"/>
          </w:tcPr>
          <w:p>
            <w:pPr>
              <w:pStyle w:val="TableParagraph"/>
              <w:spacing w:before="64"/>
              <w:ind w:left="347"/>
              <w:rPr>
                <w:sz w:val="18"/>
              </w:rPr>
            </w:pPr>
            <w:r>
              <w:rPr>
                <w:rFonts w:ascii="Cambria Math" w:hAnsi="Cambria Math"/>
                <w:sz w:val="18"/>
              </w:rPr>
              <w:t>±</w:t>
            </w:r>
            <w:r>
              <w:rPr>
                <w:rFonts w:ascii="Cambria Math" w:hAnsi="Cambria Math"/>
                <w:spacing w:val="1"/>
                <w:sz w:val="18"/>
              </w:rPr>
              <w:t> </w:t>
            </w:r>
            <w:r>
              <w:rPr>
                <w:rFonts w:ascii="Cambria Math" w:hAnsi="Cambria Math"/>
                <w:spacing w:val="-2"/>
                <w:sz w:val="18"/>
              </w:rPr>
              <w:t>0.18</w:t>
            </w:r>
            <w:r>
              <w:rPr>
                <w:spacing w:val="-2"/>
                <w:sz w:val="18"/>
                <w:vertAlign w:val="superscript"/>
              </w:rPr>
              <w:t>b</w:t>
            </w:r>
          </w:p>
        </w:tc>
      </w:tr>
      <w:tr>
        <w:trPr>
          <w:trHeight w:val="299" w:hRule="atLeast"/>
        </w:trPr>
        <w:tc>
          <w:tcPr>
            <w:tcW w:w="1217" w:type="dxa"/>
          </w:tcPr>
          <w:p>
            <w:pPr>
              <w:pStyle w:val="TableParagraph"/>
              <w:spacing w:before="37"/>
              <w:ind w:left="122"/>
              <w:rPr>
                <w:sz w:val="18"/>
              </w:rPr>
            </w:pPr>
            <w:r>
              <w:rPr>
                <w:spacing w:val="-2"/>
                <w:sz w:val="18"/>
              </w:rPr>
              <w:t>Neglumix)</w:t>
            </w:r>
          </w:p>
        </w:tc>
        <w:tc>
          <w:tcPr>
            <w:tcW w:w="1092" w:type="dxa"/>
          </w:tcPr>
          <w:p>
            <w:pPr>
              <w:pStyle w:val="TableParagraph"/>
              <w:rPr>
                <w:sz w:val="20"/>
              </w:rPr>
            </w:pPr>
          </w:p>
        </w:tc>
        <w:tc>
          <w:tcPr>
            <w:tcW w:w="1083" w:type="dxa"/>
          </w:tcPr>
          <w:p>
            <w:pPr>
              <w:pStyle w:val="TableParagraph"/>
              <w:rPr>
                <w:sz w:val="20"/>
              </w:rPr>
            </w:pPr>
          </w:p>
        </w:tc>
        <w:tc>
          <w:tcPr>
            <w:tcW w:w="1206" w:type="dxa"/>
          </w:tcPr>
          <w:p>
            <w:pPr>
              <w:pStyle w:val="TableParagraph"/>
              <w:rPr>
                <w:sz w:val="20"/>
              </w:rPr>
            </w:pPr>
          </w:p>
        </w:tc>
        <w:tc>
          <w:tcPr>
            <w:tcW w:w="1208" w:type="dxa"/>
          </w:tcPr>
          <w:p>
            <w:pPr>
              <w:pStyle w:val="TableParagraph"/>
              <w:rPr>
                <w:sz w:val="20"/>
              </w:rPr>
            </w:pPr>
          </w:p>
        </w:tc>
        <w:tc>
          <w:tcPr>
            <w:tcW w:w="1264" w:type="dxa"/>
          </w:tcPr>
          <w:p>
            <w:pPr>
              <w:pStyle w:val="TableParagraph"/>
              <w:rPr>
                <w:sz w:val="20"/>
              </w:rPr>
            </w:pPr>
          </w:p>
        </w:tc>
        <w:tc>
          <w:tcPr>
            <w:tcW w:w="1269" w:type="dxa"/>
          </w:tcPr>
          <w:p>
            <w:pPr>
              <w:pStyle w:val="TableParagraph"/>
              <w:rPr>
                <w:sz w:val="20"/>
              </w:rPr>
            </w:pPr>
          </w:p>
        </w:tc>
      </w:tr>
      <w:tr>
        <w:trPr>
          <w:trHeight w:val="311" w:hRule="atLeast"/>
        </w:trPr>
        <w:tc>
          <w:tcPr>
            <w:tcW w:w="1217" w:type="dxa"/>
          </w:tcPr>
          <w:p>
            <w:pPr>
              <w:pStyle w:val="TableParagraph"/>
              <w:spacing w:before="47"/>
              <w:ind w:left="122"/>
              <w:rPr>
                <w:sz w:val="18"/>
              </w:rPr>
            </w:pPr>
            <w:r>
              <w:rPr>
                <w:spacing w:val="-5"/>
                <w:sz w:val="18"/>
              </w:rPr>
              <w:t>T2</w:t>
            </w:r>
          </w:p>
        </w:tc>
        <w:tc>
          <w:tcPr>
            <w:tcW w:w="1092" w:type="dxa"/>
          </w:tcPr>
          <w:p>
            <w:pPr>
              <w:pStyle w:val="TableParagraph"/>
              <w:spacing w:before="47"/>
              <w:ind w:left="127"/>
              <w:rPr>
                <w:sz w:val="18"/>
              </w:rPr>
            </w:pPr>
            <w:r>
              <w:rPr>
                <w:spacing w:val="-2"/>
                <w:sz w:val="18"/>
              </w:rPr>
              <w:t>93.50</w:t>
            </w:r>
          </w:p>
        </w:tc>
        <w:tc>
          <w:tcPr>
            <w:tcW w:w="1083" w:type="dxa"/>
          </w:tcPr>
          <w:p>
            <w:pPr>
              <w:pStyle w:val="TableParagraph"/>
              <w:spacing w:before="47"/>
              <w:ind w:left="104" w:right="122"/>
              <w:jc w:val="center"/>
              <w:rPr>
                <w:rFonts w:ascii="Cambria Math"/>
                <w:sz w:val="18"/>
              </w:rPr>
            </w:pPr>
            <w:r>
              <w:rPr>
                <w:rFonts w:ascii="Cambria Math"/>
                <w:spacing w:val="-2"/>
                <w:sz w:val="18"/>
              </w:rPr>
              <w:t>112.50</w:t>
            </w:r>
          </w:p>
        </w:tc>
        <w:tc>
          <w:tcPr>
            <w:tcW w:w="1206" w:type="dxa"/>
          </w:tcPr>
          <w:p>
            <w:pPr>
              <w:pStyle w:val="TableParagraph"/>
              <w:spacing w:before="47"/>
              <w:ind w:left="119"/>
              <w:rPr>
                <w:sz w:val="18"/>
              </w:rPr>
            </w:pPr>
            <w:r>
              <w:rPr>
                <w:spacing w:val="-2"/>
                <w:sz w:val="18"/>
              </w:rPr>
              <w:t>26.50</w:t>
            </w:r>
          </w:p>
        </w:tc>
        <w:tc>
          <w:tcPr>
            <w:tcW w:w="1208" w:type="dxa"/>
          </w:tcPr>
          <w:p>
            <w:pPr>
              <w:pStyle w:val="TableParagraph"/>
              <w:spacing w:before="47"/>
              <w:ind w:left="330"/>
              <w:rPr>
                <w:rFonts w:ascii="Cambria Math"/>
                <w:sz w:val="18"/>
              </w:rPr>
            </w:pPr>
            <w:r>
              <w:rPr>
                <w:rFonts w:ascii="Cambria Math"/>
                <w:spacing w:val="-2"/>
                <w:sz w:val="18"/>
              </w:rPr>
              <w:t>34.50</w:t>
            </w:r>
          </w:p>
        </w:tc>
        <w:tc>
          <w:tcPr>
            <w:tcW w:w="1264" w:type="dxa"/>
          </w:tcPr>
          <w:p>
            <w:pPr>
              <w:pStyle w:val="TableParagraph"/>
              <w:spacing w:before="47"/>
              <w:ind w:left="121"/>
              <w:rPr>
                <w:sz w:val="18"/>
              </w:rPr>
            </w:pPr>
            <w:r>
              <w:rPr>
                <w:spacing w:val="-2"/>
                <w:sz w:val="18"/>
              </w:rPr>
              <w:t>38.45</w:t>
            </w:r>
          </w:p>
        </w:tc>
        <w:tc>
          <w:tcPr>
            <w:tcW w:w="1269" w:type="dxa"/>
          </w:tcPr>
          <w:p>
            <w:pPr>
              <w:pStyle w:val="TableParagraph"/>
              <w:spacing w:before="47"/>
              <w:ind w:left="318"/>
              <w:rPr>
                <w:rFonts w:ascii="Cambria Math"/>
                <w:sz w:val="18"/>
              </w:rPr>
            </w:pPr>
            <w:r>
              <w:rPr>
                <w:rFonts w:ascii="Cambria Math"/>
                <w:spacing w:val="-2"/>
                <w:sz w:val="18"/>
              </w:rPr>
              <w:t>38.85</w:t>
            </w:r>
          </w:p>
        </w:tc>
      </w:tr>
      <w:tr>
        <w:trPr>
          <w:trHeight w:val="320" w:hRule="atLeast"/>
        </w:trPr>
        <w:tc>
          <w:tcPr>
            <w:tcW w:w="1217" w:type="dxa"/>
          </w:tcPr>
          <w:p>
            <w:pPr>
              <w:pStyle w:val="TableParagraph"/>
              <w:spacing w:before="45"/>
              <w:ind w:left="122"/>
              <w:rPr>
                <w:sz w:val="18"/>
              </w:rPr>
            </w:pPr>
            <w:r>
              <w:rPr>
                <w:spacing w:val="-2"/>
                <w:sz w:val="18"/>
              </w:rPr>
              <w:t>(Bupivacaína</w:t>
            </w:r>
          </w:p>
        </w:tc>
        <w:tc>
          <w:tcPr>
            <w:tcW w:w="1092" w:type="dxa"/>
          </w:tcPr>
          <w:p>
            <w:pPr>
              <w:pStyle w:val="TableParagraph"/>
              <w:rPr>
                <w:sz w:val="20"/>
              </w:rPr>
            </w:pPr>
          </w:p>
        </w:tc>
        <w:tc>
          <w:tcPr>
            <w:tcW w:w="1083" w:type="dxa"/>
          </w:tcPr>
          <w:p>
            <w:pPr>
              <w:pStyle w:val="TableParagraph"/>
              <w:spacing w:before="52"/>
              <w:ind w:left="138" w:right="122"/>
              <w:jc w:val="center"/>
              <w:rPr>
                <w:sz w:val="18"/>
              </w:rPr>
            </w:pPr>
            <w:r>
              <w:rPr>
                <w:rFonts w:ascii="Cambria Math" w:hAnsi="Cambria Math"/>
                <w:sz w:val="18"/>
              </w:rPr>
              <w:t>±</w:t>
            </w:r>
            <w:r>
              <w:rPr>
                <w:rFonts w:ascii="Cambria Math" w:hAnsi="Cambria Math"/>
                <w:spacing w:val="1"/>
                <w:sz w:val="18"/>
              </w:rPr>
              <w:t> </w:t>
            </w:r>
            <w:r>
              <w:rPr>
                <w:rFonts w:ascii="Cambria Math" w:hAnsi="Cambria Math"/>
                <w:spacing w:val="-2"/>
                <w:sz w:val="18"/>
              </w:rPr>
              <w:t>2.08</w:t>
            </w:r>
            <w:r>
              <w:rPr>
                <w:spacing w:val="-2"/>
                <w:sz w:val="18"/>
                <w:vertAlign w:val="superscript"/>
              </w:rPr>
              <w:t>c</w:t>
            </w:r>
          </w:p>
        </w:tc>
        <w:tc>
          <w:tcPr>
            <w:tcW w:w="1206" w:type="dxa"/>
          </w:tcPr>
          <w:p>
            <w:pPr>
              <w:pStyle w:val="TableParagraph"/>
              <w:rPr>
                <w:sz w:val="20"/>
              </w:rPr>
            </w:pPr>
          </w:p>
        </w:tc>
        <w:tc>
          <w:tcPr>
            <w:tcW w:w="1208" w:type="dxa"/>
          </w:tcPr>
          <w:p>
            <w:pPr>
              <w:pStyle w:val="TableParagraph"/>
              <w:spacing w:before="52"/>
              <w:ind w:left="330"/>
              <w:rPr>
                <w:sz w:val="18"/>
              </w:rPr>
            </w:pPr>
            <w:r>
              <w:rPr>
                <w:rFonts w:ascii="Cambria Math" w:hAnsi="Cambria Math"/>
                <w:sz w:val="18"/>
              </w:rPr>
              <w:t>±</w:t>
            </w:r>
            <w:r>
              <w:rPr>
                <w:rFonts w:ascii="Cambria Math" w:hAnsi="Cambria Math"/>
                <w:spacing w:val="-2"/>
                <w:sz w:val="18"/>
              </w:rPr>
              <w:t> 1.29</w:t>
            </w:r>
            <w:r>
              <w:rPr>
                <w:spacing w:val="-2"/>
                <w:sz w:val="18"/>
                <w:vertAlign w:val="superscript"/>
              </w:rPr>
              <w:t>c</w:t>
            </w:r>
          </w:p>
        </w:tc>
        <w:tc>
          <w:tcPr>
            <w:tcW w:w="1264" w:type="dxa"/>
          </w:tcPr>
          <w:p>
            <w:pPr>
              <w:pStyle w:val="TableParagraph"/>
              <w:rPr>
                <w:sz w:val="20"/>
              </w:rPr>
            </w:pPr>
          </w:p>
        </w:tc>
        <w:tc>
          <w:tcPr>
            <w:tcW w:w="1269" w:type="dxa"/>
          </w:tcPr>
          <w:p>
            <w:pPr>
              <w:pStyle w:val="TableParagraph"/>
              <w:spacing w:before="64"/>
              <w:ind w:left="318"/>
              <w:rPr>
                <w:sz w:val="18"/>
              </w:rPr>
            </w:pPr>
            <w:r>
              <w:rPr>
                <w:rFonts w:ascii="Cambria Math" w:hAnsi="Cambria Math"/>
                <w:sz w:val="18"/>
              </w:rPr>
              <w:t>±</w:t>
            </w:r>
            <w:r>
              <w:rPr>
                <w:rFonts w:ascii="Cambria Math" w:hAnsi="Cambria Math"/>
                <w:spacing w:val="1"/>
                <w:sz w:val="18"/>
              </w:rPr>
              <w:t> </w:t>
            </w:r>
            <w:r>
              <w:rPr>
                <w:rFonts w:ascii="Cambria Math" w:hAnsi="Cambria Math"/>
                <w:spacing w:val="-2"/>
                <w:sz w:val="18"/>
              </w:rPr>
              <w:t>0.12</w:t>
            </w:r>
            <w:r>
              <w:rPr>
                <w:spacing w:val="-2"/>
                <w:sz w:val="18"/>
                <w:vertAlign w:val="superscript"/>
              </w:rPr>
              <w:t>bc</w:t>
            </w:r>
          </w:p>
        </w:tc>
      </w:tr>
      <w:tr>
        <w:trPr>
          <w:trHeight w:val="464" w:hRule="atLeast"/>
        </w:trPr>
        <w:tc>
          <w:tcPr>
            <w:tcW w:w="1217" w:type="dxa"/>
          </w:tcPr>
          <w:p>
            <w:pPr>
              <w:pStyle w:val="TableParagraph"/>
              <w:spacing w:before="37"/>
              <w:ind w:left="122"/>
              <w:rPr>
                <w:sz w:val="18"/>
              </w:rPr>
            </w:pPr>
            <w:r>
              <w:rPr>
                <w:sz w:val="18"/>
              </w:rPr>
              <w:t>+</w:t>
            </w:r>
            <w:r>
              <w:rPr>
                <w:spacing w:val="-1"/>
                <w:sz w:val="18"/>
              </w:rPr>
              <w:t> </w:t>
            </w:r>
            <w:r>
              <w:rPr>
                <w:spacing w:val="-2"/>
                <w:sz w:val="18"/>
              </w:rPr>
              <w:t>Neglumix)</w:t>
            </w:r>
          </w:p>
        </w:tc>
        <w:tc>
          <w:tcPr>
            <w:tcW w:w="1092" w:type="dxa"/>
          </w:tcPr>
          <w:p>
            <w:pPr>
              <w:pStyle w:val="TableParagraph"/>
              <w:rPr>
                <w:sz w:val="20"/>
              </w:rPr>
            </w:pPr>
          </w:p>
        </w:tc>
        <w:tc>
          <w:tcPr>
            <w:tcW w:w="1083" w:type="dxa"/>
          </w:tcPr>
          <w:p>
            <w:pPr>
              <w:pStyle w:val="TableParagraph"/>
              <w:rPr>
                <w:sz w:val="20"/>
              </w:rPr>
            </w:pPr>
          </w:p>
        </w:tc>
        <w:tc>
          <w:tcPr>
            <w:tcW w:w="1206" w:type="dxa"/>
          </w:tcPr>
          <w:p>
            <w:pPr>
              <w:pStyle w:val="TableParagraph"/>
              <w:rPr>
                <w:sz w:val="20"/>
              </w:rPr>
            </w:pPr>
          </w:p>
        </w:tc>
        <w:tc>
          <w:tcPr>
            <w:tcW w:w="1208" w:type="dxa"/>
          </w:tcPr>
          <w:p>
            <w:pPr>
              <w:pStyle w:val="TableParagraph"/>
              <w:rPr>
                <w:sz w:val="20"/>
              </w:rPr>
            </w:pPr>
          </w:p>
        </w:tc>
        <w:tc>
          <w:tcPr>
            <w:tcW w:w="1264" w:type="dxa"/>
          </w:tcPr>
          <w:p>
            <w:pPr>
              <w:pStyle w:val="TableParagraph"/>
              <w:rPr>
                <w:sz w:val="20"/>
              </w:rPr>
            </w:pPr>
          </w:p>
        </w:tc>
        <w:tc>
          <w:tcPr>
            <w:tcW w:w="1269" w:type="dxa"/>
          </w:tcPr>
          <w:p>
            <w:pPr>
              <w:pStyle w:val="TableParagraph"/>
              <w:rPr>
                <w:sz w:val="20"/>
              </w:rPr>
            </w:pPr>
          </w:p>
        </w:tc>
      </w:tr>
      <w:tr>
        <w:trPr>
          <w:trHeight w:val="477" w:hRule="atLeast"/>
        </w:trPr>
        <w:tc>
          <w:tcPr>
            <w:tcW w:w="1217" w:type="dxa"/>
          </w:tcPr>
          <w:p>
            <w:pPr>
              <w:pStyle w:val="TableParagraph"/>
              <w:spacing w:before="5"/>
              <w:rPr>
                <w:i/>
                <w:sz w:val="18"/>
              </w:rPr>
            </w:pPr>
          </w:p>
          <w:p>
            <w:pPr>
              <w:pStyle w:val="TableParagraph"/>
              <w:ind w:left="122"/>
              <w:rPr>
                <w:sz w:val="18"/>
              </w:rPr>
            </w:pPr>
            <w:r>
              <w:rPr>
                <w:sz w:val="18"/>
              </w:rPr>
              <w:t>T3</w:t>
            </w:r>
            <w:r>
              <w:rPr>
                <w:spacing w:val="-1"/>
                <w:sz w:val="18"/>
              </w:rPr>
              <w:t> </w:t>
            </w:r>
            <w:r>
              <w:rPr>
                <w:spacing w:val="-4"/>
                <w:sz w:val="18"/>
              </w:rPr>
              <w:t>(50%</w:t>
            </w:r>
          </w:p>
        </w:tc>
        <w:tc>
          <w:tcPr>
            <w:tcW w:w="1092" w:type="dxa"/>
          </w:tcPr>
          <w:p>
            <w:pPr>
              <w:pStyle w:val="TableParagraph"/>
              <w:spacing w:before="5"/>
              <w:rPr>
                <w:i/>
                <w:sz w:val="18"/>
              </w:rPr>
            </w:pPr>
          </w:p>
          <w:p>
            <w:pPr>
              <w:pStyle w:val="TableParagraph"/>
              <w:ind w:left="127"/>
              <w:rPr>
                <w:sz w:val="18"/>
              </w:rPr>
            </w:pPr>
            <w:r>
              <w:rPr>
                <w:spacing w:val="-2"/>
                <w:sz w:val="18"/>
              </w:rPr>
              <w:t>91.50</w:t>
            </w:r>
          </w:p>
        </w:tc>
        <w:tc>
          <w:tcPr>
            <w:tcW w:w="1083" w:type="dxa"/>
          </w:tcPr>
          <w:p>
            <w:pPr>
              <w:pStyle w:val="TableParagraph"/>
              <w:spacing w:before="4"/>
              <w:rPr>
                <w:i/>
                <w:sz w:val="18"/>
              </w:rPr>
            </w:pPr>
          </w:p>
          <w:p>
            <w:pPr>
              <w:pStyle w:val="TableParagraph"/>
              <w:ind w:left="16" w:right="138"/>
              <w:jc w:val="center"/>
              <w:rPr>
                <w:rFonts w:ascii="Cambria Math"/>
                <w:sz w:val="18"/>
              </w:rPr>
            </w:pPr>
            <w:r>
              <w:rPr>
                <w:rFonts w:ascii="Cambria Math"/>
                <w:spacing w:val="-2"/>
                <w:sz w:val="18"/>
              </w:rPr>
              <w:t>98.50</w:t>
            </w:r>
          </w:p>
        </w:tc>
        <w:tc>
          <w:tcPr>
            <w:tcW w:w="1206" w:type="dxa"/>
          </w:tcPr>
          <w:p>
            <w:pPr>
              <w:pStyle w:val="TableParagraph"/>
              <w:spacing w:before="5"/>
              <w:rPr>
                <w:i/>
                <w:sz w:val="18"/>
              </w:rPr>
            </w:pPr>
          </w:p>
          <w:p>
            <w:pPr>
              <w:pStyle w:val="TableParagraph"/>
              <w:ind w:left="119"/>
              <w:rPr>
                <w:sz w:val="18"/>
              </w:rPr>
            </w:pPr>
            <w:r>
              <w:rPr>
                <w:spacing w:val="-2"/>
                <w:sz w:val="18"/>
              </w:rPr>
              <w:t>26.25</w:t>
            </w:r>
          </w:p>
        </w:tc>
        <w:tc>
          <w:tcPr>
            <w:tcW w:w="1208" w:type="dxa"/>
          </w:tcPr>
          <w:p>
            <w:pPr>
              <w:pStyle w:val="TableParagraph"/>
              <w:spacing w:before="4"/>
              <w:rPr>
                <w:i/>
                <w:sz w:val="18"/>
              </w:rPr>
            </w:pPr>
          </w:p>
          <w:p>
            <w:pPr>
              <w:pStyle w:val="TableParagraph"/>
              <w:ind w:left="325"/>
              <w:rPr>
                <w:rFonts w:ascii="Cambria Math"/>
                <w:sz w:val="18"/>
              </w:rPr>
            </w:pPr>
            <w:r>
              <w:rPr>
                <w:rFonts w:ascii="Cambria Math"/>
                <w:spacing w:val="-2"/>
                <w:sz w:val="18"/>
              </w:rPr>
              <w:t>26.75</w:t>
            </w:r>
          </w:p>
        </w:tc>
        <w:tc>
          <w:tcPr>
            <w:tcW w:w="1264" w:type="dxa"/>
          </w:tcPr>
          <w:p>
            <w:pPr>
              <w:pStyle w:val="TableParagraph"/>
              <w:spacing w:before="5"/>
              <w:rPr>
                <w:i/>
                <w:sz w:val="18"/>
              </w:rPr>
            </w:pPr>
          </w:p>
          <w:p>
            <w:pPr>
              <w:pStyle w:val="TableParagraph"/>
              <w:ind w:left="121"/>
              <w:rPr>
                <w:sz w:val="18"/>
              </w:rPr>
            </w:pPr>
            <w:r>
              <w:rPr>
                <w:spacing w:val="-2"/>
                <w:sz w:val="18"/>
              </w:rPr>
              <w:t>38.40</w:t>
            </w:r>
          </w:p>
        </w:tc>
        <w:tc>
          <w:tcPr>
            <w:tcW w:w="1269" w:type="dxa"/>
          </w:tcPr>
          <w:p>
            <w:pPr>
              <w:pStyle w:val="TableParagraph"/>
              <w:spacing w:before="4"/>
              <w:rPr>
                <w:i/>
                <w:sz w:val="18"/>
              </w:rPr>
            </w:pPr>
          </w:p>
          <w:p>
            <w:pPr>
              <w:pStyle w:val="TableParagraph"/>
              <w:ind w:left="352"/>
              <w:rPr>
                <w:rFonts w:ascii="Cambria Math"/>
                <w:sz w:val="18"/>
              </w:rPr>
            </w:pPr>
            <w:r>
              <w:rPr>
                <w:rFonts w:ascii="Cambria Math"/>
                <w:spacing w:val="-2"/>
                <w:sz w:val="18"/>
              </w:rPr>
              <w:t>38.65</w:t>
            </w:r>
          </w:p>
        </w:tc>
      </w:tr>
      <w:tr>
        <w:trPr>
          <w:trHeight w:val="319" w:hRule="atLeast"/>
        </w:trPr>
        <w:tc>
          <w:tcPr>
            <w:tcW w:w="1217" w:type="dxa"/>
          </w:tcPr>
          <w:p>
            <w:pPr>
              <w:pStyle w:val="TableParagraph"/>
              <w:spacing w:before="47"/>
              <w:ind w:left="122"/>
              <w:rPr>
                <w:sz w:val="18"/>
              </w:rPr>
            </w:pPr>
            <w:r>
              <w:rPr>
                <w:sz w:val="18"/>
              </w:rPr>
              <w:t>Lidocaína</w:t>
            </w:r>
            <w:r>
              <w:rPr>
                <w:spacing w:val="-2"/>
                <w:sz w:val="18"/>
              </w:rPr>
              <w:t> </w:t>
            </w:r>
            <w:r>
              <w:rPr>
                <w:spacing w:val="-10"/>
                <w:sz w:val="18"/>
              </w:rPr>
              <w:t>+</w:t>
            </w:r>
          </w:p>
        </w:tc>
        <w:tc>
          <w:tcPr>
            <w:tcW w:w="1092" w:type="dxa"/>
          </w:tcPr>
          <w:p>
            <w:pPr>
              <w:pStyle w:val="TableParagraph"/>
              <w:rPr>
                <w:sz w:val="20"/>
              </w:rPr>
            </w:pPr>
          </w:p>
        </w:tc>
        <w:tc>
          <w:tcPr>
            <w:tcW w:w="1083" w:type="dxa"/>
          </w:tcPr>
          <w:p>
            <w:pPr>
              <w:pStyle w:val="TableParagraph"/>
              <w:spacing w:before="63"/>
              <w:ind w:left="136" w:right="122"/>
              <w:jc w:val="center"/>
              <w:rPr>
                <w:sz w:val="18"/>
              </w:rPr>
            </w:pPr>
            <w:r>
              <w:rPr>
                <w:rFonts w:ascii="Cambria Math" w:hAnsi="Cambria Math"/>
                <w:sz w:val="18"/>
              </w:rPr>
              <w:t>±</w:t>
            </w:r>
            <w:r>
              <w:rPr>
                <w:rFonts w:ascii="Cambria Math" w:hAnsi="Cambria Math"/>
                <w:spacing w:val="1"/>
                <w:sz w:val="18"/>
              </w:rPr>
              <w:t> </w:t>
            </w:r>
            <w:r>
              <w:rPr>
                <w:rFonts w:ascii="Cambria Math" w:hAnsi="Cambria Math"/>
                <w:spacing w:val="-2"/>
                <w:sz w:val="18"/>
              </w:rPr>
              <w:t>1.29</w:t>
            </w:r>
            <w:r>
              <w:rPr>
                <w:spacing w:val="-2"/>
                <w:sz w:val="18"/>
                <w:vertAlign w:val="superscript"/>
              </w:rPr>
              <w:t>d</w:t>
            </w:r>
          </w:p>
        </w:tc>
        <w:tc>
          <w:tcPr>
            <w:tcW w:w="1206" w:type="dxa"/>
          </w:tcPr>
          <w:p>
            <w:pPr>
              <w:pStyle w:val="TableParagraph"/>
              <w:rPr>
                <w:sz w:val="20"/>
              </w:rPr>
            </w:pPr>
          </w:p>
        </w:tc>
        <w:tc>
          <w:tcPr>
            <w:tcW w:w="1208" w:type="dxa"/>
          </w:tcPr>
          <w:p>
            <w:pPr>
              <w:pStyle w:val="TableParagraph"/>
              <w:spacing w:before="63"/>
              <w:ind w:left="325"/>
              <w:rPr>
                <w:sz w:val="18"/>
              </w:rPr>
            </w:pPr>
            <w:r>
              <w:rPr>
                <w:rFonts w:ascii="Cambria Math" w:hAnsi="Cambria Math"/>
                <w:sz w:val="18"/>
              </w:rPr>
              <w:t>±</w:t>
            </w:r>
            <w:r>
              <w:rPr>
                <w:rFonts w:ascii="Cambria Math" w:hAnsi="Cambria Math"/>
                <w:spacing w:val="1"/>
                <w:sz w:val="18"/>
              </w:rPr>
              <w:t> </w:t>
            </w:r>
            <w:r>
              <w:rPr>
                <w:rFonts w:ascii="Cambria Math" w:hAnsi="Cambria Math"/>
                <w:spacing w:val="-2"/>
                <w:sz w:val="18"/>
              </w:rPr>
              <w:t>0.96</w:t>
            </w:r>
            <w:r>
              <w:rPr>
                <w:spacing w:val="-2"/>
                <w:sz w:val="18"/>
                <w:vertAlign w:val="superscript"/>
              </w:rPr>
              <w:t>d</w:t>
            </w:r>
          </w:p>
        </w:tc>
        <w:tc>
          <w:tcPr>
            <w:tcW w:w="1264" w:type="dxa"/>
          </w:tcPr>
          <w:p>
            <w:pPr>
              <w:pStyle w:val="TableParagraph"/>
              <w:rPr>
                <w:sz w:val="20"/>
              </w:rPr>
            </w:pPr>
          </w:p>
        </w:tc>
        <w:tc>
          <w:tcPr>
            <w:tcW w:w="1269" w:type="dxa"/>
          </w:tcPr>
          <w:p>
            <w:pPr>
              <w:pStyle w:val="TableParagraph"/>
              <w:spacing w:before="51"/>
              <w:ind w:left="352"/>
              <w:rPr>
                <w:sz w:val="18"/>
              </w:rPr>
            </w:pPr>
            <w:r>
              <w:rPr>
                <w:rFonts w:ascii="Cambria Math" w:hAnsi="Cambria Math"/>
                <w:sz w:val="18"/>
              </w:rPr>
              <w:t>±</w:t>
            </w:r>
            <w:r>
              <w:rPr>
                <w:rFonts w:ascii="Cambria Math" w:hAnsi="Cambria Math"/>
                <w:spacing w:val="-2"/>
                <w:sz w:val="18"/>
              </w:rPr>
              <w:t> 0.10</w:t>
            </w:r>
            <w:r>
              <w:rPr>
                <w:spacing w:val="-2"/>
                <w:sz w:val="18"/>
                <w:vertAlign w:val="superscript"/>
              </w:rPr>
              <w:t>c</w:t>
            </w:r>
          </w:p>
        </w:tc>
      </w:tr>
      <w:tr>
        <w:trPr>
          <w:trHeight w:val="299" w:hRule="atLeast"/>
        </w:trPr>
        <w:tc>
          <w:tcPr>
            <w:tcW w:w="1217" w:type="dxa"/>
          </w:tcPr>
          <w:p>
            <w:pPr>
              <w:pStyle w:val="TableParagraph"/>
              <w:spacing w:before="37"/>
              <w:ind w:left="122"/>
              <w:rPr>
                <w:sz w:val="18"/>
              </w:rPr>
            </w:pPr>
            <w:r>
              <w:rPr>
                <w:spacing w:val="-5"/>
                <w:sz w:val="18"/>
              </w:rPr>
              <w:t>50%</w:t>
            </w:r>
          </w:p>
        </w:tc>
        <w:tc>
          <w:tcPr>
            <w:tcW w:w="1092" w:type="dxa"/>
          </w:tcPr>
          <w:p>
            <w:pPr>
              <w:pStyle w:val="TableParagraph"/>
              <w:rPr>
                <w:sz w:val="20"/>
              </w:rPr>
            </w:pPr>
          </w:p>
        </w:tc>
        <w:tc>
          <w:tcPr>
            <w:tcW w:w="1083" w:type="dxa"/>
          </w:tcPr>
          <w:p>
            <w:pPr>
              <w:pStyle w:val="TableParagraph"/>
              <w:rPr>
                <w:sz w:val="20"/>
              </w:rPr>
            </w:pPr>
          </w:p>
        </w:tc>
        <w:tc>
          <w:tcPr>
            <w:tcW w:w="1206" w:type="dxa"/>
          </w:tcPr>
          <w:p>
            <w:pPr>
              <w:pStyle w:val="TableParagraph"/>
              <w:rPr>
                <w:sz w:val="20"/>
              </w:rPr>
            </w:pPr>
          </w:p>
        </w:tc>
        <w:tc>
          <w:tcPr>
            <w:tcW w:w="1208" w:type="dxa"/>
          </w:tcPr>
          <w:p>
            <w:pPr>
              <w:pStyle w:val="TableParagraph"/>
              <w:rPr>
                <w:sz w:val="20"/>
              </w:rPr>
            </w:pPr>
          </w:p>
        </w:tc>
        <w:tc>
          <w:tcPr>
            <w:tcW w:w="1264" w:type="dxa"/>
          </w:tcPr>
          <w:p>
            <w:pPr>
              <w:pStyle w:val="TableParagraph"/>
              <w:rPr>
                <w:sz w:val="20"/>
              </w:rPr>
            </w:pPr>
          </w:p>
        </w:tc>
        <w:tc>
          <w:tcPr>
            <w:tcW w:w="1269" w:type="dxa"/>
          </w:tcPr>
          <w:p>
            <w:pPr>
              <w:pStyle w:val="TableParagraph"/>
              <w:rPr>
                <w:sz w:val="20"/>
              </w:rPr>
            </w:pPr>
          </w:p>
        </w:tc>
      </w:tr>
      <w:tr>
        <w:trPr>
          <w:trHeight w:val="310" w:hRule="atLeast"/>
        </w:trPr>
        <w:tc>
          <w:tcPr>
            <w:tcW w:w="1217" w:type="dxa"/>
          </w:tcPr>
          <w:p>
            <w:pPr>
              <w:pStyle w:val="TableParagraph"/>
              <w:spacing w:before="47"/>
              <w:ind w:left="122"/>
              <w:rPr>
                <w:sz w:val="18"/>
              </w:rPr>
            </w:pPr>
            <w:r>
              <w:rPr>
                <w:spacing w:val="-2"/>
                <w:sz w:val="18"/>
              </w:rPr>
              <w:t>Bupivacaína</w:t>
            </w:r>
          </w:p>
        </w:tc>
        <w:tc>
          <w:tcPr>
            <w:tcW w:w="1092" w:type="dxa"/>
          </w:tcPr>
          <w:p>
            <w:pPr>
              <w:pStyle w:val="TableParagraph"/>
              <w:rPr>
                <w:sz w:val="20"/>
              </w:rPr>
            </w:pPr>
          </w:p>
        </w:tc>
        <w:tc>
          <w:tcPr>
            <w:tcW w:w="1083" w:type="dxa"/>
          </w:tcPr>
          <w:p>
            <w:pPr>
              <w:pStyle w:val="TableParagraph"/>
              <w:rPr>
                <w:sz w:val="20"/>
              </w:rPr>
            </w:pPr>
          </w:p>
        </w:tc>
        <w:tc>
          <w:tcPr>
            <w:tcW w:w="1206" w:type="dxa"/>
          </w:tcPr>
          <w:p>
            <w:pPr>
              <w:pStyle w:val="TableParagraph"/>
              <w:rPr>
                <w:sz w:val="20"/>
              </w:rPr>
            </w:pPr>
          </w:p>
        </w:tc>
        <w:tc>
          <w:tcPr>
            <w:tcW w:w="1208" w:type="dxa"/>
          </w:tcPr>
          <w:p>
            <w:pPr>
              <w:pStyle w:val="TableParagraph"/>
              <w:rPr>
                <w:sz w:val="20"/>
              </w:rPr>
            </w:pPr>
          </w:p>
        </w:tc>
        <w:tc>
          <w:tcPr>
            <w:tcW w:w="1264" w:type="dxa"/>
          </w:tcPr>
          <w:p>
            <w:pPr>
              <w:pStyle w:val="TableParagraph"/>
              <w:rPr>
                <w:sz w:val="20"/>
              </w:rPr>
            </w:pPr>
          </w:p>
        </w:tc>
        <w:tc>
          <w:tcPr>
            <w:tcW w:w="1269" w:type="dxa"/>
          </w:tcPr>
          <w:p>
            <w:pPr>
              <w:pStyle w:val="TableParagraph"/>
              <w:rPr>
                <w:sz w:val="20"/>
              </w:rPr>
            </w:pPr>
          </w:p>
        </w:tc>
      </w:tr>
      <w:tr>
        <w:trPr>
          <w:trHeight w:val="372" w:hRule="atLeast"/>
        </w:trPr>
        <w:tc>
          <w:tcPr>
            <w:tcW w:w="1217" w:type="dxa"/>
            <w:tcBorders>
              <w:bottom w:val="single" w:sz="4" w:space="0" w:color="7E7E7E"/>
            </w:tcBorders>
          </w:tcPr>
          <w:p>
            <w:pPr>
              <w:pStyle w:val="TableParagraph"/>
              <w:spacing w:before="48"/>
              <w:ind w:left="122"/>
              <w:rPr>
                <w:sz w:val="18"/>
              </w:rPr>
            </w:pPr>
            <w:r>
              <w:rPr>
                <w:sz w:val="18"/>
              </w:rPr>
              <w:t>+</w:t>
            </w:r>
            <w:r>
              <w:rPr>
                <w:spacing w:val="-1"/>
                <w:sz w:val="18"/>
              </w:rPr>
              <w:t> </w:t>
            </w:r>
            <w:r>
              <w:rPr>
                <w:spacing w:val="-2"/>
                <w:sz w:val="18"/>
              </w:rPr>
              <w:t>Neglumix)</w:t>
            </w:r>
          </w:p>
        </w:tc>
        <w:tc>
          <w:tcPr>
            <w:tcW w:w="1092" w:type="dxa"/>
            <w:tcBorders>
              <w:bottom w:val="single" w:sz="4" w:space="0" w:color="7E7E7E"/>
            </w:tcBorders>
          </w:tcPr>
          <w:p>
            <w:pPr>
              <w:pStyle w:val="TableParagraph"/>
              <w:rPr>
                <w:sz w:val="20"/>
              </w:rPr>
            </w:pPr>
          </w:p>
        </w:tc>
        <w:tc>
          <w:tcPr>
            <w:tcW w:w="1083" w:type="dxa"/>
            <w:tcBorders>
              <w:bottom w:val="single" w:sz="4" w:space="0" w:color="7E7E7E"/>
            </w:tcBorders>
          </w:tcPr>
          <w:p>
            <w:pPr>
              <w:pStyle w:val="TableParagraph"/>
              <w:rPr>
                <w:sz w:val="20"/>
              </w:rPr>
            </w:pPr>
          </w:p>
        </w:tc>
        <w:tc>
          <w:tcPr>
            <w:tcW w:w="1206" w:type="dxa"/>
            <w:tcBorders>
              <w:bottom w:val="single" w:sz="4" w:space="0" w:color="7E7E7E"/>
            </w:tcBorders>
          </w:tcPr>
          <w:p>
            <w:pPr>
              <w:pStyle w:val="TableParagraph"/>
              <w:rPr>
                <w:sz w:val="20"/>
              </w:rPr>
            </w:pPr>
          </w:p>
        </w:tc>
        <w:tc>
          <w:tcPr>
            <w:tcW w:w="1208" w:type="dxa"/>
            <w:tcBorders>
              <w:bottom w:val="single" w:sz="4" w:space="0" w:color="7E7E7E"/>
            </w:tcBorders>
          </w:tcPr>
          <w:p>
            <w:pPr>
              <w:pStyle w:val="TableParagraph"/>
              <w:rPr>
                <w:sz w:val="20"/>
              </w:rPr>
            </w:pPr>
          </w:p>
        </w:tc>
        <w:tc>
          <w:tcPr>
            <w:tcW w:w="1264" w:type="dxa"/>
            <w:tcBorders>
              <w:bottom w:val="single" w:sz="4" w:space="0" w:color="7E7E7E"/>
            </w:tcBorders>
          </w:tcPr>
          <w:p>
            <w:pPr>
              <w:pStyle w:val="TableParagraph"/>
              <w:rPr>
                <w:sz w:val="20"/>
              </w:rPr>
            </w:pPr>
          </w:p>
        </w:tc>
        <w:tc>
          <w:tcPr>
            <w:tcW w:w="1269" w:type="dxa"/>
            <w:tcBorders>
              <w:bottom w:val="single" w:sz="4" w:space="0" w:color="7E7E7E"/>
            </w:tcBorders>
          </w:tcPr>
          <w:p>
            <w:pPr>
              <w:pStyle w:val="TableParagraph"/>
              <w:rPr>
                <w:sz w:val="20"/>
              </w:rPr>
            </w:pPr>
          </w:p>
        </w:tc>
      </w:tr>
    </w:tbl>
    <w:p>
      <w:pPr>
        <w:pStyle w:val="BodyText"/>
        <w:ind w:left="0"/>
        <w:rPr>
          <w:i/>
        </w:rPr>
      </w:pPr>
    </w:p>
    <w:p>
      <w:pPr>
        <w:pStyle w:val="BodyText"/>
        <w:spacing w:before="219"/>
        <w:ind w:left="0"/>
        <w:rPr>
          <w:i/>
        </w:rPr>
      </w:pPr>
    </w:p>
    <w:p>
      <w:pPr>
        <w:pStyle w:val="BodyText"/>
        <w:spacing w:line="360" w:lineRule="auto" w:before="1"/>
        <w:ind w:right="850"/>
        <w:jc w:val="both"/>
      </w:pPr>
      <w:r>
        <w:rPr/>
        <w:t>En la Tabla 6, se</w:t>
      </w:r>
      <w:r>
        <w:rPr>
          <w:spacing w:val="-1"/>
        </w:rPr>
        <w:t> </w:t>
      </w:r>
      <w:r>
        <w:rPr/>
        <w:t>observan los valores promedios</w:t>
      </w:r>
      <w:r>
        <w:rPr>
          <w:spacing w:val="-1"/>
        </w:rPr>
        <w:t> </w:t>
      </w:r>
      <w:r>
        <w:rPr/>
        <w:t>de</w:t>
      </w:r>
      <w:r>
        <w:rPr>
          <w:spacing w:val="-1"/>
        </w:rPr>
        <w:t> </w:t>
      </w:r>
      <w:r>
        <w:rPr/>
        <w:t>frecuencia cardiaca</w:t>
      </w:r>
      <w:r>
        <w:rPr>
          <w:spacing w:val="-1"/>
        </w:rPr>
        <w:t> </w:t>
      </w:r>
      <w:r>
        <w:rPr/>
        <w:t>obtenidas previas</w:t>
      </w:r>
      <w:r>
        <w:rPr>
          <w:spacing w:val="-3"/>
        </w:rPr>
        <w:t> </w:t>
      </w:r>
      <w:r>
        <w:rPr/>
        <w:t>a</w:t>
      </w:r>
      <w:r>
        <w:rPr>
          <w:spacing w:val="-7"/>
        </w:rPr>
        <w:t> </w:t>
      </w:r>
      <w:r>
        <w:rPr/>
        <w:t>la</w:t>
      </w:r>
      <w:r>
        <w:rPr>
          <w:spacing w:val="-3"/>
        </w:rPr>
        <w:t> </w:t>
      </w:r>
      <w:r>
        <w:rPr/>
        <w:t>aplicación</w:t>
      </w:r>
      <w:r>
        <w:rPr>
          <w:spacing w:val="-1"/>
        </w:rPr>
        <w:t> </w:t>
      </w:r>
      <w:r>
        <w:rPr/>
        <w:t>y</w:t>
      </w:r>
      <w:r>
        <w:rPr>
          <w:spacing w:val="-8"/>
        </w:rPr>
        <w:t> </w:t>
      </w:r>
      <w:r>
        <w:rPr/>
        <w:t>posterior</w:t>
      </w:r>
      <w:r>
        <w:rPr>
          <w:spacing w:val="-7"/>
        </w:rPr>
        <w:t> </w:t>
      </w:r>
      <w:r>
        <w:rPr/>
        <w:t>al</w:t>
      </w:r>
      <w:r>
        <w:rPr>
          <w:spacing w:val="-5"/>
        </w:rPr>
        <w:t> </w:t>
      </w:r>
      <w:r>
        <w:rPr/>
        <w:t>descorne,</w:t>
      </w:r>
      <w:r>
        <w:rPr>
          <w:spacing w:val="-3"/>
        </w:rPr>
        <w:t> </w:t>
      </w:r>
      <w:r>
        <w:rPr/>
        <w:t>en</w:t>
      </w:r>
      <w:r>
        <w:rPr>
          <w:spacing w:val="-3"/>
        </w:rPr>
        <w:t> </w:t>
      </w:r>
      <w:r>
        <w:rPr/>
        <w:t>los</w:t>
      </w:r>
      <w:r>
        <w:rPr>
          <w:spacing w:val="-5"/>
        </w:rPr>
        <w:t> </w:t>
      </w:r>
      <w:r>
        <w:rPr/>
        <w:t>terneros</w:t>
      </w:r>
      <w:r>
        <w:rPr>
          <w:spacing w:val="-4"/>
        </w:rPr>
        <w:t> </w:t>
      </w:r>
      <w:r>
        <w:rPr/>
        <w:t>evaluados.</w:t>
      </w:r>
      <w:r>
        <w:rPr>
          <w:spacing w:val="-6"/>
        </w:rPr>
        <w:t> </w:t>
      </w:r>
      <w:r>
        <w:rPr/>
        <w:t>Antes</w:t>
      </w:r>
      <w:r>
        <w:rPr>
          <w:spacing w:val="-6"/>
        </w:rPr>
        <w:t> </w:t>
      </w:r>
      <w:r>
        <w:rPr/>
        <w:t>del descorne,</w:t>
      </w:r>
      <w:r>
        <w:rPr>
          <w:spacing w:val="1"/>
        </w:rPr>
        <w:t> </w:t>
      </w:r>
      <w:r>
        <w:rPr/>
        <w:t>los</w:t>
      </w:r>
      <w:r>
        <w:rPr>
          <w:spacing w:val="1"/>
        </w:rPr>
        <w:t> </w:t>
      </w:r>
      <w:r>
        <w:rPr/>
        <w:t>valores</w:t>
      </w:r>
      <w:r>
        <w:rPr>
          <w:spacing w:val="1"/>
        </w:rPr>
        <w:t> </w:t>
      </w:r>
      <w:r>
        <w:rPr/>
        <w:t>de</w:t>
      </w:r>
      <w:r>
        <w:rPr>
          <w:spacing w:val="1"/>
        </w:rPr>
        <w:t> </w:t>
      </w:r>
      <w:r>
        <w:rPr/>
        <w:t>frecuencia</w:t>
      </w:r>
      <w:r>
        <w:rPr>
          <w:spacing w:val="3"/>
        </w:rPr>
        <w:t> </w:t>
      </w:r>
      <w:r>
        <w:rPr/>
        <w:t>cardiaca fueron</w:t>
      </w:r>
      <w:r>
        <w:rPr>
          <w:spacing w:val="2"/>
        </w:rPr>
        <w:t> </w:t>
      </w:r>
      <w:r>
        <w:rPr/>
        <w:t>similares</w:t>
      </w:r>
      <w:r>
        <w:rPr>
          <w:spacing w:val="1"/>
        </w:rPr>
        <w:t> </w:t>
      </w:r>
      <w:r>
        <w:rPr/>
        <w:t>entre tratamientos</w:t>
      </w:r>
      <w:r>
        <w:rPr>
          <w:spacing w:val="2"/>
        </w:rPr>
        <w:t> </w:t>
      </w:r>
      <w:r>
        <w:rPr>
          <w:spacing w:val="-5"/>
        </w:rPr>
        <w:t>de</w:t>
      </w:r>
    </w:p>
    <w:p>
      <w:pPr>
        <w:pStyle w:val="BodyText"/>
        <w:spacing w:line="360" w:lineRule="auto" w:before="2"/>
        <w:ind w:right="850"/>
        <w:jc w:val="both"/>
      </w:pPr>
      <w:r>
        <w:rPr/>
        <w:t>91.5 a 96.5 latidos/min, lo que indica que el estado fisiológico de los animales era similar (en torno a 0.98) anterior a la aplicación de tratamientos.</w:t>
      </w:r>
    </w:p>
    <w:p>
      <w:pPr>
        <w:pStyle w:val="BodyText"/>
        <w:spacing w:line="360" w:lineRule="auto" w:before="240"/>
        <w:ind w:right="845"/>
        <w:jc w:val="both"/>
      </w:pPr>
      <w:r>
        <w:rPr/>
        <w:t>Tras</w:t>
      </w:r>
      <w:r>
        <w:rPr>
          <w:spacing w:val="-8"/>
        </w:rPr>
        <w:t> </w:t>
      </w:r>
      <w:r>
        <w:rPr/>
        <w:t>la</w:t>
      </w:r>
      <w:r>
        <w:rPr>
          <w:spacing w:val="-9"/>
        </w:rPr>
        <w:t> </w:t>
      </w:r>
      <w:r>
        <w:rPr/>
        <w:t>realización</w:t>
      </w:r>
      <w:r>
        <w:rPr>
          <w:spacing w:val="-8"/>
        </w:rPr>
        <w:t> </w:t>
      </w:r>
      <w:r>
        <w:rPr/>
        <w:t>del</w:t>
      </w:r>
      <w:r>
        <w:rPr>
          <w:spacing w:val="-8"/>
        </w:rPr>
        <w:t> </w:t>
      </w:r>
      <w:r>
        <w:rPr/>
        <w:t>descorne</w:t>
      </w:r>
      <w:r>
        <w:rPr>
          <w:spacing w:val="-10"/>
        </w:rPr>
        <w:t> </w:t>
      </w:r>
      <w:r>
        <w:rPr/>
        <w:t>se</w:t>
      </w:r>
      <w:r>
        <w:rPr>
          <w:spacing w:val="-9"/>
        </w:rPr>
        <w:t> </w:t>
      </w:r>
      <w:r>
        <w:rPr/>
        <w:t>registró</w:t>
      </w:r>
      <w:r>
        <w:rPr>
          <w:spacing w:val="-9"/>
        </w:rPr>
        <w:t> </w:t>
      </w:r>
      <w:r>
        <w:rPr/>
        <w:t>un</w:t>
      </w:r>
      <w:r>
        <w:rPr>
          <w:spacing w:val="-8"/>
        </w:rPr>
        <w:t> </w:t>
      </w:r>
      <w:r>
        <w:rPr/>
        <w:t>aumento</w:t>
      </w:r>
      <w:r>
        <w:rPr>
          <w:spacing w:val="-8"/>
        </w:rPr>
        <w:t> </w:t>
      </w:r>
      <w:r>
        <w:rPr/>
        <w:t>en</w:t>
      </w:r>
      <w:r>
        <w:rPr>
          <w:spacing w:val="-8"/>
        </w:rPr>
        <w:t> </w:t>
      </w:r>
      <w:r>
        <w:rPr/>
        <w:t>los</w:t>
      </w:r>
      <w:r>
        <w:rPr>
          <w:spacing w:val="-8"/>
        </w:rPr>
        <w:t> </w:t>
      </w:r>
      <w:r>
        <w:rPr/>
        <w:t>valores</w:t>
      </w:r>
      <w:r>
        <w:rPr>
          <w:spacing w:val="-8"/>
        </w:rPr>
        <w:t> </w:t>
      </w:r>
      <w:r>
        <w:rPr/>
        <w:t>de</w:t>
      </w:r>
      <w:r>
        <w:rPr>
          <w:spacing w:val="-9"/>
        </w:rPr>
        <w:t> </w:t>
      </w:r>
      <w:r>
        <w:rPr/>
        <w:t>frecuencia cardiaca</w:t>
      </w:r>
      <w:r>
        <w:rPr>
          <w:spacing w:val="-4"/>
        </w:rPr>
        <w:t> </w:t>
      </w:r>
      <w:r>
        <w:rPr/>
        <w:t>en</w:t>
      </w:r>
      <w:r>
        <w:rPr>
          <w:spacing w:val="-4"/>
        </w:rPr>
        <w:t> </w:t>
      </w:r>
      <w:r>
        <w:rPr/>
        <w:t>todas</w:t>
      </w:r>
      <w:r>
        <w:rPr>
          <w:spacing w:val="-4"/>
        </w:rPr>
        <w:t> </w:t>
      </w:r>
      <w:r>
        <w:rPr/>
        <w:t>las</w:t>
      </w:r>
      <w:r>
        <w:rPr>
          <w:spacing w:val="-4"/>
        </w:rPr>
        <w:t> </w:t>
      </w:r>
      <w:r>
        <w:rPr/>
        <w:t>unidades</w:t>
      </w:r>
      <w:r>
        <w:rPr>
          <w:spacing w:val="-4"/>
        </w:rPr>
        <w:t> </w:t>
      </w:r>
      <w:r>
        <w:rPr/>
        <w:t>experimentales.</w:t>
      </w:r>
      <w:r>
        <w:rPr>
          <w:spacing w:val="-4"/>
        </w:rPr>
        <w:t> </w:t>
      </w:r>
      <w:r>
        <w:rPr/>
        <w:t>El</w:t>
      </w:r>
      <w:r>
        <w:rPr>
          <w:spacing w:val="-2"/>
        </w:rPr>
        <w:t> </w:t>
      </w:r>
      <w:r>
        <w:rPr/>
        <w:t>tratamiento</w:t>
      </w:r>
      <w:r>
        <w:rPr>
          <w:spacing w:val="-4"/>
        </w:rPr>
        <w:t> </w:t>
      </w:r>
      <w:r>
        <w:rPr/>
        <w:t>que</w:t>
      </w:r>
      <w:r>
        <w:rPr>
          <w:spacing w:val="-4"/>
        </w:rPr>
        <w:t> </w:t>
      </w:r>
      <w:r>
        <w:rPr/>
        <w:t>mostró</w:t>
      </w:r>
      <w:r>
        <w:rPr>
          <w:spacing w:val="-4"/>
        </w:rPr>
        <w:t> </w:t>
      </w:r>
      <w:r>
        <w:rPr/>
        <w:t>el</w:t>
      </w:r>
      <w:r>
        <w:rPr>
          <w:spacing w:val="-4"/>
        </w:rPr>
        <w:t> </w:t>
      </w:r>
      <w:r>
        <w:rPr/>
        <w:t>mayor valor fue T1 (Lidocaína Tamponada + Flunixin Meglumine) con 130.25 latidos/min;</w:t>
      </w:r>
      <w:r>
        <w:rPr>
          <w:spacing w:val="2"/>
        </w:rPr>
        <w:t> </w:t>
      </w:r>
      <w:r>
        <w:rPr/>
        <w:t>en</w:t>
      </w:r>
      <w:r>
        <w:rPr>
          <w:spacing w:val="4"/>
        </w:rPr>
        <w:t> </w:t>
      </w:r>
      <w:r>
        <w:rPr/>
        <w:t>tanto</w:t>
      </w:r>
      <w:r>
        <w:rPr>
          <w:spacing w:val="4"/>
        </w:rPr>
        <w:t> </w:t>
      </w:r>
      <w:r>
        <w:rPr/>
        <w:t>que el</w:t>
      </w:r>
      <w:r>
        <w:rPr>
          <w:spacing w:val="5"/>
        </w:rPr>
        <w:t> </w:t>
      </w:r>
      <w:r>
        <w:rPr/>
        <w:t>tratamiento</w:t>
      </w:r>
      <w:r>
        <w:rPr>
          <w:spacing w:val="4"/>
        </w:rPr>
        <w:t> </w:t>
      </w:r>
      <w:r>
        <w:rPr/>
        <w:t>que</w:t>
      </w:r>
      <w:r>
        <w:rPr>
          <w:spacing w:val="2"/>
        </w:rPr>
        <w:t> </w:t>
      </w:r>
      <w:r>
        <w:rPr/>
        <w:t>mostró</w:t>
      </w:r>
      <w:r>
        <w:rPr>
          <w:spacing w:val="4"/>
        </w:rPr>
        <w:t> </w:t>
      </w:r>
      <w:r>
        <w:rPr/>
        <w:t>el</w:t>
      </w:r>
      <w:r>
        <w:rPr>
          <w:spacing w:val="5"/>
        </w:rPr>
        <w:t> </w:t>
      </w:r>
      <w:r>
        <w:rPr/>
        <w:t>menor</w:t>
      </w:r>
      <w:r>
        <w:rPr>
          <w:spacing w:val="2"/>
        </w:rPr>
        <w:t> </w:t>
      </w:r>
      <w:r>
        <w:rPr/>
        <w:t>valor</w:t>
      </w:r>
      <w:r>
        <w:rPr>
          <w:spacing w:val="4"/>
        </w:rPr>
        <w:t> </w:t>
      </w:r>
      <w:r>
        <w:rPr/>
        <w:t>fue</w:t>
      </w:r>
      <w:r>
        <w:rPr>
          <w:spacing w:val="3"/>
        </w:rPr>
        <w:t> </w:t>
      </w:r>
      <w:r>
        <w:rPr/>
        <w:t>T3</w:t>
      </w:r>
      <w:r>
        <w:rPr>
          <w:spacing w:val="4"/>
        </w:rPr>
        <w:t> </w:t>
      </w:r>
      <w:r>
        <w:rPr>
          <w:spacing w:val="-2"/>
        </w:rPr>
        <w:t>(mezcla</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43"/>
        <w:jc w:val="both"/>
      </w:pPr>
      <w:r>
        <w:rPr/>
        <w:t>de lidocaína tamponada y bupivacaína tamponada) con 98.50 latidos/min. Según Viscardi</w:t>
      </w:r>
      <w:r>
        <w:rPr>
          <w:spacing w:val="-5"/>
        </w:rPr>
        <w:t> </w:t>
      </w:r>
      <w:r>
        <w:rPr/>
        <w:t>y</w:t>
      </w:r>
      <w:r>
        <w:rPr>
          <w:spacing w:val="-12"/>
        </w:rPr>
        <w:t> </w:t>
      </w:r>
      <w:r>
        <w:rPr/>
        <w:t>sus</w:t>
      </w:r>
      <w:r>
        <w:rPr>
          <w:spacing w:val="-9"/>
        </w:rPr>
        <w:t> </w:t>
      </w:r>
      <w:r>
        <w:rPr/>
        <w:t>colegas,</w:t>
      </w:r>
      <w:r>
        <w:rPr>
          <w:spacing w:val="-9"/>
        </w:rPr>
        <w:t> </w:t>
      </w:r>
      <w:r>
        <w:rPr/>
        <w:t>se</w:t>
      </w:r>
      <w:r>
        <w:rPr>
          <w:spacing w:val="-8"/>
        </w:rPr>
        <w:t> </w:t>
      </w:r>
      <w:r>
        <w:rPr/>
        <w:t>activan</w:t>
      </w:r>
      <w:r>
        <w:rPr>
          <w:spacing w:val="-8"/>
        </w:rPr>
        <w:t> </w:t>
      </w:r>
      <w:r>
        <w:rPr/>
        <w:t>las</w:t>
      </w:r>
      <w:r>
        <w:rPr>
          <w:spacing w:val="-10"/>
        </w:rPr>
        <w:t> </w:t>
      </w:r>
      <w:r>
        <w:rPr/>
        <w:t>SNS</w:t>
      </w:r>
      <w:r>
        <w:rPr>
          <w:spacing w:val="-9"/>
        </w:rPr>
        <w:t> </w:t>
      </w:r>
      <w:r>
        <w:rPr/>
        <w:t>tras</w:t>
      </w:r>
      <w:r>
        <w:rPr>
          <w:spacing w:val="-9"/>
        </w:rPr>
        <w:t> </w:t>
      </w:r>
      <w:r>
        <w:rPr/>
        <w:t>aplicarse</w:t>
      </w:r>
      <w:r>
        <w:rPr>
          <w:spacing w:val="-9"/>
        </w:rPr>
        <w:t> </w:t>
      </w:r>
      <w:r>
        <w:rPr/>
        <w:t>un</w:t>
      </w:r>
      <w:r>
        <w:rPr>
          <w:spacing w:val="-10"/>
        </w:rPr>
        <w:t> </w:t>
      </w:r>
      <w:r>
        <w:rPr/>
        <w:t>procedimiento</w:t>
      </w:r>
      <w:r>
        <w:rPr>
          <w:spacing w:val="-10"/>
        </w:rPr>
        <w:t> </w:t>
      </w:r>
      <w:r>
        <w:rPr/>
        <w:t>doloroso en</w:t>
      </w:r>
      <w:r>
        <w:rPr>
          <w:spacing w:val="-2"/>
        </w:rPr>
        <w:t> </w:t>
      </w:r>
      <w:r>
        <w:rPr/>
        <w:t>el</w:t>
      </w:r>
      <w:r>
        <w:rPr>
          <w:spacing w:val="-2"/>
        </w:rPr>
        <w:t> </w:t>
      </w:r>
      <w:r>
        <w:rPr/>
        <w:t>bovino, ante</w:t>
      </w:r>
      <w:r>
        <w:rPr>
          <w:spacing w:val="-2"/>
        </w:rPr>
        <w:t> </w:t>
      </w:r>
      <w:r>
        <w:rPr/>
        <w:t>lo</w:t>
      </w:r>
      <w:r>
        <w:rPr>
          <w:spacing w:val="-2"/>
        </w:rPr>
        <w:t> </w:t>
      </w:r>
      <w:r>
        <w:rPr/>
        <w:t>cual se</w:t>
      </w:r>
      <w:r>
        <w:rPr>
          <w:spacing w:val="-3"/>
        </w:rPr>
        <w:t> </w:t>
      </w:r>
      <w:r>
        <w:rPr/>
        <w:t>produce</w:t>
      </w:r>
      <w:r>
        <w:rPr>
          <w:spacing w:val="-3"/>
        </w:rPr>
        <w:t> </w:t>
      </w:r>
      <w:r>
        <w:rPr/>
        <w:t>un</w:t>
      </w:r>
      <w:r>
        <w:rPr>
          <w:spacing w:val="-2"/>
        </w:rPr>
        <w:t> </w:t>
      </w:r>
      <w:r>
        <w:rPr/>
        <w:t>incremento</w:t>
      </w:r>
      <w:r>
        <w:rPr>
          <w:spacing w:val="-2"/>
        </w:rPr>
        <w:t> </w:t>
      </w:r>
      <w:r>
        <w:rPr/>
        <w:t>en</w:t>
      </w:r>
      <w:r>
        <w:rPr>
          <w:spacing w:val="-2"/>
        </w:rPr>
        <w:t> </w:t>
      </w:r>
      <w:r>
        <w:rPr/>
        <w:t>la</w:t>
      </w:r>
      <w:r>
        <w:rPr>
          <w:spacing w:val="-1"/>
        </w:rPr>
        <w:t> </w:t>
      </w:r>
      <w:r>
        <w:rPr/>
        <w:t>frecuencia</w:t>
      </w:r>
      <w:r>
        <w:rPr>
          <w:spacing w:val="-3"/>
        </w:rPr>
        <w:t> </w:t>
      </w:r>
      <w:r>
        <w:rPr/>
        <w:t>cardiaca</w:t>
      </w:r>
      <w:r>
        <w:rPr>
          <w:spacing w:val="-3"/>
        </w:rPr>
        <w:t> </w:t>
      </w:r>
      <w:r>
        <w:rPr/>
        <w:t>entre otros parámetros fisiológicos relacionados al estrés. El tratamiento T1 mostró el mayor aumento de frecuencia cardiaca por lo que parece ser el tratamiento menos efectivo para el control del dolor.</w:t>
      </w:r>
    </w:p>
    <w:p>
      <w:pPr>
        <w:pStyle w:val="BodyText"/>
        <w:spacing w:before="84"/>
        <w:ind w:left="0"/>
      </w:pPr>
    </w:p>
    <w:p>
      <w:pPr>
        <w:pStyle w:val="BodyText"/>
        <w:spacing w:line="360" w:lineRule="auto" w:before="1"/>
        <w:ind w:right="852"/>
        <w:jc w:val="both"/>
      </w:pPr>
      <w:r>
        <w:rPr/>
        <w:t>Así mismo, se observa los valores promedio de frecuencia respiratoria registrados antes y después del despunte de los terneros evaluados.</w:t>
      </w:r>
      <w:r>
        <w:rPr>
          <w:spacing w:val="40"/>
        </w:rPr>
        <w:t> </w:t>
      </w:r>
      <w:r>
        <w:rPr/>
        <w:t>Antes del desmogue, los valores</w:t>
      </w:r>
      <w:r>
        <w:rPr>
          <w:spacing w:val="-4"/>
        </w:rPr>
        <w:t> </w:t>
      </w:r>
      <w:r>
        <w:rPr/>
        <w:t>de</w:t>
      </w:r>
      <w:r>
        <w:rPr>
          <w:spacing w:val="-3"/>
        </w:rPr>
        <w:t> </w:t>
      </w:r>
      <w:r>
        <w:rPr/>
        <w:t>frecuencia</w:t>
      </w:r>
      <w:r>
        <w:rPr>
          <w:spacing w:val="-5"/>
        </w:rPr>
        <w:t> </w:t>
      </w:r>
      <w:r>
        <w:rPr/>
        <w:t>respiratoria</w:t>
      </w:r>
      <w:r>
        <w:rPr>
          <w:spacing w:val="-5"/>
        </w:rPr>
        <w:t> </w:t>
      </w:r>
      <w:r>
        <w:rPr/>
        <w:t>en</w:t>
      </w:r>
      <w:r>
        <w:rPr>
          <w:spacing w:val="-4"/>
        </w:rPr>
        <w:t> </w:t>
      </w:r>
      <w:r>
        <w:rPr/>
        <w:t>los</w:t>
      </w:r>
      <w:r>
        <w:rPr>
          <w:spacing w:val="-4"/>
        </w:rPr>
        <w:t> </w:t>
      </w:r>
      <w:r>
        <w:rPr/>
        <w:t>tratamientos</w:t>
      </w:r>
      <w:r>
        <w:rPr>
          <w:spacing w:val="-4"/>
        </w:rPr>
        <w:t> </w:t>
      </w:r>
      <w:r>
        <w:rPr/>
        <w:t>fueron</w:t>
      </w:r>
      <w:r>
        <w:rPr>
          <w:spacing w:val="-4"/>
        </w:rPr>
        <w:t> </w:t>
      </w:r>
      <w:r>
        <w:rPr/>
        <w:t>bastante</w:t>
      </w:r>
      <w:r>
        <w:rPr>
          <w:spacing w:val="-5"/>
        </w:rPr>
        <w:t> </w:t>
      </w:r>
      <w:r>
        <w:rPr/>
        <w:t>similares</w:t>
      </w:r>
      <w:r>
        <w:rPr>
          <w:spacing w:val="-4"/>
        </w:rPr>
        <w:t> </w:t>
      </w:r>
      <w:r>
        <w:rPr/>
        <w:t>con variaciones comprendidas entre 26.25 y 28.75 respiraciones/min, siendo así los terneros similarmente saludables antes al desmogue.</w:t>
      </w:r>
    </w:p>
    <w:p>
      <w:pPr>
        <w:pStyle w:val="BodyText"/>
        <w:spacing w:line="360" w:lineRule="auto" w:before="239"/>
        <w:ind w:right="847"/>
        <w:jc w:val="both"/>
      </w:pPr>
      <w:r>
        <w:rPr/>
        <w:t>Después del descorne, los valores más frecuentes de la frecuencia respiratoria aumentaron,</w:t>
      </w:r>
      <w:r>
        <w:rPr>
          <w:spacing w:val="-9"/>
        </w:rPr>
        <w:t> </w:t>
      </w:r>
      <w:r>
        <w:rPr/>
        <w:t>a</w:t>
      </w:r>
      <w:r>
        <w:rPr>
          <w:spacing w:val="-7"/>
        </w:rPr>
        <w:t> </w:t>
      </w:r>
      <w:r>
        <w:rPr/>
        <w:t>excepción</w:t>
      </w:r>
      <w:r>
        <w:rPr>
          <w:spacing w:val="-8"/>
        </w:rPr>
        <w:t> </w:t>
      </w:r>
      <w:r>
        <w:rPr/>
        <w:t>de</w:t>
      </w:r>
      <w:r>
        <w:rPr>
          <w:spacing w:val="-9"/>
        </w:rPr>
        <w:t> </w:t>
      </w:r>
      <w:r>
        <w:rPr/>
        <w:t>T3,</w:t>
      </w:r>
      <w:r>
        <w:rPr>
          <w:spacing w:val="-9"/>
        </w:rPr>
        <w:t> </w:t>
      </w:r>
      <w:r>
        <w:rPr/>
        <w:t>T4</w:t>
      </w:r>
      <w:r>
        <w:rPr>
          <w:spacing w:val="-6"/>
        </w:rPr>
        <w:t> </w:t>
      </w:r>
      <w:r>
        <w:rPr/>
        <w:t>y</w:t>
      </w:r>
      <w:r>
        <w:rPr>
          <w:spacing w:val="-13"/>
        </w:rPr>
        <w:t> </w:t>
      </w:r>
      <w:r>
        <w:rPr/>
        <w:t>T5</w:t>
      </w:r>
      <w:r>
        <w:rPr>
          <w:spacing w:val="-9"/>
        </w:rPr>
        <w:t> </w:t>
      </w:r>
      <w:r>
        <w:rPr/>
        <w:t>que</w:t>
      </w:r>
      <w:r>
        <w:rPr>
          <w:spacing w:val="-9"/>
        </w:rPr>
        <w:t> </w:t>
      </w:r>
      <w:r>
        <w:rPr/>
        <w:t>mostraron</w:t>
      </w:r>
      <w:r>
        <w:rPr>
          <w:spacing w:val="-9"/>
        </w:rPr>
        <w:t> </w:t>
      </w:r>
      <w:r>
        <w:rPr/>
        <w:t>una</w:t>
      </w:r>
      <w:r>
        <w:rPr>
          <w:spacing w:val="-9"/>
        </w:rPr>
        <w:t> </w:t>
      </w:r>
      <w:r>
        <w:rPr/>
        <w:t>reducción,</w:t>
      </w:r>
      <w:r>
        <w:rPr>
          <w:spacing w:val="-8"/>
        </w:rPr>
        <w:t> </w:t>
      </w:r>
      <w:r>
        <w:rPr/>
        <w:t>con</w:t>
      </w:r>
      <w:r>
        <w:rPr>
          <w:spacing w:val="-6"/>
        </w:rPr>
        <w:t> </w:t>
      </w:r>
      <w:r>
        <w:rPr/>
        <w:t>el</w:t>
      </w:r>
      <w:r>
        <w:rPr>
          <w:spacing w:val="-8"/>
        </w:rPr>
        <w:t> </w:t>
      </w:r>
      <w:r>
        <w:rPr/>
        <w:t>valor medio más elevado fue en T1 (Lidocaína Tamponada + Flunixin Meglumine) con 58,25 respiraciones/min y el más bajo en T3 (50% Lidocaína + 50% Bupivacaína Tamponada</w:t>
      </w:r>
      <w:r>
        <w:rPr>
          <w:spacing w:val="40"/>
        </w:rPr>
        <w:t> </w:t>
      </w:r>
      <w:r>
        <w:rPr/>
        <w:t>+</w:t>
      </w:r>
      <w:r>
        <w:rPr>
          <w:spacing w:val="-1"/>
        </w:rPr>
        <w:t> </w:t>
      </w:r>
      <w:r>
        <w:rPr/>
        <w:t>Flunixin Meglumine) con 26,75 respiraciones/min. Según Adam et al., 2025, el doloroso intervencionismo en bovinos genera respuestas fisiológicas que impactan en el estrés Los parámetros fisiológicos sin embargo permanecen bastante estables, al administrar anestésico y analgésico.</w:t>
      </w:r>
    </w:p>
    <w:p>
      <w:pPr>
        <w:pStyle w:val="BodyText"/>
        <w:spacing w:line="360" w:lineRule="auto" w:before="241"/>
        <w:ind w:right="851"/>
        <w:jc w:val="both"/>
      </w:pPr>
      <w:r>
        <w:rPr/>
        <w:t>Los resultados indican que el tratamiento T1 presentó la mayor elevación de la frecuencia</w:t>
      </w:r>
      <w:r>
        <w:rPr>
          <w:spacing w:val="-1"/>
        </w:rPr>
        <w:t> </w:t>
      </w:r>
      <w:r>
        <w:rPr/>
        <w:t>respiratoria</w:t>
      </w:r>
      <w:r>
        <w:rPr>
          <w:spacing w:val="-2"/>
        </w:rPr>
        <w:t> </w:t>
      </w:r>
      <w:r>
        <w:rPr/>
        <w:t>mostrando</w:t>
      </w:r>
      <w:r>
        <w:rPr>
          <w:spacing w:val="-1"/>
        </w:rPr>
        <w:t> </w:t>
      </w:r>
      <w:r>
        <w:rPr/>
        <w:t>una</w:t>
      </w:r>
      <w:r>
        <w:rPr>
          <w:spacing w:val="-2"/>
        </w:rPr>
        <w:t> </w:t>
      </w:r>
      <w:r>
        <w:rPr/>
        <w:t>mayor</w:t>
      </w:r>
      <w:r>
        <w:rPr>
          <w:spacing w:val="-2"/>
        </w:rPr>
        <w:t> </w:t>
      </w:r>
      <w:r>
        <w:rPr/>
        <w:t>intensidad</w:t>
      </w:r>
      <w:r>
        <w:rPr>
          <w:spacing w:val="-1"/>
        </w:rPr>
        <w:t> </w:t>
      </w:r>
      <w:r>
        <w:rPr/>
        <w:t>de</w:t>
      </w:r>
      <w:r>
        <w:rPr>
          <w:spacing w:val="-2"/>
        </w:rPr>
        <w:t> </w:t>
      </w:r>
      <w:r>
        <w:rPr/>
        <w:t>la</w:t>
      </w:r>
      <w:r>
        <w:rPr>
          <w:spacing w:val="-1"/>
        </w:rPr>
        <w:t> </w:t>
      </w:r>
      <w:r>
        <w:rPr/>
        <w:t>respuesta</w:t>
      </w:r>
      <w:r>
        <w:rPr>
          <w:spacing w:val="-1"/>
        </w:rPr>
        <w:t> </w:t>
      </w:r>
      <w:r>
        <w:rPr/>
        <w:t>fisiológica al dolor, siendo inferior en el tratamiento T3 cuyos valores fueron similares a los presentados antes de hacerse el procedimiento.</w:t>
      </w:r>
    </w:p>
    <w:p>
      <w:pPr>
        <w:pStyle w:val="BodyText"/>
        <w:spacing w:line="360" w:lineRule="auto" w:before="241"/>
        <w:ind w:right="846"/>
        <w:jc w:val="both"/>
      </w:pPr>
      <w:r>
        <w:rPr/>
        <w:t>Antes del procedimiento, todos los terneros registraron temperaturas basales homogéneas</w:t>
      </w:r>
      <w:r>
        <w:rPr>
          <w:spacing w:val="-8"/>
        </w:rPr>
        <w:t> </w:t>
      </w:r>
      <w:r>
        <w:rPr/>
        <w:t>dentro</w:t>
      </w:r>
      <w:r>
        <w:rPr>
          <w:spacing w:val="-9"/>
        </w:rPr>
        <w:t> </w:t>
      </w:r>
      <w:r>
        <w:rPr/>
        <w:t>de</w:t>
      </w:r>
      <w:r>
        <w:rPr>
          <w:spacing w:val="-9"/>
        </w:rPr>
        <w:t> </w:t>
      </w:r>
      <w:r>
        <w:rPr/>
        <w:t>los</w:t>
      </w:r>
      <w:r>
        <w:rPr>
          <w:spacing w:val="-8"/>
        </w:rPr>
        <w:t> </w:t>
      </w:r>
      <w:r>
        <w:rPr/>
        <w:t>rangos</w:t>
      </w:r>
      <w:r>
        <w:rPr>
          <w:spacing w:val="-8"/>
        </w:rPr>
        <w:t> </w:t>
      </w:r>
      <w:r>
        <w:rPr/>
        <w:t>fisiológicos</w:t>
      </w:r>
      <w:r>
        <w:rPr>
          <w:spacing w:val="-9"/>
        </w:rPr>
        <w:t> </w:t>
      </w:r>
      <w:r>
        <w:rPr/>
        <w:t>normales,</w:t>
      </w:r>
      <w:r>
        <w:rPr>
          <w:spacing w:val="-8"/>
        </w:rPr>
        <w:t> </w:t>
      </w:r>
      <w:r>
        <w:rPr/>
        <w:t>ubicándose</w:t>
      </w:r>
      <w:r>
        <w:rPr>
          <w:spacing w:val="-7"/>
        </w:rPr>
        <w:t> </w:t>
      </w:r>
      <w:r>
        <w:rPr/>
        <w:t>entre</w:t>
      </w:r>
      <w:r>
        <w:rPr>
          <w:spacing w:val="-6"/>
        </w:rPr>
        <w:t> </w:t>
      </w:r>
      <w:r>
        <w:rPr/>
        <w:t>38.45</w:t>
      </w:r>
      <w:r>
        <w:rPr>
          <w:spacing w:val="-8"/>
        </w:rPr>
        <w:t> </w:t>
      </w:r>
      <w:r>
        <w:rPr/>
        <w:t>°C y 38.60 °C. Sin embargo, tras el descorne, el grupo testigo (T0) experimentó el mayor incremento térmico al alcanzar 39.75 °C, situándose en un estado febril desencadenado</w:t>
      </w:r>
      <w:r>
        <w:rPr>
          <w:spacing w:val="-15"/>
        </w:rPr>
        <w:t> </w:t>
      </w:r>
      <w:r>
        <w:rPr/>
        <w:t>por</w:t>
      </w:r>
      <w:r>
        <w:rPr>
          <w:spacing w:val="-15"/>
        </w:rPr>
        <w:t> </w:t>
      </w:r>
      <w:r>
        <w:rPr/>
        <w:t>el</w:t>
      </w:r>
      <w:r>
        <w:rPr>
          <w:spacing w:val="-15"/>
        </w:rPr>
        <w:t> </w:t>
      </w:r>
      <w:r>
        <w:rPr/>
        <w:t>traumatismo</w:t>
      </w:r>
      <w:r>
        <w:rPr>
          <w:spacing w:val="-15"/>
        </w:rPr>
        <w:t> </w:t>
      </w:r>
      <w:r>
        <w:rPr/>
        <w:t>y</w:t>
      </w:r>
      <w:r>
        <w:rPr>
          <w:spacing w:val="-15"/>
        </w:rPr>
        <w:t> </w:t>
      </w:r>
      <w:r>
        <w:rPr/>
        <w:t>la</w:t>
      </w:r>
      <w:r>
        <w:rPr>
          <w:spacing w:val="-15"/>
        </w:rPr>
        <w:t> </w:t>
      </w:r>
      <w:r>
        <w:rPr/>
        <w:t>liberación</w:t>
      </w:r>
      <w:r>
        <w:rPr>
          <w:spacing w:val="-15"/>
        </w:rPr>
        <w:t> </w:t>
      </w:r>
      <w:r>
        <w:rPr/>
        <w:t>de</w:t>
      </w:r>
      <w:r>
        <w:rPr>
          <w:spacing w:val="-15"/>
        </w:rPr>
        <w:t> </w:t>
      </w:r>
      <w:r>
        <w:rPr/>
        <w:t>citocinas</w:t>
      </w:r>
      <w:r>
        <w:rPr>
          <w:spacing w:val="-15"/>
        </w:rPr>
        <w:t> </w:t>
      </w:r>
      <w:r>
        <w:rPr/>
        <w:t>proinflamatorias.</w:t>
      </w:r>
      <w:r>
        <w:rPr>
          <w:spacing w:val="-15"/>
        </w:rPr>
        <w:t> </w:t>
      </w:r>
      <w:r>
        <w:rPr/>
        <w:t>Por su</w:t>
      </w:r>
      <w:r>
        <w:rPr>
          <w:spacing w:val="-15"/>
        </w:rPr>
        <w:t> </w:t>
      </w:r>
      <w:r>
        <w:rPr/>
        <w:t>parte,</w:t>
      </w:r>
      <w:r>
        <w:rPr>
          <w:spacing w:val="-14"/>
        </w:rPr>
        <w:t> </w:t>
      </w:r>
      <w:r>
        <w:rPr/>
        <w:t>los</w:t>
      </w:r>
      <w:r>
        <w:rPr>
          <w:spacing w:val="-12"/>
        </w:rPr>
        <w:t> </w:t>
      </w:r>
      <w:r>
        <w:rPr/>
        <w:t>tratamientos</w:t>
      </w:r>
      <w:r>
        <w:rPr>
          <w:spacing w:val="-10"/>
        </w:rPr>
        <w:t> </w:t>
      </w:r>
      <w:r>
        <w:rPr/>
        <w:t>T1</w:t>
      </w:r>
      <w:r>
        <w:rPr>
          <w:spacing w:val="-11"/>
        </w:rPr>
        <w:t> </w:t>
      </w:r>
      <w:r>
        <w:rPr/>
        <w:t>y</w:t>
      </w:r>
      <w:r>
        <w:rPr>
          <w:spacing w:val="-15"/>
        </w:rPr>
        <w:t> </w:t>
      </w:r>
      <w:r>
        <w:rPr/>
        <w:t>T2</w:t>
      </w:r>
      <w:r>
        <w:rPr>
          <w:spacing w:val="-13"/>
        </w:rPr>
        <w:t> </w:t>
      </w:r>
      <w:r>
        <w:rPr/>
        <w:t>mostraron</w:t>
      </w:r>
      <w:r>
        <w:rPr>
          <w:spacing w:val="-14"/>
        </w:rPr>
        <w:t> </w:t>
      </w:r>
      <w:r>
        <w:rPr/>
        <w:t>elevaciones</w:t>
      </w:r>
      <w:r>
        <w:rPr>
          <w:spacing w:val="-13"/>
        </w:rPr>
        <w:t> </w:t>
      </w:r>
      <w:r>
        <w:rPr/>
        <w:t>moderadas</w:t>
      </w:r>
      <w:r>
        <w:rPr>
          <w:spacing w:val="-13"/>
        </w:rPr>
        <w:t> </w:t>
      </w:r>
      <w:r>
        <w:rPr/>
        <w:t>de</w:t>
      </w:r>
      <w:r>
        <w:rPr>
          <w:spacing w:val="-14"/>
        </w:rPr>
        <w:t> </w:t>
      </w:r>
      <w:r>
        <w:rPr/>
        <w:t>temperatura postoperatoria</w:t>
      </w:r>
      <w:r>
        <w:rPr>
          <w:spacing w:val="54"/>
          <w:w w:val="150"/>
        </w:rPr>
        <w:t> </w:t>
      </w:r>
      <w:r>
        <w:rPr/>
        <w:t>con</w:t>
      </w:r>
      <w:r>
        <w:rPr>
          <w:spacing w:val="55"/>
          <w:w w:val="150"/>
        </w:rPr>
        <w:t> </w:t>
      </w:r>
      <w:r>
        <w:rPr/>
        <w:t>39.40</w:t>
      </w:r>
      <w:r>
        <w:rPr>
          <w:spacing w:val="55"/>
          <w:w w:val="150"/>
        </w:rPr>
        <w:t> </w:t>
      </w:r>
      <w:r>
        <w:rPr/>
        <w:t>°C</w:t>
      </w:r>
      <w:r>
        <w:rPr>
          <w:spacing w:val="58"/>
          <w:w w:val="150"/>
        </w:rPr>
        <w:t> </w:t>
      </w:r>
      <w:r>
        <w:rPr/>
        <w:t>y</w:t>
      </w:r>
      <w:r>
        <w:rPr>
          <w:spacing w:val="77"/>
        </w:rPr>
        <w:t> </w:t>
      </w:r>
      <w:r>
        <w:rPr/>
        <w:t>38.90</w:t>
      </w:r>
      <w:r>
        <w:rPr>
          <w:spacing w:val="55"/>
          <w:w w:val="150"/>
        </w:rPr>
        <w:t> </w:t>
      </w:r>
      <w:r>
        <w:rPr/>
        <w:t>°C,</w:t>
      </w:r>
      <w:r>
        <w:rPr>
          <w:spacing w:val="55"/>
          <w:w w:val="150"/>
        </w:rPr>
        <w:t> </w:t>
      </w:r>
      <w:r>
        <w:rPr/>
        <w:t>respectivamente.</w:t>
      </w:r>
      <w:r>
        <w:rPr>
          <w:spacing w:val="55"/>
          <w:w w:val="150"/>
        </w:rPr>
        <w:t> </w:t>
      </w:r>
      <w:r>
        <w:rPr/>
        <w:t>En</w:t>
      </w:r>
      <w:r>
        <w:rPr>
          <w:spacing w:val="54"/>
          <w:w w:val="150"/>
        </w:rPr>
        <w:t> </w:t>
      </w:r>
      <w:r>
        <w:rPr/>
        <w:t>contraste,</w:t>
      </w:r>
      <w:r>
        <w:rPr>
          <w:spacing w:val="55"/>
          <w:w w:val="150"/>
        </w:rPr>
        <w:t> </w:t>
      </w:r>
      <w:r>
        <w:rPr>
          <w:spacing w:val="-5"/>
        </w:rPr>
        <w:t>el</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43"/>
        <w:jc w:val="both"/>
      </w:pPr>
      <w:r>
        <w:rPr/>
        <w:t>tratamiento T3 (50% Lidocaína + 50% Bupivacaína Tamponada + Flunixin Meglumine)</w:t>
      </w:r>
      <w:r>
        <w:rPr>
          <w:spacing w:val="11"/>
        </w:rPr>
        <w:t> </w:t>
      </w:r>
      <w:r>
        <w:rPr/>
        <w:t>evidenció</w:t>
      </w:r>
      <w:r>
        <w:rPr>
          <w:spacing w:val="10"/>
        </w:rPr>
        <w:t> </w:t>
      </w:r>
      <w:r>
        <w:rPr/>
        <w:t>la</w:t>
      </w:r>
      <w:r>
        <w:rPr>
          <w:spacing w:val="13"/>
        </w:rPr>
        <w:t> </w:t>
      </w:r>
      <w:r>
        <w:rPr/>
        <w:t>mayor</w:t>
      </w:r>
      <w:r>
        <w:rPr>
          <w:spacing w:val="11"/>
        </w:rPr>
        <w:t> </w:t>
      </w:r>
      <w:r>
        <w:rPr/>
        <w:t>estabilidad</w:t>
      </w:r>
      <w:r>
        <w:rPr>
          <w:spacing w:val="10"/>
        </w:rPr>
        <w:t> </w:t>
      </w:r>
      <w:r>
        <w:rPr/>
        <w:t>térmica</w:t>
      </w:r>
      <w:r>
        <w:rPr>
          <w:spacing w:val="8"/>
        </w:rPr>
        <w:t> </w:t>
      </w:r>
      <w:r>
        <w:rPr/>
        <w:t>al</w:t>
      </w:r>
      <w:r>
        <w:rPr>
          <w:spacing w:val="10"/>
        </w:rPr>
        <w:t> </w:t>
      </w:r>
      <w:r>
        <w:rPr/>
        <w:t>registrar</w:t>
      </w:r>
      <w:r>
        <w:rPr>
          <w:spacing w:val="9"/>
        </w:rPr>
        <w:t> </w:t>
      </w:r>
      <w:r>
        <w:rPr/>
        <w:t>únicamente</w:t>
      </w:r>
      <w:r>
        <w:rPr>
          <w:spacing w:val="9"/>
        </w:rPr>
        <w:t> </w:t>
      </w:r>
      <w:r>
        <w:rPr>
          <w:spacing w:val="-2"/>
        </w:rPr>
        <w:t>38.65</w:t>
      </w:r>
    </w:p>
    <w:p>
      <w:pPr>
        <w:pStyle w:val="BodyText"/>
        <w:spacing w:line="360" w:lineRule="auto" w:before="1"/>
        <w:ind w:right="847"/>
        <w:jc w:val="both"/>
      </w:pPr>
      <w:r>
        <w:rPr/>
        <w:t>°C después del descorne, muy cercano a su valor inicial. Estos resultados demuestran que la analgesia multimodal del protocolo T3 mitiga de manera más efectiva la respuesta inflamatoria sistémica y el estrés fisiológico derivados de la intervención quirúrgica.</w:t>
      </w:r>
    </w:p>
    <w:p>
      <w:pPr>
        <w:pStyle w:val="BodyText"/>
        <w:spacing w:before="83"/>
        <w:ind w:left="0"/>
      </w:pPr>
    </w:p>
    <w:p>
      <w:pPr>
        <w:pStyle w:val="BodyText"/>
        <w:spacing w:line="360" w:lineRule="auto" w:before="1"/>
        <w:ind w:right="844"/>
        <w:jc w:val="both"/>
      </w:pPr>
      <w:r>
        <w:rPr/>
        <w:t>El efecto de tratamientos analgésicos en las respuestas fisiológicas de los terneros sometidos al descorne. Se</w:t>
      </w:r>
      <w:r>
        <w:rPr>
          <w:spacing w:val="-1"/>
        </w:rPr>
        <w:t> </w:t>
      </w:r>
      <w:r>
        <w:rPr/>
        <w:t>notó el mayor</w:t>
      </w:r>
      <w:r>
        <w:rPr>
          <w:spacing w:val="-1"/>
        </w:rPr>
        <w:t> </w:t>
      </w:r>
      <w:r>
        <w:rPr/>
        <w:t>valor</w:t>
      </w:r>
      <w:r>
        <w:rPr>
          <w:spacing w:val="-1"/>
        </w:rPr>
        <w:t> </w:t>
      </w:r>
      <w:r>
        <w:rPr/>
        <w:t>de la</w:t>
      </w:r>
      <w:r>
        <w:rPr>
          <w:spacing w:val="-1"/>
        </w:rPr>
        <w:t> </w:t>
      </w:r>
      <w:r>
        <w:rPr/>
        <w:t>frecuencia</w:t>
      </w:r>
      <w:r>
        <w:rPr>
          <w:spacing w:val="-1"/>
        </w:rPr>
        <w:t> </w:t>
      </w:r>
      <w:r>
        <w:rPr/>
        <w:t>cardiaca</w:t>
      </w:r>
      <w:r>
        <w:rPr>
          <w:spacing w:val="-1"/>
        </w:rPr>
        <w:t> </w:t>
      </w:r>
      <w:r>
        <w:rPr/>
        <w:t>para</w:t>
      </w:r>
      <w:r>
        <w:rPr>
          <w:spacing w:val="-2"/>
        </w:rPr>
        <w:t> </w:t>
      </w:r>
      <w:r>
        <w:rPr/>
        <w:t>el T1 (lidocaína tamponada + flunixin meglumine) con 130,25 lat/min y el segundo mayor para el T2 (bupivacaina tamponada + flunixin meglumine) con 124,75 lat/min.</w:t>
      </w:r>
      <w:r>
        <w:rPr>
          <w:spacing w:val="37"/>
        </w:rPr>
        <w:t> </w:t>
      </w:r>
      <w:r>
        <w:rPr/>
        <w:t>Mientras</w:t>
      </w:r>
      <w:r>
        <w:rPr>
          <w:spacing w:val="-12"/>
        </w:rPr>
        <w:t> </w:t>
      </w:r>
      <w:r>
        <w:rPr/>
        <w:t>que</w:t>
      </w:r>
      <w:r>
        <w:rPr>
          <w:spacing w:val="-13"/>
        </w:rPr>
        <w:t> </w:t>
      </w:r>
      <w:r>
        <w:rPr/>
        <w:t>el</w:t>
      </w:r>
      <w:r>
        <w:rPr>
          <w:spacing w:val="-12"/>
        </w:rPr>
        <w:t> </w:t>
      </w:r>
      <w:r>
        <w:rPr/>
        <w:t>menor</w:t>
      </w:r>
      <w:r>
        <w:rPr>
          <w:spacing w:val="-13"/>
        </w:rPr>
        <w:t> </w:t>
      </w:r>
      <w:r>
        <w:rPr/>
        <w:t>valor</w:t>
      </w:r>
      <w:r>
        <w:rPr>
          <w:spacing w:val="-12"/>
        </w:rPr>
        <w:t> </w:t>
      </w:r>
      <w:r>
        <w:rPr/>
        <w:t>en</w:t>
      </w:r>
      <w:r>
        <w:rPr>
          <w:spacing w:val="-12"/>
        </w:rPr>
        <w:t> </w:t>
      </w:r>
      <w:r>
        <w:rPr/>
        <w:t>esta</w:t>
      </w:r>
      <w:r>
        <w:rPr>
          <w:spacing w:val="-12"/>
        </w:rPr>
        <w:t> </w:t>
      </w:r>
      <w:r>
        <w:rPr/>
        <w:t>variable</w:t>
      </w:r>
      <w:r>
        <w:rPr>
          <w:spacing w:val="-13"/>
        </w:rPr>
        <w:t> </w:t>
      </w:r>
      <w:r>
        <w:rPr/>
        <w:t>se</w:t>
      </w:r>
      <w:r>
        <w:rPr>
          <w:spacing w:val="-13"/>
        </w:rPr>
        <w:t> </w:t>
      </w:r>
      <w:r>
        <w:rPr/>
        <w:t>observó</w:t>
      </w:r>
      <w:r>
        <w:rPr>
          <w:spacing w:val="-13"/>
        </w:rPr>
        <w:t> </w:t>
      </w:r>
      <w:r>
        <w:rPr/>
        <w:t>para</w:t>
      </w:r>
      <w:r>
        <w:rPr>
          <w:spacing w:val="-13"/>
        </w:rPr>
        <w:t> </w:t>
      </w:r>
      <w:r>
        <w:rPr/>
        <w:t>el</w:t>
      </w:r>
      <w:r>
        <w:rPr>
          <w:spacing w:val="-12"/>
        </w:rPr>
        <w:t> </w:t>
      </w:r>
      <w:r>
        <w:rPr/>
        <w:t>tratamiento T3</w:t>
      </w:r>
      <w:r>
        <w:rPr>
          <w:spacing w:val="-9"/>
        </w:rPr>
        <w:t> </w:t>
      </w:r>
      <w:r>
        <w:rPr/>
        <w:t>(50</w:t>
      </w:r>
      <w:r>
        <w:rPr>
          <w:spacing w:val="-9"/>
        </w:rPr>
        <w:t> </w:t>
      </w:r>
      <w:r>
        <w:rPr/>
        <w:t>%</w:t>
      </w:r>
      <w:r>
        <w:rPr>
          <w:spacing w:val="-4"/>
        </w:rPr>
        <w:t> </w:t>
      </w:r>
      <w:r>
        <w:rPr/>
        <w:t>Lidocaína</w:t>
      </w:r>
      <w:r>
        <w:rPr>
          <w:spacing w:val="-9"/>
        </w:rPr>
        <w:t> </w:t>
      </w:r>
      <w:r>
        <w:rPr/>
        <w:t>+</w:t>
      </w:r>
      <w:r>
        <w:rPr>
          <w:spacing w:val="-7"/>
        </w:rPr>
        <w:t> </w:t>
      </w:r>
      <w:r>
        <w:rPr/>
        <w:t>50</w:t>
      </w:r>
      <w:r>
        <w:rPr>
          <w:spacing w:val="-6"/>
        </w:rPr>
        <w:t> </w:t>
      </w:r>
      <w:r>
        <w:rPr/>
        <w:t>%</w:t>
      </w:r>
      <w:r>
        <w:rPr>
          <w:spacing w:val="-7"/>
        </w:rPr>
        <w:t> </w:t>
      </w:r>
      <w:r>
        <w:rPr/>
        <w:t>Bupivacaína</w:t>
      </w:r>
      <w:r>
        <w:rPr>
          <w:spacing w:val="-6"/>
        </w:rPr>
        <w:t> </w:t>
      </w:r>
      <w:r>
        <w:rPr/>
        <w:t>+</w:t>
      </w:r>
      <w:r>
        <w:rPr>
          <w:spacing w:val="-7"/>
        </w:rPr>
        <w:t> </w:t>
      </w:r>
      <w:r>
        <w:rPr/>
        <w:t>flunixin</w:t>
      </w:r>
      <w:r>
        <w:rPr>
          <w:spacing w:val="-7"/>
        </w:rPr>
        <w:t> </w:t>
      </w:r>
      <w:r>
        <w:rPr/>
        <w:t>meglumine)</w:t>
      </w:r>
      <w:r>
        <w:rPr>
          <w:spacing w:val="-9"/>
        </w:rPr>
        <w:t> </w:t>
      </w:r>
      <w:r>
        <w:rPr/>
        <w:t>con</w:t>
      </w:r>
      <w:r>
        <w:rPr>
          <w:spacing w:val="-6"/>
        </w:rPr>
        <w:t> </w:t>
      </w:r>
      <w:r>
        <w:rPr/>
        <w:t>98.50</w:t>
      </w:r>
      <w:r>
        <w:rPr>
          <w:spacing w:val="-6"/>
        </w:rPr>
        <w:t> </w:t>
      </w:r>
      <w:r>
        <w:rPr/>
        <w:t>lat/min. Igualmente se puede notar en la frecuencia respiratoria donde el tratamiento T1 (Lidocaína</w:t>
      </w:r>
      <w:r>
        <w:rPr>
          <w:spacing w:val="-6"/>
        </w:rPr>
        <w:t> </w:t>
      </w:r>
      <w:r>
        <w:rPr/>
        <w:t>+</w:t>
      </w:r>
      <w:r>
        <w:rPr>
          <w:spacing w:val="-6"/>
        </w:rPr>
        <w:t> </w:t>
      </w:r>
      <w:r>
        <w:rPr/>
        <w:t>flunixin</w:t>
      </w:r>
      <w:r>
        <w:rPr>
          <w:spacing w:val="-5"/>
        </w:rPr>
        <w:t> </w:t>
      </w:r>
      <w:r>
        <w:rPr/>
        <w:t>meglumine)</w:t>
      </w:r>
      <w:r>
        <w:rPr>
          <w:spacing w:val="-7"/>
        </w:rPr>
        <w:t> </w:t>
      </w:r>
      <w:r>
        <w:rPr/>
        <w:t>mostró</w:t>
      </w:r>
      <w:r>
        <w:rPr>
          <w:spacing w:val="-5"/>
        </w:rPr>
        <w:t> </w:t>
      </w:r>
      <w:r>
        <w:rPr/>
        <w:t>el</w:t>
      </w:r>
      <w:r>
        <w:rPr>
          <w:spacing w:val="-5"/>
        </w:rPr>
        <w:t> </w:t>
      </w:r>
      <w:r>
        <w:rPr/>
        <w:t>mayor</w:t>
      </w:r>
      <w:r>
        <w:rPr>
          <w:spacing w:val="-7"/>
        </w:rPr>
        <w:t> </w:t>
      </w:r>
      <w:r>
        <w:rPr/>
        <w:t>valor</w:t>
      </w:r>
      <w:r>
        <w:rPr>
          <w:spacing w:val="-7"/>
        </w:rPr>
        <w:t> </w:t>
      </w:r>
      <w:r>
        <w:rPr/>
        <w:t>seguido</w:t>
      </w:r>
      <w:r>
        <w:rPr>
          <w:spacing w:val="-5"/>
        </w:rPr>
        <w:t> </w:t>
      </w:r>
      <w:r>
        <w:rPr/>
        <w:t>de</w:t>
      </w:r>
      <w:r>
        <w:rPr>
          <w:spacing w:val="-7"/>
        </w:rPr>
        <w:t> </w:t>
      </w:r>
      <w:r>
        <w:rPr/>
        <w:t>T2</w:t>
      </w:r>
      <w:r>
        <w:rPr>
          <w:spacing w:val="-6"/>
        </w:rPr>
        <w:t> </w:t>
      </w:r>
      <w:r>
        <w:rPr>
          <w:spacing w:val="-2"/>
        </w:rPr>
        <w:t>(Lidocaína</w:t>
      </w:r>
    </w:p>
    <w:p>
      <w:pPr>
        <w:pStyle w:val="BodyText"/>
        <w:spacing w:line="360" w:lineRule="auto" w:before="1"/>
        <w:ind w:right="847"/>
        <w:jc w:val="both"/>
      </w:pPr>
      <w:r>
        <w:rPr/>
        <w:t>+ flunixin meglumine) 37.75 resp/min. El tratamiento T3 que consistía en el 50% de Lidocaína más el 50% de Bupivacaína más flunixin meglumine, se observó la menor frecuencia respiratoria de 26.75 resp/min.</w:t>
      </w:r>
    </w:p>
    <w:p>
      <w:pPr>
        <w:pStyle w:val="BodyText"/>
        <w:spacing w:line="360" w:lineRule="auto" w:before="239"/>
        <w:ind w:right="847"/>
        <w:jc w:val="both"/>
      </w:pPr>
      <w:r>
        <w:rPr/>
        <w:t>Los</w:t>
      </w:r>
      <w:r>
        <w:rPr>
          <w:spacing w:val="-9"/>
        </w:rPr>
        <w:t> </w:t>
      </w:r>
      <w:r>
        <w:rPr/>
        <w:t>resultados</w:t>
      </w:r>
      <w:r>
        <w:rPr>
          <w:spacing w:val="-9"/>
        </w:rPr>
        <w:t> </w:t>
      </w:r>
      <w:r>
        <w:rPr/>
        <w:t>de</w:t>
      </w:r>
      <w:r>
        <w:rPr>
          <w:spacing w:val="-10"/>
        </w:rPr>
        <w:t> </w:t>
      </w:r>
      <w:r>
        <w:rPr/>
        <w:t>este</w:t>
      </w:r>
      <w:r>
        <w:rPr>
          <w:spacing w:val="-7"/>
        </w:rPr>
        <w:t> </w:t>
      </w:r>
      <w:r>
        <w:rPr/>
        <w:t>estudio</w:t>
      </w:r>
      <w:r>
        <w:rPr>
          <w:spacing w:val="-9"/>
        </w:rPr>
        <w:t> </w:t>
      </w:r>
      <w:r>
        <w:rPr/>
        <w:t>muestran</w:t>
      </w:r>
      <w:r>
        <w:rPr>
          <w:spacing w:val="-9"/>
        </w:rPr>
        <w:t> </w:t>
      </w:r>
      <w:r>
        <w:rPr/>
        <w:t>que</w:t>
      </w:r>
      <w:r>
        <w:rPr>
          <w:spacing w:val="-10"/>
        </w:rPr>
        <w:t> </w:t>
      </w:r>
      <w:r>
        <w:rPr/>
        <w:t>el</w:t>
      </w:r>
      <w:r>
        <w:rPr>
          <w:spacing w:val="-9"/>
        </w:rPr>
        <w:t> </w:t>
      </w:r>
      <w:r>
        <w:rPr/>
        <w:t>tratamiento</w:t>
      </w:r>
      <w:r>
        <w:rPr>
          <w:spacing w:val="-9"/>
        </w:rPr>
        <w:t> </w:t>
      </w:r>
      <w:r>
        <w:rPr/>
        <w:t>T1</w:t>
      </w:r>
      <w:r>
        <w:rPr>
          <w:spacing w:val="-10"/>
        </w:rPr>
        <w:t> </w:t>
      </w:r>
      <w:r>
        <w:rPr/>
        <w:t>presentó</w:t>
      </w:r>
      <w:r>
        <w:rPr>
          <w:spacing w:val="-9"/>
        </w:rPr>
        <w:t> </w:t>
      </w:r>
      <w:r>
        <w:rPr/>
        <w:t>las</w:t>
      </w:r>
      <w:r>
        <w:rPr>
          <w:spacing w:val="-10"/>
        </w:rPr>
        <w:t> </w:t>
      </w:r>
      <w:r>
        <w:rPr/>
        <w:t>mayores alteraciones</w:t>
      </w:r>
      <w:r>
        <w:rPr>
          <w:spacing w:val="-9"/>
        </w:rPr>
        <w:t> </w:t>
      </w:r>
      <w:r>
        <w:rPr/>
        <w:t>fisiológicas,</w:t>
      </w:r>
      <w:r>
        <w:rPr>
          <w:spacing w:val="-7"/>
        </w:rPr>
        <w:t> </w:t>
      </w:r>
      <w:r>
        <w:rPr/>
        <w:t>sugiriendo</w:t>
      </w:r>
      <w:r>
        <w:rPr>
          <w:spacing w:val="-9"/>
        </w:rPr>
        <w:t> </w:t>
      </w:r>
      <w:r>
        <w:rPr/>
        <w:t>una</w:t>
      </w:r>
      <w:r>
        <w:rPr>
          <w:spacing w:val="-10"/>
        </w:rPr>
        <w:t> </w:t>
      </w:r>
      <w:r>
        <w:rPr/>
        <w:t>mayor</w:t>
      </w:r>
      <w:r>
        <w:rPr>
          <w:spacing w:val="-10"/>
        </w:rPr>
        <w:t> </w:t>
      </w:r>
      <w:r>
        <w:rPr/>
        <w:t>respuesta</w:t>
      </w:r>
      <w:r>
        <w:rPr>
          <w:spacing w:val="-10"/>
        </w:rPr>
        <w:t> </w:t>
      </w:r>
      <w:r>
        <w:rPr/>
        <w:t>al</w:t>
      </w:r>
      <w:r>
        <w:rPr>
          <w:spacing w:val="-9"/>
        </w:rPr>
        <w:t> </w:t>
      </w:r>
      <w:r>
        <w:rPr/>
        <w:t>dolor</w:t>
      </w:r>
      <w:r>
        <w:rPr>
          <w:spacing w:val="-10"/>
        </w:rPr>
        <w:t> </w:t>
      </w:r>
      <w:r>
        <w:rPr/>
        <w:t>post</w:t>
      </w:r>
      <w:r>
        <w:rPr>
          <w:spacing w:val="-9"/>
        </w:rPr>
        <w:t> </w:t>
      </w:r>
      <w:r>
        <w:rPr/>
        <w:t>descorne.</w:t>
      </w:r>
      <w:r>
        <w:rPr>
          <w:spacing w:val="-9"/>
        </w:rPr>
        <w:t> </w:t>
      </w:r>
      <w:r>
        <w:rPr/>
        <w:t>El tratamiento T3 tuvo una menor modificación de las dos variables fisiológicas. Compuesto por ejercicios de elasticidad y ejercicios que mejoran la agilidad, la coordinación y el equilibrio.</w:t>
      </w:r>
    </w:p>
    <w:p>
      <w:pPr>
        <w:pStyle w:val="Heading3"/>
        <w:spacing w:before="239"/>
        <w:jc w:val="both"/>
      </w:pPr>
      <w:bookmarkStart w:name="_bookmark52" w:id="53"/>
      <w:bookmarkEnd w:id="53"/>
      <w:r>
        <w:rPr>
          <w:b w:val="0"/>
          <w:i w:val="0"/>
        </w:rPr>
      </w:r>
      <w:r>
        <w:rPr/>
        <w:t>Tabla </w:t>
      </w:r>
      <w:r>
        <w:rPr>
          <w:spacing w:val="-10"/>
        </w:rPr>
        <w:t>7</w:t>
      </w:r>
    </w:p>
    <w:p>
      <w:pPr>
        <w:spacing w:before="140"/>
        <w:ind w:left="1135" w:right="0" w:firstLine="0"/>
        <w:jc w:val="both"/>
        <w:rPr>
          <w:i/>
          <w:sz w:val="24"/>
        </w:rPr>
      </w:pPr>
      <w:r>
        <w:rPr>
          <w:i/>
          <w:sz w:val="24"/>
        </w:rPr>
        <w:t>Comparación</w:t>
      </w:r>
      <w:r>
        <w:rPr>
          <w:i/>
          <w:spacing w:val="-2"/>
          <w:sz w:val="24"/>
        </w:rPr>
        <w:t> </w:t>
      </w:r>
      <w:r>
        <w:rPr>
          <w:i/>
          <w:sz w:val="24"/>
        </w:rPr>
        <w:t>de</w:t>
      </w:r>
      <w:r>
        <w:rPr>
          <w:i/>
          <w:spacing w:val="-2"/>
          <w:sz w:val="24"/>
        </w:rPr>
        <w:t> </w:t>
      </w:r>
      <w:r>
        <w:rPr>
          <w:i/>
          <w:sz w:val="24"/>
        </w:rPr>
        <w:t>medias Tukey</w:t>
      </w:r>
      <w:r>
        <w:rPr>
          <w:i/>
          <w:spacing w:val="-1"/>
          <w:sz w:val="24"/>
        </w:rPr>
        <w:t> </w:t>
      </w:r>
      <w:r>
        <w:rPr>
          <w:i/>
          <w:sz w:val="24"/>
        </w:rPr>
        <w:t>(Frecuencia</w:t>
      </w:r>
      <w:r>
        <w:rPr>
          <w:i/>
          <w:spacing w:val="-1"/>
          <w:sz w:val="24"/>
        </w:rPr>
        <w:t> </w:t>
      </w:r>
      <w:r>
        <w:rPr>
          <w:i/>
          <w:spacing w:val="-2"/>
          <w:sz w:val="24"/>
        </w:rPr>
        <w:t>cardiaca)</w:t>
      </w:r>
    </w:p>
    <w:p>
      <w:pPr>
        <w:pStyle w:val="BodyText"/>
        <w:spacing w:before="7" w:after="1"/>
        <w:ind w:left="0"/>
        <w:rPr>
          <w:i/>
          <w:sz w:val="14"/>
        </w:rPr>
      </w:pPr>
    </w:p>
    <w:tbl>
      <w:tblPr>
        <w:tblW w:w="0" w:type="auto"/>
        <w:jc w:val="left"/>
        <w:tblInd w:w="1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72"/>
        <w:gridCol w:w="6061"/>
      </w:tblGrid>
      <w:tr>
        <w:trPr>
          <w:trHeight w:val="304" w:hRule="atLeast"/>
        </w:trPr>
        <w:tc>
          <w:tcPr>
            <w:tcW w:w="1872" w:type="dxa"/>
            <w:tcBorders>
              <w:top w:val="single" w:sz="4" w:space="0" w:color="000000"/>
              <w:bottom w:val="single" w:sz="4" w:space="0" w:color="000000"/>
            </w:tcBorders>
          </w:tcPr>
          <w:p>
            <w:pPr>
              <w:pStyle w:val="TableParagraph"/>
              <w:spacing w:line="271" w:lineRule="exact" w:before="13"/>
              <w:ind w:left="45"/>
              <w:rPr>
                <w:b/>
                <w:sz w:val="24"/>
              </w:rPr>
            </w:pPr>
            <w:r>
              <w:rPr>
                <w:b/>
                <w:spacing w:val="-2"/>
                <w:sz w:val="24"/>
              </w:rPr>
              <w:t>Tratamiento</w:t>
            </w:r>
          </w:p>
        </w:tc>
        <w:tc>
          <w:tcPr>
            <w:tcW w:w="6061" w:type="dxa"/>
            <w:tcBorders>
              <w:top w:val="single" w:sz="4" w:space="0" w:color="000000"/>
              <w:bottom w:val="single" w:sz="4" w:space="0" w:color="000000"/>
            </w:tcBorders>
          </w:tcPr>
          <w:p>
            <w:pPr>
              <w:pStyle w:val="TableParagraph"/>
              <w:spacing w:line="271" w:lineRule="exact" w:before="13"/>
              <w:ind w:left="535"/>
              <w:rPr>
                <w:b/>
                <w:sz w:val="24"/>
              </w:rPr>
            </w:pPr>
            <w:r>
              <w:rPr>
                <w:b/>
                <w:sz w:val="24"/>
              </w:rPr>
              <w:t>Frecuencia</w:t>
            </w:r>
            <w:r>
              <w:rPr>
                <w:b/>
                <w:spacing w:val="-3"/>
                <w:sz w:val="24"/>
              </w:rPr>
              <w:t> </w:t>
            </w:r>
            <w:r>
              <w:rPr>
                <w:b/>
                <w:sz w:val="24"/>
              </w:rPr>
              <w:t>cardiaca</w:t>
            </w:r>
            <w:r>
              <w:rPr>
                <w:b/>
                <w:spacing w:val="-3"/>
                <w:sz w:val="24"/>
              </w:rPr>
              <w:t> </w:t>
            </w:r>
            <w:r>
              <w:rPr>
                <w:b/>
                <w:spacing w:val="-2"/>
                <w:sz w:val="24"/>
              </w:rPr>
              <w:t>(lat/min)</w:t>
            </w:r>
          </w:p>
        </w:tc>
      </w:tr>
      <w:tr>
        <w:trPr>
          <w:trHeight w:val="355" w:hRule="atLeast"/>
        </w:trPr>
        <w:tc>
          <w:tcPr>
            <w:tcW w:w="1872" w:type="dxa"/>
            <w:tcBorders>
              <w:top w:val="single" w:sz="4" w:space="0" w:color="000000"/>
            </w:tcBorders>
          </w:tcPr>
          <w:p>
            <w:pPr>
              <w:pStyle w:val="TableParagraph"/>
              <w:spacing w:before="44"/>
              <w:ind w:left="45"/>
              <w:rPr>
                <w:sz w:val="24"/>
              </w:rPr>
            </w:pPr>
            <w:r>
              <w:rPr>
                <w:spacing w:val="-5"/>
                <w:sz w:val="24"/>
              </w:rPr>
              <w:t>T1</w:t>
            </w:r>
          </w:p>
        </w:tc>
        <w:tc>
          <w:tcPr>
            <w:tcW w:w="6061" w:type="dxa"/>
            <w:tcBorders>
              <w:top w:val="single" w:sz="4" w:space="0" w:color="000000"/>
            </w:tcBorders>
          </w:tcPr>
          <w:p>
            <w:pPr>
              <w:pStyle w:val="TableParagraph"/>
              <w:spacing w:before="44"/>
              <w:ind w:left="535"/>
              <w:rPr>
                <w:sz w:val="24"/>
              </w:rPr>
            </w:pPr>
            <w:r>
              <w:rPr>
                <w:spacing w:val="-2"/>
                <w:sz w:val="24"/>
              </w:rPr>
              <w:t>130.25ª</w:t>
            </w:r>
          </w:p>
        </w:tc>
      </w:tr>
      <w:tr>
        <w:trPr>
          <w:trHeight w:val="336" w:hRule="atLeast"/>
        </w:trPr>
        <w:tc>
          <w:tcPr>
            <w:tcW w:w="1872" w:type="dxa"/>
          </w:tcPr>
          <w:p>
            <w:pPr>
              <w:pStyle w:val="TableParagraph"/>
              <w:spacing w:before="25"/>
              <w:ind w:left="45"/>
              <w:rPr>
                <w:sz w:val="24"/>
              </w:rPr>
            </w:pPr>
            <w:r>
              <w:rPr>
                <w:spacing w:val="-5"/>
                <w:sz w:val="24"/>
              </w:rPr>
              <w:t>T0</w:t>
            </w:r>
          </w:p>
        </w:tc>
        <w:tc>
          <w:tcPr>
            <w:tcW w:w="6061" w:type="dxa"/>
          </w:tcPr>
          <w:p>
            <w:pPr>
              <w:pStyle w:val="TableParagraph"/>
              <w:spacing w:before="25"/>
              <w:ind w:left="535"/>
              <w:rPr>
                <w:sz w:val="24"/>
              </w:rPr>
            </w:pPr>
            <w:r>
              <w:rPr>
                <w:spacing w:val="-2"/>
                <w:sz w:val="24"/>
              </w:rPr>
              <w:t>126.75b</w:t>
            </w:r>
          </w:p>
        </w:tc>
      </w:tr>
      <w:tr>
        <w:trPr>
          <w:trHeight w:val="335" w:hRule="atLeast"/>
        </w:trPr>
        <w:tc>
          <w:tcPr>
            <w:tcW w:w="1872" w:type="dxa"/>
          </w:tcPr>
          <w:p>
            <w:pPr>
              <w:pStyle w:val="TableParagraph"/>
              <w:spacing w:before="25"/>
              <w:ind w:left="45"/>
              <w:rPr>
                <w:sz w:val="24"/>
              </w:rPr>
            </w:pPr>
            <w:r>
              <w:rPr>
                <w:spacing w:val="-5"/>
                <w:sz w:val="24"/>
              </w:rPr>
              <w:t>T2</w:t>
            </w:r>
          </w:p>
        </w:tc>
        <w:tc>
          <w:tcPr>
            <w:tcW w:w="6061" w:type="dxa"/>
          </w:tcPr>
          <w:p>
            <w:pPr>
              <w:pStyle w:val="TableParagraph"/>
              <w:spacing w:before="25"/>
              <w:ind w:left="535"/>
              <w:rPr>
                <w:sz w:val="24"/>
              </w:rPr>
            </w:pPr>
            <w:r>
              <w:rPr>
                <w:spacing w:val="-2"/>
                <w:sz w:val="24"/>
              </w:rPr>
              <w:t>112.50c</w:t>
            </w:r>
          </w:p>
        </w:tc>
      </w:tr>
      <w:tr>
        <w:trPr>
          <w:trHeight w:val="315" w:hRule="atLeast"/>
        </w:trPr>
        <w:tc>
          <w:tcPr>
            <w:tcW w:w="1872" w:type="dxa"/>
            <w:tcBorders>
              <w:bottom w:val="single" w:sz="4" w:space="0" w:color="000000"/>
            </w:tcBorders>
          </w:tcPr>
          <w:p>
            <w:pPr>
              <w:pStyle w:val="TableParagraph"/>
              <w:spacing w:line="271" w:lineRule="exact" w:before="25"/>
              <w:ind w:left="45"/>
              <w:rPr>
                <w:sz w:val="24"/>
              </w:rPr>
            </w:pPr>
            <w:r>
              <w:rPr>
                <w:spacing w:val="-5"/>
                <w:sz w:val="24"/>
              </w:rPr>
              <w:t>T3</w:t>
            </w:r>
          </w:p>
        </w:tc>
        <w:tc>
          <w:tcPr>
            <w:tcW w:w="6061" w:type="dxa"/>
            <w:tcBorders>
              <w:bottom w:val="single" w:sz="4" w:space="0" w:color="000000"/>
            </w:tcBorders>
          </w:tcPr>
          <w:p>
            <w:pPr>
              <w:pStyle w:val="TableParagraph"/>
              <w:spacing w:line="271" w:lineRule="exact" w:before="25"/>
              <w:ind w:left="535"/>
              <w:rPr>
                <w:sz w:val="24"/>
              </w:rPr>
            </w:pPr>
            <w:r>
              <w:rPr>
                <w:spacing w:val="-2"/>
                <w:sz w:val="24"/>
              </w:rPr>
              <w:t>98.50d</w:t>
            </w:r>
          </w:p>
        </w:tc>
      </w:tr>
    </w:tbl>
    <w:p>
      <w:pPr>
        <w:pStyle w:val="TableParagraph"/>
        <w:spacing w:after="0" w:line="271" w:lineRule="exact"/>
        <w:rPr>
          <w:sz w:val="24"/>
        </w:rPr>
        <w:sectPr>
          <w:pgSz w:w="11900" w:h="16860"/>
          <w:pgMar w:header="0" w:footer="1084" w:top="1620" w:bottom="1280" w:left="1133" w:right="850"/>
        </w:sectPr>
      </w:pPr>
    </w:p>
    <w:p>
      <w:pPr>
        <w:pStyle w:val="BodyText"/>
        <w:spacing w:line="360" w:lineRule="auto" w:before="70"/>
        <w:ind w:right="844"/>
        <w:jc w:val="both"/>
      </w:pPr>
      <w:r>
        <w:rPr/>
        <w:t>La prueba de comparación de medias de Tukey nos permitió observar otras diferencias. En relación a la variable frecuencia cardíaca se aprecian diferencias significativas</w:t>
      </w:r>
      <w:r>
        <w:rPr>
          <w:spacing w:val="-15"/>
        </w:rPr>
        <w:t> </w:t>
      </w:r>
      <w:r>
        <w:rPr/>
        <w:t>entre</w:t>
      </w:r>
      <w:r>
        <w:rPr>
          <w:spacing w:val="-15"/>
        </w:rPr>
        <w:t> </w:t>
      </w:r>
      <w:r>
        <w:rPr/>
        <w:t>tratamientos.</w:t>
      </w:r>
      <w:r>
        <w:rPr>
          <w:spacing w:val="22"/>
        </w:rPr>
        <w:t> </w:t>
      </w:r>
      <w:r>
        <w:rPr/>
        <w:t>T1</w:t>
      </w:r>
      <w:r>
        <w:rPr>
          <w:spacing w:val="-15"/>
        </w:rPr>
        <w:t> </w:t>
      </w:r>
      <w:r>
        <w:rPr/>
        <w:t>(Lidocaína</w:t>
      </w:r>
      <w:r>
        <w:rPr>
          <w:spacing w:val="-15"/>
        </w:rPr>
        <w:t> </w:t>
      </w:r>
      <w:r>
        <w:rPr/>
        <w:t>tamponada</w:t>
      </w:r>
      <w:r>
        <w:rPr>
          <w:spacing w:val="-15"/>
        </w:rPr>
        <w:t> </w:t>
      </w:r>
      <w:r>
        <w:rPr/>
        <w:t>+</w:t>
      </w:r>
      <w:r>
        <w:rPr>
          <w:spacing w:val="-15"/>
        </w:rPr>
        <w:t> </w:t>
      </w:r>
      <w:r>
        <w:rPr/>
        <w:t>Flunixin</w:t>
      </w:r>
      <w:r>
        <w:rPr>
          <w:spacing w:val="-15"/>
        </w:rPr>
        <w:t> </w:t>
      </w:r>
      <w:r>
        <w:rPr/>
        <w:t>Meglumine) presentó el valor medio más alto (130,25 lat/min) y T3 (50% Lidocaína + 50% Bupivacaína Tamponada + Flunixin Meglumine) el más bajo (98,50 lat/min). Los resultados muestran una clara separación entre los tratamientos dada la diferencia de letras en la comparación de medias. Todos los tratamientos mostraron un comportamiento fisiológico distinto. Bacon et al. (2024) comentan que el uso de anestésicos locales con analgésicos produce importantes cambios fisiológicos por estrés ante un procedimiento doloroso. En este sentido, el T1 presenta la mayor frecuencia cardiaca; el T3 los valores más bajos, siendo el tratamiento con menor activación fisiológica tras el descorne.</w:t>
      </w:r>
    </w:p>
    <w:p>
      <w:pPr>
        <w:spacing w:before="241"/>
        <w:ind w:left="1135" w:right="0" w:firstLine="0"/>
        <w:jc w:val="both"/>
        <w:rPr>
          <w:b/>
          <w:sz w:val="24"/>
        </w:rPr>
      </w:pPr>
      <w:bookmarkStart w:name="_bookmark53" w:id="54"/>
      <w:bookmarkEnd w:id="54"/>
      <w:r>
        <w:rPr/>
      </w:r>
      <w:r>
        <w:rPr>
          <w:b/>
          <w:sz w:val="24"/>
        </w:rPr>
        <w:t>Figura</w:t>
      </w:r>
      <w:r>
        <w:rPr>
          <w:b/>
          <w:spacing w:val="-3"/>
          <w:sz w:val="24"/>
        </w:rPr>
        <w:t> </w:t>
      </w:r>
      <w:r>
        <w:rPr>
          <w:b/>
          <w:spacing w:val="-10"/>
          <w:sz w:val="24"/>
        </w:rPr>
        <w:t>1</w:t>
      </w:r>
    </w:p>
    <w:p>
      <w:pPr>
        <w:spacing w:before="0"/>
        <w:ind w:left="1135" w:right="0" w:firstLine="0"/>
        <w:jc w:val="both"/>
        <w:rPr>
          <w:i/>
          <w:sz w:val="24"/>
        </w:rPr>
      </w:pPr>
      <w:r>
        <w:rPr>
          <w:i/>
          <w:sz w:val="24"/>
        </w:rPr>
        <w:t>Frecuencia</w:t>
      </w:r>
      <w:r>
        <w:rPr>
          <w:i/>
          <w:spacing w:val="-2"/>
          <w:sz w:val="24"/>
        </w:rPr>
        <w:t> Cardiaca</w:t>
      </w:r>
    </w:p>
    <w:p>
      <w:pPr>
        <w:pStyle w:val="BodyText"/>
        <w:spacing w:before="6"/>
        <w:ind w:left="0"/>
        <w:rPr>
          <w:i/>
          <w:sz w:val="14"/>
        </w:rPr>
      </w:pPr>
      <w:r>
        <w:rPr>
          <w:i/>
          <w:sz w:val="14"/>
        </w:rPr>
        <mc:AlternateContent>
          <mc:Choice Requires="wps">
            <w:drawing>
              <wp:anchor distT="0" distB="0" distL="0" distR="0" allowOverlap="1" layoutInCell="1" locked="0" behindDoc="1" simplePos="0" relativeHeight="487590400">
                <wp:simplePos x="0" y="0"/>
                <wp:positionH relativeFrom="page">
                  <wp:posOffset>1435417</wp:posOffset>
                </wp:positionH>
                <wp:positionV relativeFrom="paragraph">
                  <wp:posOffset>121593</wp:posOffset>
                </wp:positionV>
                <wp:extent cx="4581525" cy="2752725"/>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4581525" cy="2752725"/>
                          <a:chExt cx="4581525" cy="2752725"/>
                        </a:xfrm>
                      </wpg:grpSpPr>
                      <pic:pic>
                        <pic:nvPicPr>
                          <pic:cNvPr id="12" name="Image 12"/>
                          <pic:cNvPicPr/>
                        </pic:nvPicPr>
                        <pic:blipFill>
                          <a:blip r:embed="rId14" cstate="print"/>
                          <a:stretch>
                            <a:fillRect/>
                          </a:stretch>
                        </pic:blipFill>
                        <pic:spPr>
                          <a:xfrm>
                            <a:off x="4762" y="4762"/>
                            <a:ext cx="4572000" cy="2743200"/>
                          </a:xfrm>
                          <a:prstGeom prst="rect">
                            <a:avLst/>
                          </a:prstGeom>
                        </pic:spPr>
                      </pic:pic>
                      <wps:wsp>
                        <wps:cNvPr id="13" name="Graphic 13"/>
                        <wps:cNvSpPr/>
                        <wps:spPr>
                          <a:xfrm>
                            <a:off x="2045271" y="632777"/>
                            <a:ext cx="2092960" cy="1727200"/>
                          </a:xfrm>
                          <a:custGeom>
                            <a:avLst/>
                            <a:gdLst/>
                            <a:ahLst/>
                            <a:cxnLst/>
                            <a:rect l="l" t="t" r="r" b="b"/>
                            <a:pathLst>
                              <a:path w="2092960" h="1727200">
                                <a:moveTo>
                                  <a:pt x="1418971" y="0"/>
                                </a:moveTo>
                                <a:lnTo>
                                  <a:pt x="0" y="0"/>
                                </a:lnTo>
                                <a:lnTo>
                                  <a:pt x="0" y="289560"/>
                                </a:lnTo>
                                <a:lnTo>
                                  <a:pt x="1418971" y="289560"/>
                                </a:lnTo>
                                <a:lnTo>
                                  <a:pt x="1418971" y="0"/>
                                </a:lnTo>
                                <a:close/>
                              </a:path>
                              <a:path w="2092960" h="1727200">
                                <a:moveTo>
                                  <a:pt x="1620139" y="478536"/>
                                </a:moveTo>
                                <a:lnTo>
                                  <a:pt x="0" y="478536"/>
                                </a:lnTo>
                                <a:lnTo>
                                  <a:pt x="0" y="768096"/>
                                </a:lnTo>
                                <a:lnTo>
                                  <a:pt x="1620139" y="768096"/>
                                </a:lnTo>
                                <a:lnTo>
                                  <a:pt x="1620139" y="478536"/>
                                </a:lnTo>
                                <a:close/>
                              </a:path>
                              <a:path w="2092960" h="1727200">
                                <a:moveTo>
                                  <a:pt x="1825879" y="957072"/>
                                </a:moveTo>
                                <a:lnTo>
                                  <a:pt x="0" y="957072"/>
                                </a:lnTo>
                                <a:lnTo>
                                  <a:pt x="0" y="1246632"/>
                                </a:lnTo>
                                <a:lnTo>
                                  <a:pt x="1825879" y="1246632"/>
                                </a:lnTo>
                                <a:lnTo>
                                  <a:pt x="1825879" y="957072"/>
                                </a:lnTo>
                                <a:close/>
                              </a:path>
                              <a:path w="2092960" h="1727200">
                                <a:moveTo>
                                  <a:pt x="2092579" y="1435608"/>
                                </a:moveTo>
                                <a:lnTo>
                                  <a:pt x="0" y="1435608"/>
                                </a:lnTo>
                                <a:lnTo>
                                  <a:pt x="0" y="1726692"/>
                                </a:lnTo>
                                <a:lnTo>
                                  <a:pt x="2092579" y="1726692"/>
                                </a:lnTo>
                                <a:lnTo>
                                  <a:pt x="2092579" y="1435608"/>
                                </a:lnTo>
                                <a:close/>
                              </a:path>
                            </a:pathLst>
                          </a:custGeom>
                          <a:solidFill>
                            <a:srgbClr val="4F81BC">
                              <a:alpha val="85099"/>
                            </a:srgbClr>
                          </a:solidFill>
                        </wps:spPr>
                        <wps:bodyPr wrap="square" lIns="0" tIns="0" rIns="0" bIns="0" rtlCol="0">
                          <a:prstTxWarp prst="textNoShape">
                            <a:avLst/>
                          </a:prstTxWarp>
                          <a:noAutofit/>
                        </wps:bodyPr>
                      </wps:wsp>
                      <wps:wsp>
                        <wps:cNvPr id="14" name="Graphic 14"/>
                        <wps:cNvSpPr/>
                        <wps:spPr>
                          <a:xfrm>
                            <a:off x="2045271" y="632777"/>
                            <a:ext cx="2092960" cy="1727200"/>
                          </a:xfrm>
                          <a:custGeom>
                            <a:avLst/>
                            <a:gdLst/>
                            <a:ahLst/>
                            <a:cxnLst/>
                            <a:rect l="l" t="t" r="r" b="b"/>
                            <a:pathLst>
                              <a:path w="2092960" h="1727200">
                                <a:moveTo>
                                  <a:pt x="2092578" y="1726692"/>
                                </a:moveTo>
                                <a:lnTo>
                                  <a:pt x="0" y="1726692"/>
                                </a:lnTo>
                                <a:lnTo>
                                  <a:pt x="0" y="1435608"/>
                                </a:lnTo>
                                <a:lnTo>
                                  <a:pt x="2092578" y="1435608"/>
                                </a:lnTo>
                                <a:lnTo>
                                  <a:pt x="2092578" y="1726692"/>
                                </a:lnTo>
                                <a:close/>
                              </a:path>
                              <a:path w="2092960" h="1727200">
                                <a:moveTo>
                                  <a:pt x="1825878" y="1246632"/>
                                </a:moveTo>
                                <a:lnTo>
                                  <a:pt x="0" y="1246632"/>
                                </a:lnTo>
                                <a:lnTo>
                                  <a:pt x="0" y="957072"/>
                                </a:lnTo>
                                <a:lnTo>
                                  <a:pt x="1825878" y="957072"/>
                                </a:lnTo>
                                <a:lnTo>
                                  <a:pt x="1825878" y="1246632"/>
                                </a:lnTo>
                                <a:close/>
                              </a:path>
                              <a:path w="2092960" h="1727200">
                                <a:moveTo>
                                  <a:pt x="1620139" y="768096"/>
                                </a:moveTo>
                                <a:lnTo>
                                  <a:pt x="0" y="768096"/>
                                </a:lnTo>
                                <a:lnTo>
                                  <a:pt x="0" y="478536"/>
                                </a:lnTo>
                                <a:lnTo>
                                  <a:pt x="1620139" y="478536"/>
                                </a:lnTo>
                                <a:lnTo>
                                  <a:pt x="1620139" y="768096"/>
                                </a:lnTo>
                                <a:close/>
                              </a:path>
                              <a:path w="2092960" h="1727200">
                                <a:moveTo>
                                  <a:pt x="1418971" y="289560"/>
                                </a:moveTo>
                                <a:lnTo>
                                  <a:pt x="0" y="289560"/>
                                </a:lnTo>
                                <a:lnTo>
                                  <a:pt x="0" y="0"/>
                                </a:lnTo>
                                <a:lnTo>
                                  <a:pt x="1418971" y="0"/>
                                </a:lnTo>
                                <a:lnTo>
                                  <a:pt x="1418971" y="289560"/>
                                </a:lnTo>
                                <a:close/>
                              </a:path>
                            </a:pathLst>
                          </a:custGeom>
                          <a:ln w="9525">
                            <a:solidFill>
                              <a:srgbClr val="FFFFFF"/>
                            </a:solidFill>
                            <a:prstDash val="solid"/>
                          </a:ln>
                        </wps:spPr>
                        <wps:bodyPr wrap="square" lIns="0" tIns="0" rIns="0" bIns="0" rtlCol="0">
                          <a:prstTxWarp prst="textNoShape">
                            <a:avLst/>
                          </a:prstTxWarp>
                          <a:noAutofit/>
                        </wps:bodyPr>
                      </wps:wsp>
                      <wps:wsp>
                        <wps:cNvPr id="15" name="Graphic 15"/>
                        <wps:cNvSpPr/>
                        <wps:spPr>
                          <a:xfrm>
                            <a:off x="2009076" y="537781"/>
                            <a:ext cx="36195" cy="1915795"/>
                          </a:xfrm>
                          <a:custGeom>
                            <a:avLst/>
                            <a:gdLst/>
                            <a:ahLst/>
                            <a:cxnLst/>
                            <a:rect l="l" t="t" r="r" b="b"/>
                            <a:pathLst>
                              <a:path w="36195" h="1915795">
                                <a:moveTo>
                                  <a:pt x="36194" y="1915540"/>
                                </a:moveTo>
                                <a:lnTo>
                                  <a:pt x="36194" y="0"/>
                                </a:lnTo>
                              </a:path>
                              <a:path w="36195" h="1915795">
                                <a:moveTo>
                                  <a:pt x="0" y="1915540"/>
                                </a:moveTo>
                                <a:lnTo>
                                  <a:pt x="36194" y="1915540"/>
                                </a:lnTo>
                              </a:path>
                              <a:path w="36195" h="1915795">
                                <a:moveTo>
                                  <a:pt x="0" y="1436115"/>
                                </a:moveTo>
                                <a:lnTo>
                                  <a:pt x="36194" y="1436115"/>
                                </a:lnTo>
                              </a:path>
                              <a:path w="36195" h="1915795">
                                <a:moveTo>
                                  <a:pt x="0" y="957579"/>
                                </a:moveTo>
                                <a:lnTo>
                                  <a:pt x="36194" y="957579"/>
                                </a:lnTo>
                              </a:path>
                              <a:path w="36195" h="1915795">
                                <a:moveTo>
                                  <a:pt x="0" y="479043"/>
                                </a:moveTo>
                                <a:lnTo>
                                  <a:pt x="36194" y="479043"/>
                                </a:lnTo>
                              </a:path>
                              <a:path w="36195" h="1915795">
                                <a:moveTo>
                                  <a:pt x="0" y="0"/>
                                </a:moveTo>
                                <a:lnTo>
                                  <a:pt x="36194" y="0"/>
                                </a:lnTo>
                              </a:path>
                            </a:pathLst>
                          </a:custGeom>
                          <a:ln w="19050">
                            <a:solidFill>
                              <a:srgbClr val="404040"/>
                            </a:solidFill>
                            <a:prstDash val="solid"/>
                          </a:ln>
                        </wps:spPr>
                        <wps:bodyPr wrap="square" lIns="0" tIns="0" rIns="0" bIns="0" rtlCol="0">
                          <a:prstTxWarp prst="textNoShape">
                            <a:avLst/>
                          </a:prstTxWarp>
                          <a:noAutofit/>
                        </wps:bodyPr>
                      </wps:wsp>
                      <wps:wsp>
                        <wps:cNvPr id="16" name="Graphic 16"/>
                        <wps:cNvSpPr/>
                        <wps:spPr>
                          <a:xfrm>
                            <a:off x="4762" y="4762"/>
                            <a:ext cx="4572000" cy="2743200"/>
                          </a:xfrm>
                          <a:custGeom>
                            <a:avLst/>
                            <a:gdLst/>
                            <a:ahLst/>
                            <a:cxnLst/>
                            <a:rect l="l" t="t" r="r" b="b"/>
                            <a:pathLst>
                              <a:path w="4572000" h="2743200">
                                <a:moveTo>
                                  <a:pt x="0" y="2743200"/>
                                </a:moveTo>
                                <a:lnTo>
                                  <a:pt x="4572000" y="2743200"/>
                                </a:lnTo>
                                <a:lnTo>
                                  <a:pt x="4572000" y="0"/>
                                </a:lnTo>
                                <a:lnTo>
                                  <a:pt x="0" y="0"/>
                                </a:lnTo>
                                <a:lnTo>
                                  <a:pt x="0" y="2743200"/>
                                </a:lnTo>
                                <a:close/>
                              </a:path>
                            </a:pathLst>
                          </a:custGeom>
                          <a:ln w="9525">
                            <a:solidFill>
                              <a:srgbClr val="BEBEBE"/>
                            </a:solidFill>
                            <a:prstDash val="solid"/>
                          </a:ln>
                        </wps:spPr>
                        <wps:bodyPr wrap="square" lIns="0" tIns="0" rIns="0" bIns="0" rtlCol="0">
                          <a:prstTxWarp prst="textNoShape">
                            <a:avLst/>
                          </a:prstTxWarp>
                          <a:noAutofit/>
                        </wps:bodyPr>
                      </wps:wsp>
                      <wps:wsp>
                        <wps:cNvPr id="17" name="Textbox 17"/>
                        <wps:cNvSpPr txBox="1"/>
                        <wps:spPr>
                          <a:xfrm>
                            <a:off x="910653" y="147129"/>
                            <a:ext cx="2770505" cy="228600"/>
                          </a:xfrm>
                          <a:prstGeom prst="rect">
                            <a:avLst/>
                          </a:prstGeom>
                        </wps:spPr>
                        <wps:txbx>
                          <w:txbxContent>
                            <w:p>
                              <w:pPr>
                                <w:spacing w:line="360" w:lineRule="exact" w:before="0"/>
                                <w:ind w:left="0" w:right="0" w:firstLine="0"/>
                                <w:jc w:val="left"/>
                                <w:rPr>
                                  <w:rFonts w:ascii="Calibri"/>
                                  <w:b/>
                                  <w:sz w:val="36"/>
                                </w:rPr>
                              </w:pPr>
                              <w:r>
                                <w:rPr>
                                  <w:rFonts w:ascii="Calibri"/>
                                  <w:b/>
                                  <w:color w:val="404040"/>
                                  <w:sz w:val="36"/>
                                </w:rPr>
                                <w:t>Frecuencia</w:t>
                              </w:r>
                              <w:r>
                                <w:rPr>
                                  <w:rFonts w:ascii="Calibri"/>
                                  <w:b/>
                                  <w:color w:val="404040"/>
                                  <w:spacing w:val="-14"/>
                                  <w:sz w:val="36"/>
                                </w:rPr>
                                <w:t> </w:t>
                              </w:r>
                              <w:r>
                                <w:rPr>
                                  <w:rFonts w:ascii="Calibri"/>
                                  <w:b/>
                                  <w:color w:val="404040"/>
                                  <w:sz w:val="36"/>
                                </w:rPr>
                                <w:t>cardiaca</w:t>
                              </w:r>
                              <w:r>
                                <w:rPr>
                                  <w:rFonts w:ascii="Calibri"/>
                                  <w:b/>
                                  <w:color w:val="404040"/>
                                  <w:spacing w:val="-12"/>
                                  <w:sz w:val="36"/>
                                </w:rPr>
                                <w:t> </w:t>
                              </w:r>
                              <w:r>
                                <w:rPr>
                                  <w:rFonts w:ascii="Calibri"/>
                                  <w:b/>
                                  <w:color w:val="404040"/>
                                  <w:spacing w:val="-2"/>
                                  <w:sz w:val="36"/>
                                </w:rPr>
                                <w:t>(lat/min)</w:t>
                              </w:r>
                            </w:p>
                          </w:txbxContent>
                        </wps:txbx>
                        <wps:bodyPr wrap="square" lIns="0" tIns="0" rIns="0" bIns="0" rtlCol="0">
                          <a:noAutofit/>
                        </wps:bodyPr>
                      </wps:wsp>
                      <wps:wsp>
                        <wps:cNvPr id="18" name="Textbox 18"/>
                        <wps:cNvSpPr txBox="1"/>
                        <wps:spPr>
                          <a:xfrm>
                            <a:off x="86804" y="724471"/>
                            <a:ext cx="1863725" cy="114300"/>
                          </a:xfrm>
                          <a:prstGeom prst="rect">
                            <a:avLst/>
                          </a:prstGeom>
                        </wps:spPr>
                        <wps:txbx>
                          <w:txbxContent>
                            <w:p>
                              <w:pPr>
                                <w:spacing w:line="180" w:lineRule="exact" w:before="0"/>
                                <w:ind w:left="0" w:right="0" w:firstLine="0"/>
                                <w:jc w:val="left"/>
                                <w:rPr>
                                  <w:rFonts w:ascii="Calibri"/>
                                  <w:sz w:val="18"/>
                                </w:rPr>
                              </w:pPr>
                              <w:r>
                                <w:rPr>
                                  <w:rFonts w:ascii="Calibri"/>
                                  <w:color w:val="404040"/>
                                  <w:sz w:val="18"/>
                                </w:rPr>
                                <w:t>T3</w:t>
                              </w:r>
                              <w:r>
                                <w:rPr>
                                  <w:rFonts w:ascii="Calibri"/>
                                  <w:color w:val="404040"/>
                                  <w:spacing w:val="-4"/>
                                  <w:sz w:val="18"/>
                                </w:rPr>
                                <w:t> </w:t>
                              </w:r>
                              <w:r>
                                <w:rPr>
                                  <w:rFonts w:ascii="Calibri"/>
                                  <w:color w:val="404040"/>
                                  <w:sz w:val="18"/>
                                </w:rPr>
                                <w:t>(50% LIDO</w:t>
                              </w:r>
                              <w:r>
                                <w:rPr>
                                  <w:rFonts w:ascii="Calibri"/>
                                  <w:color w:val="404040"/>
                                  <w:spacing w:val="-2"/>
                                  <w:sz w:val="18"/>
                                </w:rPr>
                                <w:t> </w:t>
                              </w:r>
                              <w:r>
                                <w:rPr>
                                  <w:rFonts w:ascii="Calibri"/>
                                  <w:color w:val="404040"/>
                                  <w:sz w:val="18"/>
                                </w:rPr>
                                <w:t>+</w:t>
                              </w:r>
                              <w:r>
                                <w:rPr>
                                  <w:rFonts w:ascii="Calibri"/>
                                  <w:color w:val="404040"/>
                                  <w:spacing w:val="-1"/>
                                  <w:sz w:val="18"/>
                                </w:rPr>
                                <w:t> </w:t>
                              </w:r>
                              <w:r>
                                <w:rPr>
                                  <w:rFonts w:ascii="Calibri"/>
                                  <w:color w:val="404040"/>
                                  <w:sz w:val="18"/>
                                </w:rPr>
                                <w:t>50% BUPI</w:t>
                              </w:r>
                              <w:r>
                                <w:rPr>
                                  <w:rFonts w:ascii="Calibri"/>
                                  <w:color w:val="404040"/>
                                  <w:spacing w:val="-2"/>
                                  <w:sz w:val="18"/>
                                </w:rPr>
                                <w:t> </w:t>
                              </w:r>
                              <w:r>
                                <w:rPr>
                                  <w:rFonts w:ascii="Calibri"/>
                                  <w:color w:val="404040"/>
                                  <w:sz w:val="18"/>
                                </w:rPr>
                                <w:t>+</w:t>
                              </w:r>
                              <w:r>
                                <w:rPr>
                                  <w:rFonts w:ascii="Calibri"/>
                                  <w:color w:val="404040"/>
                                  <w:spacing w:val="1"/>
                                  <w:sz w:val="18"/>
                                </w:rPr>
                                <w:t> </w:t>
                              </w:r>
                              <w:r>
                                <w:rPr>
                                  <w:rFonts w:ascii="Calibri"/>
                                  <w:color w:val="404040"/>
                                  <w:spacing w:val="-2"/>
                                  <w:sz w:val="18"/>
                                </w:rPr>
                                <w:t>MEGLUMIX)</w:t>
                              </w:r>
                            </w:p>
                          </w:txbxContent>
                        </wps:txbx>
                        <wps:bodyPr wrap="square" lIns="0" tIns="0" rIns="0" bIns="0" rtlCol="0">
                          <a:noAutofit/>
                        </wps:bodyPr>
                      </wps:wsp>
                      <wps:wsp>
                        <wps:cNvPr id="19" name="Textbox 19"/>
                        <wps:cNvSpPr txBox="1"/>
                        <wps:spPr>
                          <a:xfrm>
                            <a:off x="3185350" y="730821"/>
                            <a:ext cx="215900" cy="114300"/>
                          </a:xfrm>
                          <a:prstGeom prst="rect">
                            <a:avLst/>
                          </a:prstGeom>
                        </wps:spPr>
                        <wps:txbx>
                          <w:txbxContent>
                            <w:p>
                              <w:pPr>
                                <w:spacing w:line="180" w:lineRule="exact" w:before="0"/>
                                <w:ind w:left="0" w:right="0" w:firstLine="0"/>
                                <w:jc w:val="left"/>
                                <w:rPr>
                                  <w:rFonts w:ascii="Calibri"/>
                                  <w:b/>
                                  <w:sz w:val="18"/>
                                </w:rPr>
                              </w:pPr>
                              <w:r>
                                <w:rPr>
                                  <w:rFonts w:ascii="Calibri"/>
                                  <w:b/>
                                  <w:color w:val="FFFFFF"/>
                                  <w:spacing w:val="-4"/>
                                  <w:sz w:val="18"/>
                                </w:rPr>
                                <w:t>98,5</w:t>
                              </w:r>
                            </w:p>
                          </w:txbxContent>
                        </wps:txbx>
                        <wps:bodyPr wrap="square" lIns="0" tIns="0" rIns="0" bIns="0" rtlCol="0">
                          <a:noAutofit/>
                        </wps:bodyPr>
                      </wps:wsp>
                      <wps:wsp>
                        <wps:cNvPr id="20" name="Textbox 20"/>
                        <wps:cNvSpPr txBox="1"/>
                        <wps:spPr>
                          <a:xfrm>
                            <a:off x="437832" y="1203261"/>
                            <a:ext cx="1512570"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404040"/>
                                  <w:sz w:val="18"/>
                                </w:rPr>
                                <w:t>T2</w:t>
                              </w:r>
                              <w:r>
                                <w:rPr>
                                  <w:rFonts w:ascii="Calibri" w:hAnsi="Calibri"/>
                                  <w:color w:val="404040"/>
                                  <w:spacing w:val="-5"/>
                                  <w:sz w:val="18"/>
                                </w:rPr>
                                <w:t> </w:t>
                              </w:r>
                              <w:r>
                                <w:rPr>
                                  <w:rFonts w:ascii="Calibri" w:hAnsi="Calibri"/>
                                  <w:color w:val="404040"/>
                                  <w:sz w:val="18"/>
                                </w:rPr>
                                <w:t>(BUPIVACAÍNA +</w:t>
                              </w:r>
                              <w:r>
                                <w:rPr>
                                  <w:rFonts w:ascii="Calibri" w:hAnsi="Calibri"/>
                                  <w:color w:val="404040"/>
                                  <w:spacing w:val="-2"/>
                                  <w:sz w:val="18"/>
                                </w:rPr>
                                <w:t> MEGLUMIX)</w:t>
                              </w:r>
                            </w:p>
                          </w:txbxContent>
                        </wps:txbx>
                        <wps:bodyPr wrap="square" lIns="0" tIns="0" rIns="0" bIns="0" rtlCol="0">
                          <a:noAutofit/>
                        </wps:bodyPr>
                      </wps:wsp>
                      <wps:wsp>
                        <wps:cNvPr id="21" name="Textbox 21"/>
                        <wps:cNvSpPr txBox="1"/>
                        <wps:spPr>
                          <a:xfrm>
                            <a:off x="3329241" y="1209738"/>
                            <a:ext cx="273685" cy="114300"/>
                          </a:xfrm>
                          <a:prstGeom prst="rect">
                            <a:avLst/>
                          </a:prstGeom>
                        </wps:spPr>
                        <wps:txbx>
                          <w:txbxContent>
                            <w:p>
                              <w:pPr>
                                <w:spacing w:line="180" w:lineRule="exact" w:before="0"/>
                                <w:ind w:left="0" w:right="0" w:firstLine="0"/>
                                <w:jc w:val="left"/>
                                <w:rPr>
                                  <w:rFonts w:ascii="Calibri"/>
                                  <w:b/>
                                  <w:sz w:val="18"/>
                                </w:rPr>
                              </w:pPr>
                              <w:r>
                                <w:rPr>
                                  <w:rFonts w:ascii="Calibri"/>
                                  <w:b/>
                                  <w:color w:val="FFFFFF"/>
                                  <w:spacing w:val="-2"/>
                                  <w:sz w:val="18"/>
                                </w:rPr>
                                <w:t>112,5</w:t>
                              </w:r>
                            </w:p>
                          </w:txbxContent>
                        </wps:txbx>
                        <wps:bodyPr wrap="square" lIns="0" tIns="0" rIns="0" bIns="0" rtlCol="0">
                          <a:noAutofit/>
                        </wps:bodyPr>
                      </wps:wsp>
                      <wps:wsp>
                        <wps:cNvPr id="22" name="Textbox 22"/>
                        <wps:cNvSpPr txBox="1"/>
                        <wps:spPr>
                          <a:xfrm>
                            <a:off x="1333690" y="1682432"/>
                            <a:ext cx="618490" cy="114300"/>
                          </a:xfrm>
                          <a:prstGeom prst="rect">
                            <a:avLst/>
                          </a:prstGeom>
                        </wps:spPr>
                        <wps:txbx>
                          <w:txbxContent>
                            <w:p>
                              <w:pPr>
                                <w:spacing w:line="180" w:lineRule="exact" w:before="0"/>
                                <w:ind w:left="0" w:right="0" w:firstLine="0"/>
                                <w:jc w:val="left"/>
                                <w:rPr>
                                  <w:rFonts w:ascii="Calibri"/>
                                  <w:sz w:val="18"/>
                                </w:rPr>
                              </w:pPr>
                              <w:r>
                                <w:rPr>
                                  <w:rFonts w:ascii="Calibri"/>
                                  <w:color w:val="404040"/>
                                  <w:sz w:val="18"/>
                                </w:rPr>
                                <w:t>T0</w:t>
                              </w:r>
                              <w:r>
                                <w:rPr>
                                  <w:rFonts w:ascii="Calibri"/>
                                  <w:color w:val="404040"/>
                                  <w:spacing w:val="-3"/>
                                  <w:sz w:val="18"/>
                                </w:rPr>
                                <w:t> </w:t>
                              </w:r>
                              <w:r>
                                <w:rPr>
                                  <w:rFonts w:ascii="Calibri"/>
                                  <w:color w:val="404040"/>
                                  <w:spacing w:val="-2"/>
                                  <w:sz w:val="18"/>
                                </w:rPr>
                                <w:t>(TESTIGO)</w:t>
                              </w:r>
                            </w:p>
                          </w:txbxContent>
                        </wps:txbx>
                        <wps:bodyPr wrap="square" lIns="0" tIns="0" rIns="0" bIns="0" rtlCol="0">
                          <a:noAutofit/>
                        </wps:bodyPr>
                      </wps:wsp>
                      <wps:wsp>
                        <wps:cNvPr id="23" name="Textbox 23"/>
                        <wps:cNvSpPr txBox="1"/>
                        <wps:spPr>
                          <a:xfrm>
                            <a:off x="3476434" y="1688528"/>
                            <a:ext cx="331470" cy="114300"/>
                          </a:xfrm>
                          <a:prstGeom prst="rect">
                            <a:avLst/>
                          </a:prstGeom>
                        </wps:spPr>
                        <wps:txbx>
                          <w:txbxContent>
                            <w:p>
                              <w:pPr>
                                <w:spacing w:line="180" w:lineRule="exact" w:before="0"/>
                                <w:ind w:left="0" w:right="0" w:firstLine="0"/>
                                <w:jc w:val="left"/>
                                <w:rPr>
                                  <w:rFonts w:ascii="Calibri"/>
                                  <w:b/>
                                  <w:sz w:val="18"/>
                                </w:rPr>
                              </w:pPr>
                              <w:r>
                                <w:rPr>
                                  <w:rFonts w:ascii="Calibri"/>
                                  <w:b/>
                                  <w:color w:val="FFFFFF"/>
                                  <w:spacing w:val="-2"/>
                                  <w:sz w:val="18"/>
                                </w:rPr>
                                <w:t>126,75</w:t>
                              </w:r>
                            </w:p>
                          </w:txbxContent>
                        </wps:txbx>
                        <wps:bodyPr wrap="square" lIns="0" tIns="0" rIns="0" bIns="0" rtlCol="0">
                          <a:noAutofit/>
                        </wps:bodyPr>
                      </wps:wsp>
                      <wps:wsp>
                        <wps:cNvPr id="24" name="Textbox 24"/>
                        <wps:cNvSpPr txBox="1"/>
                        <wps:spPr>
                          <a:xfrm>
                            <a:off x="569277" y="2161222"/>
                            <a:ext cx="1381760" cy="114300"/>
                          </a:xfrm>
                          <a:prstGeom prst="rect">
                            <a:avLst/>
                          </a:prstGeom>
                        </wps:spPr>
                        <wps:txbx>
                          <w:txbxContent>
                            <w:p>
                              <w:pPr>
                                <w:spacing w:line="180" w:lineRule="exact" w:before="0"/>
                                <w:ind w:left="0" w:right="0" w:firstLine="0"/>
                                <w:jc w:val="left"/>
                                <w:rPr>
                                  <w:rFonts w:ascii="Calibri" w:hAnsi="Calibri"/>
                                  <w:sz w:val="18"/>
                                </w:rPr>
                              </w:pPr>
                              <w:r>
                                <w:rPr>
                                  <w:rFonts w:ascii="Calibri" w:hAnsi="Calibri"/>
                                  <w:color w:val="404040"/>
                                  <w:sz w:val="18"/>
                                </w:rPr>
                                <w:t>T1</w:t>
                              </w:r>
                              <w:r>
                                <w:rPr>
                                  <w:rFonts w:ascii="Calibri" w:hAnsi="Calibri"/>
                                  <w:color w:val="404040"/>
                                  <w:spacing w:val="-4"/>
                                  <w:sz w:val="18"/>
                                </w:rPr>
                                <w:t> </w:t>
                              </w:r>
                              <w:r>
                                <w:rPr>
                                  <w:rFonts w:ascii="Calibri" w:hAnsi="Calibri"/>
                                  <w:color w:val="404040"/>
                                  <w:sz w:val="18"/>
                                </w:rPr>
                                <w:t>(LIDOCAÍNA +</w:t>
                              </w:r>
                              <w:r>
                                <w:rPr>
                                  <w:rFonts w:ascii="Calibri" w:hAnsi="Calibri"/>
                                  <w:color w:val="404040"/>
                                  <w:spacing w:val="-2"/>
                                  <w:sz w:val="18"/>
                                </w:rPr>
                                <w:t> MEGLUMIX)</w:t>
                              </w:r>
                            </w:p>
                          </w:txbxContent>
                        </wps:txbx>
                        <wps:bodyPr wrap="square" lIns="0" tIns="0" rIns="0" bIns="0" rtlCol="0">
                          <a:noAutofit/>
                        </wps:bodyPr>
                      </wps:wsp>
                      <wps:wsp>
                        <wps:cNvPr id="25" name="Textbox 25"/>
                        <wps:cNvSpPr txBox="1"/>
                        <wps:spPr>
                          <a:xfrm>
                            <a:off x="3742499" y="2167699"/>
                            <a:ext cx="333375" cy="114300"/>
                          </a:xfrm>
                          <a:prstGeom prst="rect">
                            <a:avLst/>
                          </a:prstGeom>
                        </wps:spPr>
                        <wps:txbx>
                          <w:txbxContent>
                            <w:p>
                              <w:pPr>
                                <w:spacing w:line="180" w:lineRule="exact" w:before="0"/>
                                <w:ind w:left="0" w:right="0" w:firstLine="0"/>
                                <w:jc w:val="left"/>
                                <w:rPr>
                                  <w:rFonts w:ascii="Calibri"/>
                                  <w:b/>
                                  <w:sz w:val="18"/>
                                </w:rPr>
                              </w:pPr>
                              <w:r>
                                <w:rPr>
                                  <w:rFonts w:ascii="Calibri"/>
                                  <w:b/>
                                  <w:color w:val="FFFFFF"/>
                                  <w:spacing w:val="-2"/>
                                  <w:sz w:val="18"/>
                                </w:rPr>
                                <w:t>130.25</w:t>
                              </w:r>
                            </w:p>
                          </w:txbxContent>
                        </wps:txbx>
                        <wps:bodyPr wrap="square" lIns="0" tIns="0" rIns="0" bIns="0" rtlCol="0">
                          <a:noAutofit/>
                        </wps:bodyPr>
                      </wps:wsp>
                      <wps:wsp>
                        <wps:cNvPr id="26" name="Textbox 26"/>
                        <wps:cNvSpPr txBox="1"/>
                        <wps:spPr>
                          <a:xfrm>
                            <a:off x="2017077" y="2549334"/>
                            <a:ext cx="2433955" cy="114300"/>
                          </a:xfrm>
                          <a:prstGeom prst="rect">
                            <a:avLst/>
                          </a:prstGeom>
                        </wps:spPr>
                        <wps:txbx>
                          <w:txbxContent>
                            <w:p>
                              <w:pPr>
                                <w:tabs>
                                  <w:tab w:pos="408" w:val="left" w:leader="none"/>
                                  <w:tab w:pos="861" w:val="left" w:leader="none"/>
                                  <w:tab w:pos="1315" w:val="left" w:leader="none"/>
                                  <w:tab w:pos="1769" w:val="left" w:leader="none"/>
                                  <w:tab w:pos="2177" w:val="left" w:leader="none"/>
                                </w:tabs>
                                <w:spacing w:line="180" w:lineRule="exact" w:before="0"/>
                                <w:ind w:left="0" w:right="0" w:firstLine="0"/>
                                <w:jc w:val="left"/>
                                <w:rPr>
                                  <w:rFonts w:ascii="Calibri"/>
                                  <w:sz w:val="18"/>
                                </w:rPr>
                              </w:pPr>
                              <w:r>
                                <w:rPr>
                                  <w:rFonts w:ascii="Calibri"/>
                                  <w:color w:val="404040"/>
                                  <w:spacing w:val="-10"/>
                                  <w:sz w:val="18"/>
                                </w:rPr>
                                <w:t>0</w:t>
                              </w:r>
                              <w:r>
                                <w:rPr>
                                  <w:rFonts w:ascii="Calibri"/>
                                  <w:color w:val="404040"/>
                                  <w:sz w:val="18"/>
                                </w:rPr>
                                <w:tab/>
                              </w:r>
                              <w:r>
                                <w:rPr>
                                  <w:rFonts w:ascii="Calibri"/>
                                  <w:color w:val="404040"/>
                                  <w:spacing w:val="-5"/>
                                  <w:sz w:val="18"/>
                                </w:rPr>
                                <w:t>20</w:t>
                              </w:r>
                              <w:r>
                                <w:rPr>
                                  <w:rFonts w:ascii="Calibri"/>
                                  <w:color w:val="404040"/>
                                  <w:sz w:val="18"/>
                                </w:rPr>
                                <w:tab/>
                              </w:r>
                              <w:r>
                                <w:rPr>
                                  <w:rFonts w:ascii="Calibri"/>
                                  <w:color w:val="404040"/>
                                  <w:spacing w:val="-5"/>
                                  <w:sz w:val="18"/>
                                </w:rPr>
                                <w:t>40</w:t>
                              </w:r>
                              <w:r>
                                <w:rPr>
                                  <w:rFonts w:ascii="Calibri"/>
                                  <w:color w:val="404040"/>
                                  <w:sz w:val="18"/>
                                </w:rPr>
                                <w:tab/>
                              </w:r>
                              <w:r>
                                <w:rPr>
                                  <w:rFonts w:ascii="Calibri"/>
                                  <w:color w:val="404040"/>
                                  <w:spacing w:val="-5"/>
                                  <w:sz w:val="18"/>
                                </w:rPr>
                                <w:t>60</w:t>
                              </w:r>
                              <w:r>
                                <w:rPr>
                                  <w:rFonts w:ascii="Calibri"/>
                                  <w:color w:val="404040"/>
                                  <w:sz w:val="18"/>
                                </w:rPr>
                                <w:tab/>
                              </w:r>
                              <w:r>
                                <w:rPr>
                                  <w:rFonts w:ascii="Calibri"/>
                                  <w:color w:val="404040"/>
                                  <w:spacing w:val="-5"/>
                                  <w:sz w:val="18"/>
                                </w:rPr>
                                <w:t>80</w:t>
                              </w:r>
                              <w:r>
                                <w:rPr>
                                  <w:rFonts w:ascii="Calibri"/>
                                  <w:color w:val="404040"/>
                                  <w:sz w:val="18"/>
                                </w:rPr>
                                <w:tab/>
                                <w:t>100</w:t>
                              </w:r>
                              <w:r>
                                <w:rPr>
                                  <w:rFonts w:ascii="Calibri"/>
                                  <w:color w:val="404040"/>
                                  <w:spacing w:val="48"/>
                                  <w:sz w:val="18"/>
                                </w:rPr>
                                <w:t>  </w:t>
                              </w:r>
                              <w:r>
                                <w:rPr>
                                  <w:rFonts w:ascii="Calibri"/>
                                  <w:color w:val="404040"/>
                                  <w:sz w:val="18"/>
                                </w:rPr>
                                <w:t>120</w:t>
                              </w:r>
                              <w:r>
                                <w:rPr>
                                  <w:rFonts w:ascii="Calibri"/>
                                  <w:color w:val="404040"/>
                                  <w:spacing w:val="48"/>
                                  <w:sz w:val="18"/>
                                </w:rPr>
                                <w:t>  </w:t>
                              </w:r>
                              <w:r>
                                <w:rPr>
                                  <w:rFonts w:ascii="Calibri"/>
                                  <w:color w:val="404040"/>
                                  <w:sz w:val="18"/>
                                </w:rPr>
                                <w:t>140</w:t>
                              </w:r>
                              <w:r>
                                <w:rPr>
                                  <w:rFonts w:ascii="Calibri"/>
                                  <w:color w:val="404040"/>
                                  <w:spacing w:val="48"/>
                                  <w:sz w:val="18"/>
                                </w:rPr>
                                <w:t>  </w:t>
                              </w:r>
                              <w:r>
                                <w:rPr>
                                  <w:rFonts w:ascii="Calibri"/>
                                  <w:color w:val="404040"/>
                                  <w:spacing w:val="-5"/>
                                  <w:sz w:val="18"/>
                                </w:rPr>
                                <w:t>160</w:t>
                              </w:r>
                            </w:p>
                          </w:txbxContent>
                        </wps:txbx>
                        <wps:bodyPr wrap="square" lIns="0" tIns="0" rIns="0" bIns="0" rtlCol="0">
                          <a:noAutofit/>
                        </wps:bodyPr>
                      </wps:wsp>
                    </wpg:wgp>
                  </a:graphicData>
                </a:graphic>
              </wp:anchor>
            </w:drawing>
          </mc:Choice>
          <mc:Fallback>
            <w:pict>
              <v:group style="position:absolute;margin-left:113.025002pt;margin-top:9.574316pt;width:360.75pt;height:216.75pt;mso-position-horizontal-relative:page;mso-position-vertical-relative:paragraph;z-index:-15726080;mso-wrap-distance-left:0;mso-wrap-distance-right:0" id="docshapegroup6" coordorigin="2261,191" coordsize="7215,4335">
                <v:shape style="position:absolute;left:2268;top:198;width:7200;height:4320" type="#_x0000_t75" id="docshape7" stroked="false">
                  <v:imagedata r:id="rId14" o:title=""/>
                </v:shape>
                <v:shape style="position:absolute;left:5481;top:1187;width:3296;height:2720" id="docshape8" coordorigin="5481,1188" coordsize="3296,2720" path="m7716,1188l5481,1188,5481,1644,7716,1644,7716,1188xm8033,1942l5481,1942,5481,2398,8033,2398,8033,1942xm8357,2695l5481,2695,5481,3151,8357,3151,8357,2695xm8777,3449l5481,3449,5481,3907,8777,3907,8777,3449xe" filled="true" fillcolor="#4f81bc" stroked="false">
                  <v:path arrowok="t"/>
                  <v:fill opacity="55771f" type="solid"/>
                </v:shape>
                <v:shape style="position:absolute;left:5481;top:1187;width:3296;height:2720" id="docshape9" coordorigin="5481,1188" coordsize="3296,2720" path="m8777,3907l5481,3907,5481,3449,8777,3449,8777,3907xm8357,3151l5481,3151,5481,2695,8357,2695,8357,3151xm8033,2398l5481,2398,5481,1942,8033,1942,8033,2398xm7716,1644l5481,1644,5481,1188,7716,1188,7716,1644xe" filled="false" stroked="true" strokeweight=".75pt" strokecolor="#ffffff">
                  <v:path arrowok="t"/>
                  <v:stroke dashstyle="solid"/>
                </v:shape>
                <v:shape style="position:absolute;left:5424;top:1038;width:57;height:3017" id="docshape10" coordorigin="5424,1038" coordsize="57,3017" path="m5481,4055l5481,1038m5424,4055l5481,4055m5424,3300l5481,3300m5424,2546l5481,2546m5424,1793l5481,1793m5424,1038l5481,1038e" filled="false" stroked="true" strokeweight="1.5pt" strokecolor="#404040">
                  <v:path arrowok="t"/>
                  <v:stroke dashstyle="solid"/>
                </v:shape>
                <v:rect style="position:absolute;left:2268;top:198;width:7200;height:4320" id="docshape11" filled="false" stroked="true" strokeweight=".75pt" strokecolor="#bebebe">
                  <v:stroke dashstyle="solid"/>
                </v:rect>
                <v:shape style="position:absolute;left:3694;top:423;width:4363;height:360" type="#_x0000_t202" id="docshape12" filled="false" stroked="false">
                  <v:textbox inset="0,0,0,0">
                    <w:txbxContent>
                      <w:p>
                        <w:pPr>
                          <w:spacing w:line="360" w:lineRule="exact" w:before="0"/>
                          <w:ind w:left="0" w:right="0" w:firstLine="0"/>
                          <w:jc w:val="left"/>
                          <w:rPr>
                            <w:rFonts w:ascii="Calibri"/>
                            <w:b/>
                            <w:sz w:val="36"/>
                          </w:rPr>
                        </w:pPr>
                        <w:r>
                          <w:rPr>
                            <w:rFonts w:ascii="Calibri"/>
                            <w:b/>
                            <w:color w:val="404040"/>
                            <w:sz w:val="36"/>
                          </w:rPr>
                          <w:t>Frecuencia</w:t>
                        </w:r>
                        <w:r>
                          <w:rPr>
                            <w:rFonts w:ascii="Calibri"/>
                            <w:b/>
                            <w:color w:val="404040"/>
                            <w:spacing w:val="-14"/>
                            <w:sz w:val="36"/>
                          </w:rPr>
                          <w:t> </w:t>
                        </w:r>
                        <w:r>
                          <w:rPr>
                            <w:rFonts w:ascii="Calibri"/>
                            <w:b/>
                            <w:color w:val="404040"/>
                            <w:sz w:val="36"/>
                          </w:rPr>
                          <w:t>cardiaca</w:t>
                        </w:r>
                        <w:r>
                          <w:rPr>
                            <w:rFonts w:ascii="Calibri"/>
                            <w:b/>
                            <w:color w:val="404040"/>
                            <w:spacing w:val="-12"/>
                            <w:sz w:val="36"/>
                          </w:rPr>
                          <w:t> </w:t>
                        </w:r>
                        <w:r>
                          <w:rPr>
                            <w:rFonts w:ascii="Calibri"/>
                            <w:b/>
                            <w:color w:val="404040"/>
                            <w:spacing w:val="-2"/>
                            <w:sz w:val="36"/>
                          </w:rPr>
                          <w:t>(lat/min)</w:t>
                        </w:r>
                      </w:p>
                    </w:txbxContent>
                  </v:textbox>
                  <w10:wrap type="none"/>
                </v:shape>
                <v:shape style="position:absolute;left:2397;top:1332;width:2935;height:180" type="#_x0000_t202" id="docshape13" filled="false" stroked="false">
                  <v:textbox inset="0,0,0,0">
                    <w:txbxContent>
                      <w:p>
                        <w:pPr>
                          <w:spacing w:line="180" w:lineRule="exact" w:before="0"/>
                          <w:ind w:left="0" w:right="0" w:firstLine="0"/>
                          <w:jc w:val="left"/>
                          <w:rPr>
                            <w:rFonts w:ascii="Calibri"/>
                            <w:sz w:val="18"/>
                          </w:rPr>
                        </w:pPr>
                        <w:r>
                          <w:rPr>
                            <w:rFonts w:ascii="Calibri"/>
                            <w:color w:val="404040"/>
                            <w:sz w:val="18"/>
                          </w:rPr>
                          <w:t>T3</w:t>
                        </w:r>
                        <w:r>
                          <w:rPr>
                            <w:rFonts w:ascii="Calibri"/>
                            <w:color w:val="404040"/>
                            <w:spacing w:val="-4"/>
                            <w:sz w:val="18"/>
                          </w:rPr>
                          <w:t> </w:t>
                        </w:r>
                        <w:r>
                          <w:rPr>
                            <w:rFonts w:ascii="Calibri"/>
                            <w:color w:val="404040"/>
                            <w:sz w:val="18"/>
                          </w:rPr>
                          <w:t>(50% LIDO</w:t>
                        </w:r>
                        <w:r>
                          <w:rPr>
                            <w:rFonts w:ascii="Calibri"/>
                            <w:color w:val="404040"/>
                            <w:spacing w:val="-2"/>
                            <w:sz w:val="18"/>
                          </w:rPr>
                          <w:t> </w:t>
                        </w:r>
                        <w:r>
                          <w:rPr>
                            <w:rFonts w:ascii="Calibri"/>
                            <w:color w:val="404040"/>
                            <w:sz w:val="18"/>
                          </w:rPr>
                          <w:t>+</w:t>
                        </w:r>
                        <w:r>
                          <w:rPr>
                            <w:rFonts w:ascii="Calibri"/>
                            <w:color w:val="404040"/>
                            <w:spacing w:val="-1"/>
                            <w:sz w:val="18"/>
                          </w:rPr>
                          <w:t> </w:t>
                        </w:r>
                        <w:r>
                          <w:rPr>
                            <w:rFonts w:ascii="Calibri"/>
                            <w:color w:val="404040"/>
                            <w:sz w:val="18"/>
                          </w:rPr>
                          <w:t>50% BUPI</w:t>
                        </w:r>
                        <w:r>
                          <w:rPr>
                            <w:rFonts w:ascii="Calibri"/>
                            <w:color w:val="404040"/>
                            <w:spacing w:val="-2"/>
                            <w:sz w:val="18"/>
                          </w:rPr>
                          <w:t> </w:t>
                        </w:r>
                        <w:r>
                          <w:rPr>
                            <w:rFonts w:ascii="Calibri"/>
                            <w:color w:val="404040"/>
                            <w:sz w:val="18"/>
                          </w:rPr>
                          <w:t>+</w:t>
                        </w:r>
                        <w:r>
                          <w:rPr>
                            <w:rFonts w:ascii="Calibri"/>
                            <w:color w:val="404040"/>
                            <w:spacing w:val="1"/>
                            <w:sz w:val="18"/>
                          </w:rPr>
                          <w:t> </w:t>
                        </w:r>
                        <w:r>
                          <w:rPr>
                            <w:rFonts w:ascii="Calibri"/>
                            <w:color w:val="404040"/>
                            <w:spacing w:val="-2"/>
                            <w:sz w:val="18"/>
                          </w:rPr>
                          <w:t>MEGLUMIX)</w:t>
                        </w:r>
                      </w:p>
                    </w:txbxContent>
                  </v:textbox>
                  <w10:wrap type="none"/>
                </v:shape>
                <v:shape style="position:absolute;left:7276;top:1342;width:340;height:180" type="#_x0000_t202" id="docshape14" filled="false" stroked="false">
                  <v:textbox inset="0,0,0,0">
                    <w:txbxContent>
                      <w:p>
                        <w:pPr>
                          <w:spacing w:line="180" w:lineRule="exact" w:before="0"/>
                          <w:ind w:left="0" w:right="0" w:firstLine="0"/>
                          <w:jc w:val="left"/>
                          <w:rPr>
                            <w:rFonts w:ascii="Calibri"/>
                            <w:b/>
                            <w:sz w:val="18"/>
                          </w:rPr>
                        </w:pPr>
                        <w:r>
                          <w:rPr>
                            <w:rFonts w:ascii="Calibri"/>
                            <w:b/>
                            <w:color w:val="FFFFFF"/>
                            <w:spacing w:val="-4"/>
                            <w:sz w:val="18"/>
                          </w:rPr>
                          <w:t>98,5</w:t>
                        </w:r>
                      </w:p>
                    </w:txbxContent>
                  </v:textbox>
                  <w10:wrap type="none"/>
                </v:shape>
                <v:shape style="position:absolute;left:2950;top:2086;width:2382;height:180" type="#_x0000_t202" id="docshape15" filled="false" stroked="false">
                  <v:textbox inset="0,0,0,0">
                    <w:txbxContent>
                      <w:p>
                        <w:pPr>
                          <w:spacing w:line="180" w:lineRule="exact" w:before="0"/>
                          <w:ind w:left="0" w:right="0" w:firstLine="0"/>
                          <w:jc w:val="left"/>
                          <w:rPr>
                            <w:rFonts w:ascii="Calibri" w:hAnsi="Calibri"/>
                            <w:sz w:val="18"/>
                          </w:rPr>
                        </w:pPr>
                        <w:r>
                          <w:rPr>
                            <w:rFonts w:ascii="Calibri" w:hAnsi="Calibri"/>
                            <w:color w:val="404040"/>
                            <w:sz w:val="18"/>
                          </w:rPr>
                          <w:t>T2</w:t>
                        </w:r>
                        <w:r>
                          <w:rPr>
                            <w:rFonts w:ascii="Calibri" w:hAnsi="Calibri"/>
                            <w:color w:val="404040"/>
                            <w:spacing w:val="-5"/>
                            <w:sz w:val="18"/>
                          </w:rPr>
                          <w:t> </w:t>
                        </w:r>
                        <w:r>
                          <w:rPr>
                            <w:rFonts w:ascii="Calibri" w:hAnsi="Calibri"/>
                            <w:color w:val="404040"/>
                            <w:sz w:val="18"/>
                          </w:rPr>
                          <w:t>(BUPIVACAÍNA +</w:t>
                        </w:r>
                        <w:r>
                          <w:rPr>
                            <w:rFonts w:ascii="Calibri" w:hAnsi="Calibri"/>
                            <w:color w:val="404040"/>
                            <w:spacing w:val="-2"/>
                            <w:sz w:val="18"/>
                          </w:rPr>
                          <w:t> MEGLUMIX)</w:t>
                        </w:r>
                      </w:p>
                    </w:txbxContent>
                  </v:textbox>
                  <w10:wrap type="none"/>
                </v:shape>
                <v:shape style="position:absolute;left:7503;top:2096;width:431;height:180" type="#_x0000_t202" id="docshape16" filled="false" stroked="false">
                  <v:textbox inset="0,0,0,0">
                    <w:txbxContent>
                      <w:p>
                        <w:pPr>
                          <w:spacing w:line="180" w:lineRule="exact" w:before="0"/>
                          <w:ind w:left="0" w:right="0" w:firstLine="0"/>
                          <w:jc w:val="left"/>
                          <w:rPr>
                            <w:rFonts w:ascii="Calibri"/>
                            <w:b/>
                            <w:sz w:val="18"/>
                          </w:rPr>
                        </w:pPr>
                        <w:r>
                          <w:rPr>
                            <w:rFonts w:ascii="Calibri"/>
                            <w:b/>
                            <w:color w:val="FFFFFF"/>
                            <w:spacing w:val="-2"/>
                            <w:sz w:val="18"/>
                          </w:rPr>
                          <w:t>112,5</w:t>
                        </w:r>
                      </w:p>
                    </w:txbxContent>
                  </v:textbox>
                  <w10:wrap type="none"/>
                </v:shape>
                <v:shape style="position:absolute;left:4360;top:2840;width:974;height:180" type="#_x0000_t202" id="docshape17" filled="false" stroked="false">
                  <v:textbox inset="0,0,0,0">
                    <w:txbxContent>
                      <w:p>
                        <w:pPr>
                          <w:spacing w:line="180" w:lineRule="exact" w:before="0"/>
                          <w:ind w:left="0" w:right="0" w:firstLine="0"/>
                          <w:jc w:val="left"/>
                          <w:rPr>
                            <w:rFonts w:ascii="Calibri"/>
                            <w:sz w:val="18"/>
                          </w:rPr>
                        </w:pPr>
                        <w:r>
                          <w:rPr>
                            <w:rFonts w:ascii="Calibri"/>
                            <w:color w:val="404040"/>
                            <w:sz w:val="18"/>
                          </w:rPr>
                          <w:t>T0</w:t>
                        </w:r>
                        <w:r>
                          <w:rPr>
                            <w:rFonts w:ascii="Calibri"/>
                            <w:color w:val="404040"/>
                            <w:spacing w:val="-3"/>
                            <w:sz w:val="18"/>
                          </w:rPr>
                          <w:t> </w:t>
                        </w:r>
                        <w:r>
                          <w:rPr>
                            <w:rFonts w:ascii="Calibri"/>
                            <w:color w:val="404040"/>
                            <w:spacing w:val="-2"/>
                            <w:sz w:val="18"/>
                          </w:rPr>
                          <w:t>(TESTIGO)</w:t>
                        </w:r>
                      </w:p>
                    </w:txbxContent>
                  </v:textbox>
                  <w10:wrap type="none"/>
                </v:shape>
                <v:shape style="position:absolute;left:7735;top:2850;width:522;height:180" type="#_x0000_t202" id="docshape18" filled="false" stroked="false">
                  <v:textbox inset="0,0,0,0">
                    <w:txbxContent>
                      <w:p>
                        <w:pPr>
                          <w:spacing w:line="180" w:lineRule="exact" w:before="0"/>
                          <w:ind w:left="0" w:right="0" w:firstLine="0"/>
                          <w:jc w:val="left"/>
                          <w:rPr>
                            <w:rFonts w:ascii="Calibri"/>
                            <w:b/>
                            <w:sz w:val="18"/>
                          </w:rPr>
                        </w:pPr>
                        <w:r>
                          <w:rPr>
                            <w:rFonts w:ascii="Calibri"/>
                            <w:b/>
                            <w:color w:val="FFFFFF"/>
                            <w:spacing w:val="-2"/>
                            <w:sz w:val="18"/>
                          </w:rPr>
                          <w:t>126,75</w:t>
                        </w:r>
                      </w:p>
                    </w:txbxContent>
                  </v:textbox>
                  <w10:wrap type="none"/>
                </v:shape>
                <v:shape style="position:absolute;left:3157;top:3594;width:2176;height:180" type="#_x0000_t202" id="docshape19" filled="false" stroked="false">
                  <v:textbox inset="0,0,0,0">
                    <w:txbxContent>
                      <w:p>
                        <w:pPr>
                          <w:spacing w:line="180" w:lineRule="exact" w:before="0"/>
                          <w:ind w:left="0" w:right="0" w:firstLine="0"/>
                          <w:jc w:val="left"/>
                          <w:rPr>
                            <w:rFonts w:ascii="Calibri" w:hAnsi="Calibri"/>
                            <w:sz w:val="18"/>
                          </w:rPr>
                        </w:pPr>
                        <w:r>
                          <w:rPr>
                            <w:rFonts w:ascii="Calibri" w:hAnsi="Calibri"/>
                            <w:color w:val="404040"/>
                            <w:sz w:val="18"/>
                          </w:rPr>
                          <w:t>T1</w:t>
                        </w:r>
                        <w:r>
                          <w:rPr>
                            <w:rFonts w:ascii="Calibri" w:hAnsi="Calibri"/>
                            <w:color w:val="404040"/>
                            <w:spacing w:val="-4"/>
                            <w:sz w:val="18"/>
                          </w:rPr>
                          <w:t> </w:t>
                        </w:r>
                        <w:r>
                          <w:rPr>
                            <w:rFonts w:ascii="Calibri" w:hAnsi="Calibri"/>
                            <w:color w:val="404040"/>
                            <w:sz w:val="18"/>
                          </w:rPr>
                          <w:t>(LIDOCAÍNA +</w:t>
                        </w:r>
                        <w:r>
                          <w:rPr>
                            <w:rFonts w:ascii="Calibri" w:hAnsi="Calibri"/>
                            <w:color w:val="404040"/>
                            <w:spacing w:val="-2"/>
                            <w:sz w:val="18"/>
                          </w:rPr>
                          <w:t> MEGLUMIX)</w:t>
                        </w:r>
                      </w:p>
                    </w:txbxContent>
                  </v:textbox>
                  <w10:wrap type="none"/>
                </v:shape>
                <v:shape style="position:absolute;left:8154;top:3605;width:525;height:180" type="#_x0000_t202" id="docshape20" filled="false" stroked="false">
                  <v:textbox inset="0,0,0,0">
                    <w:txbxContent>
                      <w:p>
                        <w:pPr>
                          <w:spacing w:line="180" w:lineRule="exact" w:before="0"/>
                          <w:ind w:left="0" w:right="0" w:firstLine="0"/>
                          <w:jc w:val="left"/>
                          <w:rPr>
                            <w:rFonts w:ascii="Calibri"/>
                            <w:b/>
                            <w:sz w:val="18"/>
                          </w:rPr>
                        </w:pPr>
                        <w:r>
                          <w:rPr>
                            <w:rFonts w:ascii="Calibri"/>
                            <w:b/>
                            <w:color w:val="FFFFFF"/>
                            <w:spacing w:val="-2"/>
                            <w:sz w:val="18"/>
                          </w:rPr>
                          <w:t>130.25</w:t>
                        </w:r>
                      </w:p>
                    </w:txbxContent>
                  </v:textbox>
                  <w10:wrap type="none"/>
                </v:shape>
                <v:shape style="position:absolute;left:5437;top:4206;width:3833;height:180" type="#_x0000_t202" id="docshape21" filled="false" stroked="false">
                  <v:textbox inset="0,0,0,0">
                    <w:txbxContent>
                      <w:p>
                        <w:pPr>
                          <w:tabs>
                            <w:tab w:pos="408" w:val="left" w:leader="none"/>
                            <w:tab w:pos="861" w:val="left" w:leader="none"/>
                            <w:tab w:pos="1315" w:val="left" w:leader="none"/>
                            <w:tab w:pos="1769" w:val="left" w:leader="none"/>
                            <w:tab w:pos="2177" w:val="left" w:leader="none"/>
                          </w:tabs>
                          <w:spacing w:line="180" w:lineRule="exact" w:before="0"/>
                          <w:ind w:left="0" w:right="0" w:firstLine="0"/>
                          <w:jc w:val="left"/>
                          <w:rPr>
                            <w:rFonts w:ascii="Calibri"/>
                            <w:sz w:val="18"/>
                          </w:rPr>
                        </w:pPr>
                        <w:r>
                          <w:rPr>
                            <w:rFonts w:ascii="Calibri"/>
                            <w:color w:val="404040"/>
                            <w:spacing w:val="-10"/>
                            <w:sz w:val="18"/>
                          </w:rPr>
                          <w:t>0</w:t>
                        </w:r>
                        <w:r>
                          <w:rPr>
                            <w:rFonts w:ascii="Calibri"/>
                            <w:color w:val="404040"/>
                            <w:sz w:val="18"/>
                          </w:rPr>
                          <w:tab/>
                        </w:r>
                        <w:r>
                          <w:rPr>
                            <w:rFonts w:ascii="Calibri"/>
                            <w:color w:val="404040"/>
                            <w:spacing w:val="-5"/>
                            <w:sz w:val="18"/>
                          </w:rPr>
                          <w:t>20</w:t>
                        </w:r>
                        <w:r>
                          <w:rPr>
                            <w:rFonts w:ascii="Calibri"/>
                            <w:color w:val="404040"/>
                            <w:sz w:val="18"/>
                          </w:rPr>
                          <w:tab/>
                        </w:r>
                        <w:r>
                          <w:rPr>
                            <w:rFonts w:ascii="Calibri"/>
                            <w:color w:val="404040"/>
                            <w:spacing w:val="-5"/>
                            <w:sz w:val="18"/>
                          </w:rPr>
                          <w:t>40</w:t>
                        </w:r>
                        <w:r>
                          <w:rPr>
                            <w:rFonts w:ascii="Calibri"/>
                            <w:color w:val="404040"/>
                            <w:sz w:val="18"/>
                          </w:rPr>
                          <w:tab/>
                        </w:r>
                        <w:r>
                          <w:rPr>
                            <w:rFonts w:ascii="Calibri"/>
                            <w:color w:val="404040"/>
                            <w:spacing w:val="-5"/>
                            <w:sz w:val="18"/>
                          </w:rPr>
                          <w:t>60</w:t>
                        </w:r>
                        <w:r>
                          <w:rPr>
                            <w:rFonts w:ascii="Calibri"/>
                            <w:color w:val="404040"/>
                            <w:sz w:val="18"/>
                          </w:rPr>
                          <w:tab/>
                        </w:r>
                        <w:r>
                          <w:rPr>
                            <w:rFonts w:ascii="Calibri"/>
                            <w:color w:val="404040"/>
                            <w:spacing w:val="-5"/>
                            <w:sz w:val="18"/>
                          </w:rPr>
                          <w:t>80</w:t>
                        </w:r>
                        <w:r>
                          <w:rPr>
                            <w:rFonts w:ascii="Calibri"/>
                            <w:color w:val="404040"/>
                            <w:sz w:val="18"/>
                          </w:rPr>
                          <w:tab/>
                          <w:t>100</w:t>
                        </w:r>
                        <w:r>
                          <w:rPr>
                            <w:rFonts w:ascii="Calibri"/>
                            <w:color w:val="404040"/>
                            <w:spacing w:val="48"/>
                            <w:sz w:val="18"/>
                          </w:rPr>
                          <w:t>  </w:t>
                        </w:r>
                        <w:r>
                          <w:rPr>
                            <w:rFonts w:ascii="Calibri"/>
                            <w:color w:val="404040"/>
                            <w:sz w:val="18"/>
                          </w:rPr>
                          <w:t>120</w:t>
                        </w:r>
                        <w:r>
                          <w:rPr>
                            <w:rFonts w:ascii="Calibri"/>
                            <w:color w:val="404040"/>
                            <w:spacing w:val="48"/>
                            <w:sz w:val="18"/>
                          </w:rPr>
                          <w:t>  </w:t>
                        </w:r>
                        <w:r>
                          <w:rPr>
                            <w:rFonts w:ascii="Calibri"/>
                            <w:color w:val="404040"/>
                            <w:sz w:val="18"/>
                          </w:rPr>
                          <w:t>140</w:t>
                        </w:r>
                        <w:r>
                          <w:rPr>
                            <w:rFonts w:ascii="Calibri"/>
                            <w:color w:val="404040"/>
                            <w:spacing w:val="48"/>
                            <w:sz w:val="18"/>
                          </w:rPr>
                          <w:t>  </w:t>
                        </w:r>
                        <w:r>
                          <w:rPr>
                            <w:rFonts w:ascii="Calibri"/>
                            <w:color w:val="404040"/>
                            <w:spacing w:val="-5"/>
                            <w:sz w:val="18"/>
                          </w:rPr>
                          <w:t>160</w:t>
                        </w:r>
                      </w:p>
                    </w:txbxContent>
                  </v:textbox>
                  <w10:wrap type="none"/>
                </v:shape>
                <w10:wrap type="topAndBottom"/>
              </v:group>
            </w:pict>
          </mc:Fallback>
        </mc:AlternateContent>
      </w:r>
    </w:p>
    <w:p>
      <w:pPr>
        <w:pStyle w:val="BodyText"/>
        <w:spacing w:after="0"/>
        <w:rPr>
          <w:i/>
          <w:sz w:val="14"/>
        </w:rPr>
        <w:sectPr>
          <w:pgSz w:w="11900" w:h="16860"/>
          <w:pgMar w:header="0" w:footer="1084" w:top="1620" w:bottom="1280" w:left="1133" w:right="850"/>
        </w:sectPr>
      </w:pPr>
    </w:p>
    <w:p>
      <w:pPr>
        <w:pStyle w:val="Heading3"/>
        <w:spacing w:before="163"/>
      </w:pPr>
      <w:bookmarkStart w:name="_bookmark54" w:id="55"/>
      <w:bookmarkEnd w:id="55"/>
      <w:r>
        <w:rPr>
          <w:b w:val="0"/>
          <w:i w:val="0"/>
        </w:rPr>
      </w:r>
      <w:r>
        <w:rPr/>
        <w:t>Tabla </w:t>
      </w:r>
      <w:r>
        <w:rPr>
          <w:spacing w:val="-10"/>
        </w:rPr>
        <w:t>8</w:t>
      </w:r>
    </w:p>
    <w:p>
      <w:pPr>
        <w:spacing w:before="139"/>
        <w:ind w:left="1135" w:right="0" w:firstLine="0"/>
        <w:jc w:val="left"/>
        <w:rPr>
          <w:i/>
          <w:sz w:val="24"/>
        </w:rPr>
      </w:pPr>
      <w:r>
        <w:rPr>
          <w:i/>
          <w:sz w:val="24"/>
        </w:rPr>
        <w:t>Comparación</w:t>
      </w:r>
      <w:r>
        <w:rPr>
          <w:i/>
          <w:spacing w:val="-2"/>
          <w:sz w:val="24"/>
        </w:rPr>
        <w:t> </w:t>
      </w:r>
      <w:r>
        <w:rPr>
          <w:i/>
          <w:sz w:val="24"/>
        </w:rPr>
        <w:t>de</w:t>
      </w:r>
      <w:r>
        <w:rPr>
          <w:i/>
          <w:spacing w:val="-2"/>
          <w:sz w:val="24"/>
        </w:rPr>
        <w:t> </w:t>
      </w:r>
      <w:r>
        <w:rPr>
          <w:i/>
          <w:sz w:val="24"/>
        </w:rPr>
        <w:t>medias Tukey (Frecuencia</w:t>
      </w:r>
      <w:r>
        <w:rPr>
          <w:i/>
          <w:spacing w:val="-1"/>
          <w:sz w:val="24"/>
        </w:rPr>
        <w:t> </w:t>
      </w:r>
      <w:r>
        <w:rPr>
          <w:i/>
          <w:spacing w:val="-2"/>
          <w:sz w:val="24"/>
        </w:rPr>
        <w:t>respiratoria)</w:t>
      </w:r>
    </w:p>
    <w:p>
      <w:pPr>
        <w:pStyle w:val="BodyText"/>
        <w:spacing w:before="8"/>
        <w:ind w:left="0"/>
        <w:rPr>
          <w:i/>
          <w:sz w:val="14"/>
        </w:rPr>
      </w:pPr>
    </w:p>
    <w:tbl>
      <w:tblPr>
        <w:tblW w:w="0" w:type="auto"/>
        <w:jc w:val="left"/>
        <w:tblInd w:w="1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55"/>
        <w:gridCol w:w="6180"/>
      </w:tblGrid>
      <w:tr>
        <w:trPr>
          <w:trHeight w:val="304" w:hRule="atLeast"/>
        </w:trPr>
        <w:tc>
          <w:tcPr>
            <w:tcW w:w="1755" w:type="dxa"/>
            <w:tcBorders>
              <w:top w:val="single" w:sz="4" w:space="0" w:color="000000"/>
              <w:bottom w:val="single" w:sz="4" w:space="0" w:color="000000"/>
            </w:tcBorders>
          </w:tcPr>
          <w:p>
            <w:pPr>
              <w:pStyle w:val="TableParagraph"/>
              <w:spacing w:line="271" w:lineRule="exact" w:before="13"/>
              <w:ind w:left="45"/>
              <w:rPr>
                <w:b/>
                <w:sz w:val="24"/>
              </w:rPr>
            </w:pPr>
            <w:r>
              <w:rPr>
                <w:b/>
                <w:spacing w:val="-2"/>
                <w:sz w:val="24"/>
              </w:rPr>
              <w:t>Tratamiento</w:t>
            </w:r>
          </w:p>
        </w:tc>
        <w:tc>
          <w:tcPr>
            <w:tcW w:w="6180" w:type="dxa"/>
            <w:tcBorders>
              <w:top w:val="single" w:sz="4" w:space="0" w:color="000000"/>
              <w:bottom w:val="single" w:sz="4" w:space="0" w:color="000000"/>
            </w:tcBorders>
          </w:tcPr>
          <w:p>
            <w:pPr>
              <w:pStyle w:val="TableParagraph"/>
              <w:spacing w:line="271" w:lineRule="exact" w:before="13"/>
              <w:ind w:left="417"/>
              <w:rPr>
                <w:b/>
                <w:sz w:val="24"/>
              </w:rPr>
            </w:pPr>
            <w:r>
              <w:rPr>
                <w:b/>
                <w:sz w:val="24"/>
              </w:rPr>
              <w:t>Frecuencia</w:t>
            </w:r>
            <w:r>
              <w:rPr>
                <w:b/>
                <w:spacing w:val="-5"/>
                <w:sz w:val="24"/>
              </w:rPr>
              <w:t> </w:t>
            </w:r>
            <w:r>
              <w:rPr>
                <w:b/>
                <w:sz w:val="24"/>
              </w:rPr>
              <w:t>respiratoria</w:t>
            </w:r>
            <w:r>
              <w:rPr>
                <w:b/>
                <w:spacing w:val="-2"/>
                <w:sz w:val="24"/>
              </w:rPr>
              <w:t> (resp/min)</w:t>
            </w:r>
          </w:p>
        </w:tc>
      </w:tr>
      <w:tr>
        <w:trPr>
          <w:trHeight w:val="355" w:hRule="atLeast"/>
        </w:trPr>
        <w:tc>
          <w:tcPr>
            <w:tcW w:w="1755" w:type="dxa"/>
            <w:tcBorders>
              <w:top w:val="single" w:sz="4" w:space="0" w:color="000000"/>
            </w:tcBorders>
          </w:tcPr>
          <w:p>
            <w:pPr>
              <w:pStyle w:val="TableParagraph"/>
              <w:spacing w:before="44"/>
              <w:ind w:left="45"/>
              <w:rPr>
                <w:sz w:val="24"/>
              </w:rPr>
            </w:pPr>
            <w:r>
              <w:rPr>
                <w:spacing w:val="-5"/>
                <w:sz w:val="24"/>
              </w:rPr>
              <w:t>T1</w:t>
            </w:r>
          </w:p>
        </w:tc>
        <w:tc>
          <w:tcPr>
            <w:tcW w:w="6180" w:type="dxa"/>
            <w:tcBorders>
              <w:top w:val="single" w:sz="4" w:space="0" w:color="000000"/>
            </w:tcBorders>
          </w:tcPr>
          <w:p>
            <w:pPr>
              <w:pStyle w:val="TableParagraph"/>
              <w:spacing w:before="44"/>
              <w:ind w:left="417"/>
              <w:rPr>
                <w:sz w:val="24"/>
              </w:rPr>
            </w:pPr>
            <w:r>
              <w:rPr>
                <w:spacing w:val="-2"/>
                <w:sz w:val="24"/>
              </w:rPr>
              <w:t>58.25ª</w:t>
            </w:r>
          </w:p>
        </w:tc>
      </w:tr>
      <w:tr>
        <w:trPr>
          <w:trHeight w:val="335" w:hRule="atLeast"/>
        </w:trPr>
        <w:tc>
          <w:tcPr>
            <w:tcW w:w="1755" w:type="dxa"/>
          </w:tcPr>
          <w:p>
            <w:pPr>
              <w:pStyle w:val="TableParagraph"/>
              <w:spacing w:before="25"/>
              <w:ind w:left="45"/>
              <w:rPr>
                <w:sz w:val="24"/>
              </w:rPr>
            </w:pPr>
            <w:r>
              <w:rPr>
                <w:spacing w:val="-5"/>
                <w:sz w:val="24"/>
              </w:rPr>
              <w:t>T0</w:t>
            </w:r>
          </w:p>
        </w:tc>
        <w:tc>
          <w:tcPr>
            <w:tcW w:w="6180" w:type="dxa"/>
          </w:tcPr>
          <w:p>
            <w:pPr>
              <w:pStyle w:val="TableParagraph"/>
              <w:spacing w:before="25"/>
              <w:ind w:left="417"/>
              <w:rPr>
                <w:sz w:val="24"/>
              </w:rPr>
            </w:pPr>
            <w:r>
              <w:rPr>
                <w:spacing w:val="-2"/>
                <w:sz w:val="24"/>
              </w:rPr>
              <w:t>42.00b</w:t>
            </w:r>
          </w:p>
        </w:tc>
      </w:tr>
      <w:tr>
        <w:trPr>
          <w:trHeight w:val="335" w:hRule="atLeast"/>
        </w:trPr>
        <w:tc>
          <w:tcPr>
            <w:tcW w:w="1755" w:type="dxa"/>
          </w:tcPr>
          <w:p>
            <w:pPr>
              <w:pStyle w:val="TableParagraph"/>
              <w:spacing w:before="25"/>
              <w:ind w:left="45"/>
              <w:rPr>
                <w:sz w:val="24"/>
              </w:rPr>
            </w:pPr>
            <w:r>
              <w:rPr>
                <w:spacing w:val="-5"/>
                <w:sz w:val="24"/>
              </w:rPr>
              <w:t>T2</w:t>
            </w:r>
          </w:p>
        </w:tc>
        <w:tc>
          <w:tcPr>
            <w:tcW w:w="6180" w:type="dxa"/>
          </w:tcPr>
          <w:p>
            <w:pPr>
              <w:pStyle w:val="TableParagraph"/>
              <w:spacing w:before="25"/>
              <w:ind w:left="417"/>
              <w:rPr>
                <w:sz w:val="24"/>
              </w:rPr>
            </w:pPr>
            <w:r>
              <w:rPr>
                <w:spacing w:val="-2"/>
                <w:sz w:val="24"/>
              </w:rPr>
              <w:t>34.50c</w:t>
            </w:r>
          </w:p>
        </w:tc>
      </w:tr>
      <w:tr>
        <w:trPr>
          <w:trHeight w:val="315" w:hRule="atLeast"/>
        </w:trPr>
        <w:tc>
          <w:tcPr>
            <w:tcW w:w="1755" w:type="dxa"/>
            <w:tcBorders>
              <w:bottom w:val="single" w:sz="4" w:space="0" w:color="000000"/>
            </w:tcBorders>
          </w:tcPr>
          <w:p>
            <w:pPr>
              <w:pStyle w:val="TableParagraph"/>
              <w:spacing w:line="271" w:lineRule="exact" w:before="25"/>
              <w:ind w:left="45"/>
              <w:rPr>
                <w:sz w:val="24"/>
              </w:rPr>
            </w:pPr>
            <w:r>
              <w:rPr>
                <w:spacing w:val="-5"/>
                <w:sz w:val="24"/>
              </w:rPr>
              <w:t>T3</w:t>
            </w:r>
          </w:p>
        </w:tc>
        <w:tc>
          <w:tcPr>
            <w:tcW w:w="6180" w:type="dxa"/>
            <w:tcBorders>
              <w:bottom w:val="single" w:sz="4" w:space="0" w:color="000000"/>
            </w:tcBorders>
          </w:tcPr>
          <w:p>
            <w:pPr>
              <w:pStyle w:val="TableParagraph"/>
              <w:spacing w:line="271" w:lineRule="exact" w:before="25"/>
              <w:ind w:left="417"/>
              <w:rPr>
                <w:sz w:val="24"/>
              </w:rPr>
            </w:pPr>
            <w:r>
              <w:rPr>
                <w:spacing w:val="-2"/>
                <w:sz w:val="24"/>
              </w:rPr>
              <w:t>26.75d</w:t>
            </w:r>
          </w:p>
        </w:tc>
      </w:tr>
    </w:tbl>
    <w:p>
      <w:pPr>
        <w:pStyle w:val="BodyText"/>
        <w:spacing w:before="118"/>
        <w:ind w:left="0"/>
        <w:rPr>
          <w:i/>
        </w:rPr>
      </w:pPr>
    </w:p>
    <w:p>
      <w:pPr>
        <w:pStyle w:val="BodyText"/>
        <w:spacing w:line="360" w:lineRule="auto"/>
        <w:ind w:right="845"/>
        <w:jc w:val="both"/>
      </w:pPr>
      <w:r>
        <w:rPr/>
        <w:t>La prueba de comparación de medias de Tukey permitió obtener diferencias significativas en la frecuencia respiratoria entre los tratamientos (P≤ 0.05). T1 (Lidocaína</w:t>
      </w:r>
      <w:r>
        <w:rPr>
          <w:spacing w:val="-15"/>
        </w:rPr>
        <w:t> </w:t>
      </w:r>
      <w:r>
        <w:rPr/>
        <w:t>Tamponada</w:t>
      </w:r>
      <w:r>
        <w:rPr>
          <w:spacing w:val="-15"/>
        </w:rPr>
        <w:t> </w:t>
      </w:r>
      <w:r>
        <w:rPr/>
        <w:t>+</w:t>
      </w:r>
      <w:r>
        <w:rPr>
          <w:spacing w:val="-15"/>
        </w:rPr>
        <w:t> </w:t>
      </w:r>
      <w:r>
        <w:rPr/>
        <w:t>Flunixin</w:t>
      </w:r>
      <w:r>
        <w:rPr>
          <w:spacing w:val="-15"/>
        </w:rPr>
        <w:t> </w:t>
      </w:r>
      <w:r>
        <w:rPr/>
        <w:t>Meglumine)</w:t>
      </w:r>
      <w:r>
        <w:rPr>
          <w:spacing w:val="-15"/>
        </w:rPr>
        <w:t> </w:t>
      </w:r>
      <w:r>
        <w:rPr/>
        <w:t>presentó</w:t>
      </w:r>
      <w:r>
        <w:rPr>
          <w:spacing w:val="-15"/>
        </w:rPr>
        <w:t> </w:t>
      </w:r>
      <w:r>
        <w:rPr/>
        <w:t>el</w:t>
      </w:r>
      <w:r>
        <w:rPr>
          <w:spacing w:val="-15"/>
        </w:rPr>
        <w:t> </w:t>
      </w:r>
      <w:r>
        <w:rPr/>
        <w:t>valor</w:t>
      </w:r>
      <w:r>
        <w:rPr>
          <w:spacing w:val="-15"/>
        </w:rPr>
        <w:t> </w:t>
      </w:r>
      <w:r>
        <w:rPr/>
        <w:t>promedio</w:t>
      </w:r>
      <w:r>
        <w:rPr>
          <w:spacing w:val="-15"/>
        </w:rPr>
        <w:t> </w:t>
      </w:r>
      <w:r>
        <w:rPr/>
        <w:t>más</w:t>
      </w:r>
      <w:r>
        <w:rPr>
          <w:spacing w:val="-15"/>
        </w:rPr>
        <w:t> </w:t>
      </w:r>
      <w:r>
        <w:rPr/>
        <w:t>alto de la frecuencia respiratoria (58.25 resp/min), mientras que T3 (50% lidocaína + 50% Bupivacaína Tamponada + Flunixin Meglumine) presentó el valor más bajo (26.75 resp/min).</w:t>
      </w:r>
    </w:p>
    <w:p>
      <w:pPr>
        <w:pStyle w:val="BodyText"/>
        <w:spacing w:line="360" w:lineRule="auto" w:before="240"/>
        <w:ind w:right="846"/>
        <w:jc w:val="both"/>
      </w:pPr>
      <w:r>
        <w:rPr/>
        <w:t>En</w:t>
      </w:r>
      <w:r>
        <w:rPr>
          <w:spacing w:val="-7"/>
        </w:rPr>
        <w:t> </w:t>
      </w:r>
      <w:r>
        <w:rPr/>
        <w:t>este</w:t>
      </w:r>
      <w:r>
        <w:rPr>
          <w:spacing w:val="-7"/>
        </w:rPr>
        <w:t> </w:t>
      </w:r>
      <w:r>
        <w:rPr/>
        <w:t>sentido</w:t>
      </w:r>
      <w:r>
        <w:rPr>
          <w:spacing w:val="-7"/>
        </w:rPr>
        <w:t> </w:t>
      </w:r>
      <w:r>
        <w:rPr/>
        <w:t>Adam</w:t>
      </w:r>
      <w:r>
        <w:rPr>
          <w:spacing w:val="-6"/>
        </w:rPr>
        <w:t> </w:t>
      </w:r>
      <w:r>
        <w:rPr/>
        <w:t>et</w:t>
      </w:r>
      <w:r>
        <w:rPr>
          <w:spacing w:val="-9"/>
        </w:rPr>
        <w:t> </w:t>
      </w:r>
      <w:r>
        <w:rPr/>
        <w:t>al.,</w:t>
      </w:r>
      <w:r>
        <w:rPr>
          <w:spacing w:val="-6"/>
        </w:rPr>
        <w:t> </w:t>
      </w:r>
      <w:r>
        <w:rPr/>
        <w:t>(2025)</w:t>
      </w:r>
      <w:r>
        <w:rPr>
          <w:spacing w:val="-8"/>
        </w:rPr>
        <w:t> </w:t>
      </w:r>
      <w:r>
        <w:rPr/>
        <w:t>menciona</w:t>
      </w:r>
      <w:r>
        <w:rPr>
          <w:spacing w:val="-7"/>
        </w:rPr>
        <w:t> </w:t>
      </w:r>
      <w:r>
        <w:rPr/>
        <w:t>que</w:t>
      </w:r>
      <w:r>
        <w:rPr>
          <w:spacing w:val="-6"/>
        </w:rPr>
        <w:t> </w:t>
      </w:r>
      <w:r>
        <w:rPr/>
        <w:t>los</w:t>
      </w:r>
      <w:r>
        <w:rPr>
          <w:spacing w:val="-6"/>
        </w:rPr>
        <w:t> </w:t>
      </w:r>
      <w:r>
        <w:rPr/>
        <w:t>cambios</w:t>
      </w:r>
      <w:r>
        <w:rPr>
          <w:spacing w:val="-6"/>
        </w:rPr>
        <w:t> </w:t>
      </w:r>
      <w:r>
        <w:rPr/>
        <w:t>del</w:t>
      </w:r>
      <w:r>
        <w:rPr>
          <w:spacing w:val="-6"/>
        </w:rPr>
        <w:t> </w:t>
      </w:r>
      <w:r>
        <w:rPr/>
        <w:t>comportamiento y algunos parámetros fisiológicos específicos son más útiles para evaluar el dolor en</w:t>
      </w:r>
      <w:r>
        <w:rPr>
          <w:spacing w:val="-6"/>
        </w:rPr>
        <w:t> </w:t>
      </w:r>
      <w:r>
        <w:rPr/>
        <w:t>los</w:t>
      </w:r>
      <w:r>
        <w:rPr>
          <w:spacing w:val="-5"/>
        </w:rPr>
        <w:t> </w:t>
      </w:r>
      <w:r>
        <w:rPr/>
        <w:t>animales</w:t>
      </w:r>
      <w:r>
        <w:rPr>
          <w:spacing w:val="-6"/>
        </w:rPr>
        <w:t> </w:t>
      </w:r>
      <w:r>
        <w:rPr/>
        <w:t>que</w:t>
      </w:r>
      <w:r>
        <w:rPr>
          <w:spacing w:val="-7"/>
        </w:rPr>
        <w:t> </w:t>
      </w:r>
      <w:r>
        <w:rPr/>
        <w:t>se</w:t>
      </w:r>
      <w:r>
        <w:rPr>
          <w:spacing w:val="-7"/>
        </w:rPr>
        <w:t> </w:t>
      </w:r>
      <w:r>
        <w:rPr/>
        <w:t>someten</w:t>
      </w:r>
      <w:r>
        <w:rPr>
          <w:spacing w:val="-6"/>
        </w:rPr>
        <w:t> </w:t>
      </w:r>
      <w:r>
        <w:rPr/>
        <w:t>a</w:t>
      </w:r>
      <w:r>
        <w:rPr>
          <w:spacing w:val="-7"/>
        </w:rPr>
        <w:t> </w:t>
      </w:r>
      <w:r>
        <w:rPr/>
        <w:t>un</w:t>
      </w:r>
      <w:r>
        <w:rPr>
          <w:spacing w:val="-6"/>
        </w:rPr>
        <w:t> </w:t>
      </w:r>
      <w:r>
        <w:rPr/>
        <w:t>procedimiento</w:t>
      </w:r>
      <w:r>
        <w:rPr>
          <w:spacing w:val="-6"/>
        </w:rPr>
        <w:t> </w:t>
      </w:r>
      <w:r>
        <w:rPr/>
        <w:t>quirúrgico.</w:t>
      </w:r>
      <w:r>
        <w:rPr>
          <w:spacing w:val="-3"/>
        </w:rPr>
        <w:t> </w:t>
      </w:r>
      <w:r>
        <w:rPr/>
        <w:t>Las</w:t>
      </w:r>
      <w:r>
        <w:rPr>
          <w:spacing w:val="-6"/>
        </w:rPr>
        <w:t> </w:t>
      </w:r>
      <w:r>
        <w:rPr/>
        <w:t>diferencias</w:t>
      </w:r>
      <w:r>
        <w:rPr>
          <w:spacing w:val="-6"/>
        </w:rPr>
        <w:t> </w:t>
      </w:r>
      <w:r>
        <w:rPr/>
        <w:t>que se</w:t>
      </w:r>
      <w:r>
        <w:rPr>
          <w:spacing w:val="-15"/>
        </w:rPr>
        <w:t> </w:t>
      </w:r>
      <w:r>
        <w:rPr/>
        <w:t>observaron</w:t>
      </w:r>
      <w:r>
        <w:rPr>
          <w:spacing w:val="-15"/>
        </w:rPr>
        <w:t> </w:t>
      </w:r>
      <w:r>
        <w:rPr/>
        <w:t>entre</w:t>
      </w:r>
      <w:r>
        <w:rPr>
          <w:spacing w:val="-15"/>
        </w:rPr>
        <w:t> </w:t>
      </w:r>
      <w:r>
        <w:rPr/>
        <w:t>los</w:t>
      </w:r>
      <w:r>
        <w:rPr>
          <w:spacing w:val="-15"/>
        </w:rPr>
        <w:t> </w:t>
      </w:r>
      <w:r>
        <w:rPr/>
        <w:t>tratamientos</w:t>
      </w:r>
      <w:r>
        <w:rPr>
          <w:spacing w:val="-15"/>
        </w:rPr>
        <w:t> </w:t>
      </w:r>
      <w:r>
        <w:rPr/>
        <w:t>se</w:t>
      </w:r>
      <w:r>
        <w:rPr>
          <w:spacing w:val="-15"/>
        </w:rPr>
        <w:t> </w:t>
      </w:r>
      <w:r>
        <w:rPr/>
        <w:t>reflejan</w:t>
      </w:r>
      <w:r>
        <w:rPr>
          <w:spacing w:val="-15"/>
        </w:rPr>
        <w:t> </w:t>
      </w:r>
      <w:r>
        <w:rPr/>
        <w:t>en</w:t>
      </w:r>
      <w:r>
        <w:rPr>
          <w:spacing w:val="-15"/>
        </w:rPr>
        <w:t> </w:t>
      </w:r>
      <w:r>
        <w:rPr/>
        <w:t>la</w:t>
      </w:r>
      <w:r>
        <w:rPr>
          <w:spacing w:val="-15"/>
        </w:rPr>
        <w:t> </w:t>
      </w:r>
      <w:r>
        <w:rPr/>
        <w:t>distinta</w:t>
      </w:r>
      <w:r>
        <w:rPr>
          <w:spacing w:val="-15"/>
        </w:rPr>
        <w:t> </w:t>
      </w:r>
      <w:r>
        <w:rPr/>
        <w:t>letra</w:t>
      </w:r>
      <w:r>
        <w:rPr>
          <w:spacing w:val="-15"/>
        </w:rPr>
        <w:t> </w:t>
      </w:r>
      <w:r>
        <w:rPr/>
        <w:t>en</w:t>
      </w:r>
      <w:r>
        <w:rPr>
          <w:spacing w:val="-15"/>
        </w:rPr>
        <w:t> </w:t>
      </w:r>
      <w:r>
        <w:rPr/>
        <w:t>la</w:t>
      </w:r>
      <w:r>
        <w:rPr>
          <w:spacing w:val="-15"/>
        </w:rPr>
        <w:t> </w:t>
      </w:r>
      <w:r>
        <w:rPr/>
        <w:t>comparación de medias.</w:t>
      </w:r>
    </w:p>
    <w:p>
      <w:pPr>
        <w:pStyle w:val="BodyText"/>
        <w:spacing w:line="360" w:lineRule="auto" w:before="240"/>
        <w:ind w:right="850"/>
        <w:jc w:val="both"/>
      </w:pPr>
      <w:r>
        <w:rPr/>
        <w:t>Estos</w:t>
      </w:r>
      <w:r>
        <w:rPr>
          <w:spacing w:val="-8"/>
        </w:rPr>
        <w:t> </w:t>
      </w:r>
      <w:r>
        <w:rPr/>
        <w:t>resultados</w:t>
      </w:r>
      <w:r>
        <w:rPr>
          <w:spacing w:val="-8"/>
        </w:rPr>
        <w:t> </w:t>
      </w:r>
      <w:r>
        <w:rPr/>
        <w:t>son</w:t>
      </w:r>
      <w:r>
        <w:rPr>
          <w:spacing w:val="-8"/>
        </w:rPr>
        <w:t> </w:t>
      </w:r>
      <w:r>
        <w:rPr/>
        <w:t>coincidentes</w:t>
      </w:r>
      <w:r>
        <w:rPr>
          <w:spacing w:val="-9"/>
        </w:rPr>
        <w:t> </w:t>
      </w:r>
      <w:r>
        <w:rPr/>
        <w:t>con</w:t>
      </w:r>
      <w:r>
        <w:rPr>
          <w:spacing w:val="-8"/>
        </w:rPr>
        <w:t> </w:t>
      </w:r>
      <w:r>
        <w:rPr/>
        <w:t>los</w:t>
      </w:r>
      <w:r>
        <w:rPr>
          <w:spacing w:val="-8"/>
        </w:rPr>
        <w:t> </w:t>
      </w:r>
      <w:r>
        <w:rPr/>
        <w:t>que</w:t>
      </w:r>
      <w:r>
        <w:rPr>
          <w:spacing w:val="-9"/>
        </w:rPr>
        <w:t> </w:t>
      </w:r>
      <w:r>
        <w:rPr/>
        <w:t>se</w:t>
      </w:r>
      <w:r>
        <w:rPr>
          <w:spacing w:val="-9"/>
        </w:rPr>
        <w:t> </w:t>
      </w:r>
      <w:r>
        <w:rPr/>
        <w:t>lograron</w:t>
      </w:r>
      <w:r>
        <w:rPr>
          <w:spacing w:val="-9"/>
        </w:rPr>
        <w:t> </w:t>
      </w:r>
      <w:r>
        <w:rPr/>
        <w:t>en</w:t>
      </w:r>
      <w:r>
        <w:rPr>
          <w:spacing w:val="-8"/>
        </w:rPr>
        <w:t> </w:t>
      </w:r>
      <w:r>
        <w:rPr/>
        <w:t>la</w:t>
      </w:r>
      <w:r>
        <w:rPr>
          <w:spacing w:val="-7"/>
        </w:rPr>
        <w:t> </w:t>
      </w:r>
      <w:r>
        <w:rPr/>
        <w:t>frecuencia</w:t>
      </w:r>
      <w:r>
        <w:rPr>
          <w:spacing w:val="-9"/>
        </w:rPr>
        <w:t> </w:t>
      </w:r>
      <w:r>
        <w:rPr/>
        <w:t>cardiaca, ya que también se pudo observar que el tratamiento combinado de lidocaína tamponada y bupivacaína tamponada permite reducir de forma importante </w:t>
      </w:r>
      <w:r>
        <w:rPr/>
        <w:t>la respuesta fisiológica al descorne, lo que podría explicarse por el efecto complementario de ambos anestésicos locales, por cuanto la lidocaína actúa más breve</w:t>
      </w:r>
      <w:r>
        <w:rPr>
          <w:spacing w:val="-14"/>
        </w:rPr>
        <w:t> </w:t>
      </w:r>
      <w:r>
        <w:rPr/>
        <w:t>mientras</w:t>
      </w:r>
      <w:r>
        <w:rPr>
          <w:spacing w:val="-13"/>
        </w:rPr>
        <w:t> </w:t>
      </w:r>
      <w:r>
        <w:rPr/>
        <w:t>que</w:t>
      </w:r>
      <w:r>
        <w:rPr>
          <w:spacing w:val="-14"/>
        </w:rPr>
        <w:t> </w:t>
      </w:r>
      <w:r>
        <w:rPr/>
        <w:t>la</w:t>
      </w:r>
      <w:r>
        <w:rPr>
          <w:spacing w:val="-12"/>
        </w:rPr>
        <w:t> </w:t>
      </w:r>
      <w:r>
        <w:rPr/>
        <w:t>bupivacaína</w:t>
      </w:r>
      <w:r>
        <w:rPr>
          <w:spacing w:val="-12"/>
        </w:rPr>
        <w:t> </w:t>
      </w:r>
      <w:r>
        <w:rPr/>
        <w:t>cuenta</w:t>
      </w:r>
      <w:r>
        <w:rPr>
          <w:spacing w:val="-13"/>
        </w:rPr>
        <w:t> </w:t>
      </w:r>
      <w:r>
        <w:rPr/>
        <w:t>con</w:t>
      </w:r>
      <w:r>
        <w:rPr>
          <w:spacing w:val="-11"/>
        </w:rPr>
        <w:t> </w:t>
      </w:r>
      <w:r>
        <w:rPr/>
        <w:t>un</w:t>
      </w:r>
      <w:r>
        <w:rPr>
          <w:spacing w:val="-11"/>
        </w:rPr>
        <w:t> </w:t>
      </w:r>
      <w:r>
        <w:rPr/>
        <w:t>efecto</w:t>
      </w:r>
      <w:r>
        <w:rPr>
          <w:spacing w:val="-13"/>
        </w:rPr>
        <w:t> </w:t>
      </w:r>
      <w:r>
        <w:rPr/>
        <w:t>analgésico</w:t>
      </w:r>
      <w:r>
        <w:rPr>
          <w:spacing w:val="-12"/>
        </w:rPr>
        <w:t> </w:t>
      </w:r>
      <w:r>
        <w:rPr/>
        <w:t>más</w:t>
      </w:r>
      <w:r>
        <w:rPr>
          <w:spacing w:val="-13"/>
        </w:rPr>
        <w:t> </w:t>
      </w:r>
      <w:r>
        <w:rPr>
          <w:spacing w:val="-2"/>
        </w:rPr>
        <w:t>prolongado.</w:t>
      </w:r>
    </w:p>
    <w:p>
      <w:pPr>
        <w:pStyle w:val="BodyText"/>
        <w:spacing w:after="0" w:line="360" w:lineRule="auto"/>
        <w:jc w:val="both"/>
        <w:sectPr>
          <w:pgSz w:w="11900" w:h="16860"/>
          <w:pgMar w:header="0" w:footer="1084" w:top="1940" w:bottom="1280" w:left="1133" w:right="850"/>
        </w:sectPr>
      </w:pPr>
    </w:p>
    <w:p>
      <w:pPr>
        <w:spacing w:before="70"/>
        <w:ind w:left="1135" w:right="0" w:firstLine="0"/>
        <w:jc w:val="left"/>
        <w:rPr>
          <w:b/>
          <w:sz w:val="24"/>
        </w:rPr>
      </w:pPr>
      <w:bookmarkStart w:name="_bookmark55" w:id="56"/>
      <w:bookmarkEnd w:id="56"/>
      <w:r>
        <w:rPr/>
      </w:r>
      <w:r>
        <w:rPr>
          <w:b/>
          <w:sz w:val="24"/>
        </w:rPr>
        <w:t>Figura</w:t>
      </w:r>
      <w:r>
        <w:rPr>
          <w:b/>
          <w:spacing w:val="-3"/>
          <w:sz w:val="24"/>
        </w:rPr>
        <w:t> </w:t>
      </w:r>
      <w:r>
        <w:rPr>
          <w:b/>
          <w:spacing w:val="-10"/>
          <w:sz w:val="24"/>
        </w:rPr>
        <w:t>2</w:t>
      </w:r>
    </w:p>
    <w:p>
      <w:pPr>
        <w:spacing w:before="0"/>
        <w:ind w:left="1135" w:right="0" w:firstLine="0"/>
        <w:jc w:val="left"/>
        <w:rPr>
          <w:i/>
          <w:sz w:val="24"/>
        </w:rPr>
      </w:pPr>
      <w:r>
        <w:rPr>
          <w:i/>
          <w:sz w:val="24"/>
        </w:rPr>
        <w:t>Frecuencia</w:t>
      </w:r>
      <w:r>
        <w:rPr>
          <w:i/>
          <w:spacing w:val="-2"/>
          <w:sz w:val="24"/>
        </w:rPr>
        <w:t> Respiratoria</w:t>
      </w:r>
    </w:p>
    <w:p>
      <w:pPr>
        <w:pStyle w:val="BodyText"/>
        <w:spacing w:before="4"/>
        <w:ind w:left="0"/>
        <w:rPr>
          <w:i/>
          <w:sz w:val="15"/>
        </w:rPr>
      </w:pPr>
      <w:r>
        <w:rPr>
          <w:i/>
          <w:sz w:val="15"/>
        </w:rPr>
        <w:drawing>
          <wp:anchor distT="0" distB="0" distL="0" distR="0" allowOverlap="1" layoutInCell="1" locked="0" behindDoc="1" simplePos="0" relativeHeight="487590912">
            <wp:simplePos x="0" y="0"/>
            <wp:positionH relativeFrom="page">
              <wp:posOffset>1440180</wp:posOffset>
            </wp:positionH>
            <wp:positionV relativeFrom="paragraph">
              <wp:posOffset>127410</wp:posOffset>
            </wp:positionV>
            <wp:extent cx="3899239" cy="2347912"/>
            <wp:effectExtent l="0" t="0" r="0" b="0"/>
            <wp:wrapTopAndBottom/>
            <wp:docPr id="27" name="Image 27"/>
            <wp:cNvGraphicFramePr>
              <a:graphicFrameLocks/>
            </wp:cNvGraphicFramePr>
            <a:graphic>
              <a:graphicData uri="http://schemas.openxmlformats.org/drawingml/2006/picture">
                <pic:pic>
                  <pic:nvPicPr>
                    <pic:cNvPr id="27" name="Image 27"/>
                    <pic:cNvPicPr/>
                  </pic:nvPicPr>
                  <pic:blipFill>
                    <a:blip r:embed="rId15" cstate="print"/>
                    <a:stretch>
                      <a:fillRect/>
                    </a:stretch>
                  </pic:blipFill>
                  <pic:spPr>
                    <a:xfrm>
                      <a:off x="0" y="0"/>
                      <a:ext cx="3899239" cy="2347912"/>
                    </a:xfrm>
                    <a:prstGeom prst="rect">
                      <a:avLst/>
                    </a:prstGeom>
                  </pic:spPr>
                </pic:pic>
              </a:graphicData>
            </a:graphic>
          </wp:anchor>
        </w:drawing>
      </w:r>
    </w:p>
    <w:p>
      <w:pPr>
        <w:pStyle w:val="BodyText"/>
        <w:spacing w:before="94"/>
        <w:ind w:left="0"/>
        <w:rPr>
          <w:i/>
        </w:rPr>
      </w:pPr>
    </w:p>
    <w:p>
      <w:pPr>
        <w:pStyle w:val="Heading3"/>
        <w:spacing w:before="0"/>
      </w:pPr>
      <w:bookmarkStart w:name="_bookmark56" w:id="57"/>
      <w:bookmarkEnd w:id="57"/>
      <w:r>
        <w:rPr>
          <w:b w:val="0"/>
          <w:i w:val="0"/>
        </w:rPr>
      </w:r>
      <w:r>
        <w:rPr/>
        <w:t>Tabla </w:t>
      </w:r>
      <w:r>
        <w:rPr>
          <w:spacing w:val="-10"/>
        </w:rPr>
        <w:t>9</w:t>
      </w:r>
    </w:p>
    <w:p>
      <w:pPr>
        <w:spacing w:before="139"/>
        <w:ind w:left="1135" w:right="0" w:firstLine="0"/>
        <w:jc w:val="left"/>
        <w:rPr>
          <w:i/>
          <w:sz w:val="24"/>
        </w:rPr>
      </w:pPr>
      <w:r>
        <w:rPr>
          <w:i/>
          <w:sz w:val="24"/>
        </w:rPr>
        <w:t>ANOVA</w:t>
      </w:r>
      <w:r>
        <w:rPr>
          <w:i/>
          <w:spacing w:val="-2"/>
          <w:sz w:val="24"/>
        </w:rPr>
        <w:t> </w:t>
      </w:r>
      <w:r>
        <w:rPr>
          <w:i/>
          <w:sz w:val="24"/>
        </w:rPr>
        <w:t>–</w:t>
      </w:r>
      <w:r>
        <w:rPr>
          <w:i/>
          <w:spacing w:val="-1"/>
          <w:sz w:val="24"/>
        </w:rPr>
        <w:t> </w:t>
      </w:r>
      <w:r>
        <w:rPr>
          <w:i/>
          <w:sz w:val="24"/>
        </w:rPr>
        <w:t>Frecuencia </w:t>
      </w:r>
      <w:r>
        <w:rPr>
          <w:i/>
          <w:spacing w:val="-2"/>
          <w:sz w:val="24"/>
        </w:rPr>
        <w:t>cardiaca</w:t>
      </w:r>
    </w:p>
    <w:p>
      <w:pPr>
        <w:pStyle w:val="BodyText"/>
        <w:spacing w:before="8"/>
        <w:ind w:left="0"/>
        <w:rPr>
          <w:i/>
          <w:sz w:val="14"/>
        </w:rPr>
      </w:pPr>
    </w:p>
    <w:tbl>
      <w:tblPr>
        <w:tblW w:w="0" w:type="auto"/>
        <w:jc w:val="left"/>
        <w:tblInd w:w="1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53"/>
        <w:gridCol w:w="1144"/>
        <w:gridCol w:w="865"/>
        <w:gridCol w:w="1282"/>
        <w:gridCol w:w="939"/>
        <w:gridCol w:w="1551"/>
      </w:tblGrid>
      <w:tr>
        <w:trPr>
          <w:trHeight w:val="304" w:hRule="atLeast"/>
        </w:trPr>
        <w:tc>
          <w:tcPr>
            <w:tcW w:w="2153" w:type="dxa"/>
            <w:tcBorders>
              <w:top w:val="single" w:sz="4" w:space="0" w:color="000000"/>
              <w:bottom w:val="single" w:sz="4" w:space="0" w:color="000000"/>
            </w:tcBorders>
          </w:tcPr>
          <w:p>
            <w:pPr>
              <w:pStyle w:val="TableParagraph"/>
              <w:spacing w:line="271" w:lineRule="exact" w:before="13"/>
              <w:ind w:left="45"/>
              <w:rPr>
                <w:b/>
                <w:sz w:val="24"/>
              </w:rPr>
            </w:pPr>
            <w:r>
              <w:rPr>
                <w:b/>
                <w:sz w:val="24"/>
              </w:rPr>
              <w:t>Fuente</w:t>
            </w:r>
            <w:r>
              <w:rPr>
                <w:b/>
                <w:spacing w:val="-4"/>
                <w:sz w:val="24"/>
              </w:rPr>
              <w:t> </w:t>
            </w:r>
            <w:r>
              <w:rPr>
                <w:b/>
                <w:sz w:val="24"/>
              </w:rPr>
              <w:t>de</w:t>
            </w:r>
            <w:r>
              <w:rPr>
                <w:b/>
                <w:spacing w:val="-3"/>
                <w:sz w:val="24"/>
              </w:rPr>
              <w:t> </w:t>
            </w:r>
            <w:r>
              <w:rPr>
                <w:b/>
                <w:spacing w:val="-2"/>
                <w:sz w:val="24"/>
              </w:rPr>
              <w:t>variación</w:t>
            </w:r>
          </w:p>
        </w:tc>
        <w:tc>
          <w:tcPr>
            <w:tcW w:w="1144" w:type="dxa"/>
            <w:tcBorders>
              <w:top w:val="single" w:sz="4" w:space="0" w:color="000000"/>
              <w:bottom w:val="single" w:sz="4" w:space="0" w:color="000000"/>
            </w:tcBorders>
          </w:tcPr>
          <w:p>
            <w:pPr>
              <w:pStyle w:val="TableParagraph"/>
              <w:spacing w:line="271" w:lineRule="exact" w:before="13"/>
              <w:ind w:left="84"/>
              <w:rPr>
                <w:b/>
                <w:sz w:val="24"/>
              </w:rPr>
            </w:pPr>
            <w:r>
              <w:rPr>
                <w:b/>
                <w:spacing w:val="-5"/>
                <w:sz w:val="24"/>
              </w:rPr>
              <w:t>SC</w:t>
            </w:r>
          </w:p>
        </w:tc>
        <w:tc>
          <w:tcPr>
            <w:tcW w:w="865" w:type="dxa"/>
            <w:tcBorders>
              <w:top w:val="single" w:sz="4" w:space="0" w:color="000000"/>
              <w:bottom w:val="single" w:sz="4" w:space="0" w:color="000000"/>
            </w:tcBorders>
          </w:tcPr>
          <w:p>
            <w:pPr>
              <w:pStyle w:val="TableParagraph"/>
              <w:spacing w:line="271" w:lineRule="exact" w:before="13"/>
              <w:ind w:left="280"/>
              <w:rPr>
                <w:b/>
                <w:sz w:val="24"/>
              </w:rPr>
            </w:pPr>
            <w:r>
              <w:rPr>
                <w:b/>
                <w:spacing w:val="-5"/>
                <w:sz w:val="24"/>
              </w:rPr>
              <w:t>Gl</w:t>
            </w:r>
          </w:p>
        </w:tc>
        <w:tc>
          <w:tcPr>
            <w:tcW w:w="1282" w:type="dxa"/>
            <w:tcBorders>
              <w:top w:val="single" w:sz="4" w:space="0" w:color="000000"/>
              <w:bottom w:val="single" w:sz="4" w:space="0" w:color="000000"/>
            </w:tcBorders>
          </w:tcPr>
          <w:p>
            <w:pPr>
              <w:pStyle w:val="TableParagraph"/>
              <w:spacing w:line="271" w:lineRule="exact" w:before="13"/>
              <w:ind w:left="334"/>
              <w:rPr>
                <w:b/>
                <w:sz w:val="24"/>
              </w:rPr>
            </w:pPr>
            <w:r>
              <w:rPr>
                <w:b/>
                <w:spacing w:val="-5"/>
                <w:sz w:val="24"/>
              </w:rPr>
              <w:t>CM</w:t>
            </w:r>
          </w:p>
        </w:tc>
        <w:tc>
          <w:tcPr>
            <w:tcW w:w="939" w:type="dxa"/>
            <w:tcBorders>
              <w:top w:val="single" w:sz="4" w:space="0" w:color="000000"/>
              <w:bottom w:val="single" w:sz="4" w:space="0" w:color="000000"/>
            </w:tcBorders>
          </w:tcPr>
          <w:p>
            <w:pPr>
              <w:pStyle w:val="TableParagraph"/>
              <w:spacing w:line="271" w:lineRule="exact" w:before="13"/>
              <w:ind w:left="168"/>
              <w:rPr>
                <w:b/>
                <w:sz w:val="24"/>
              </w:rPr>
            </w:pPr>
            <w:r>
              <w:rPr>
                <w:b/>
                <w:spacing w:val="-10"/>
                <w:sz w:val="24"/>
              </w:rPr>
              <w:t>F</w:t>
            </w:r>
          </w:p>
        </w:tc>
        <w:tc>
          <w:tcPr>
            <w:tcW w:w="1551" w:type="dxa"/>
            <w:tcBorders>
              <w:top w:val="single" w:sz="4" w:space="0" w:color="000000"/>
              <w:bottom w:val="single" w:sz="4" w:space="0" w:color="000000"/>
            </w:tcBorders>
          </w:tcPr>
          <w:p>
            <w:pPr>
              <w:pStyle w:val="TableParagraph"/>
              <w:spacing w:line="271" w:lineRule="exact" w:before="13"/>
              <w:ind w:left="110"/>
              <w:rPr>
                <w:b/>
                <w:sz w:val="24"/>
              </w:rPr>
            </w:pPr>
            <w:r>
              <w:rPr>
                <w:b/>
                <w:spacing w:val="-2"/>
                <w:sz w:val="24"/>
              </w:rPr>
              <w:t>p-value</w:t>
            </w:r>
          </w:p>
        </w:tc>
      </w:tr>
      <w:tr>
        <w:trPr>
          <w:trHeight w:val="355" w:hRule="atLeast"/>
        </w:trPr>
        <w:tc>
          <w:tcPr>
            <w:tcW w:w="2153" w:type="dxa"/>
            <w:tcBorders>
              <w:top w:val="single" w:sz="4" w:space="0" w:color="000000"/>
            </w:tcBorders>
          </w:tcPr>
          <w:p>
            <w:pPr>
              <w:pStyle w:val="TableParagraph"/>
              <w:spacing w:before="44"/>
              <w:ind w:left="45"/>
              <w:rPr>
                <w:b/>
                <w:sz w:val="24"/>
              </w:rPr>
            </w:pPr>
            <w:r>
              <w:rPr>
                <w:b/>
                <w:spacing w:val="-2"/>
                <w:sz w:val="24"/>
              </w:rPr>
              <w:t>Tratamientos</w:t>
            </w:r>
          </w:p>
        </w:tc>
        <w:tc>
          <w:tcPr>
            <w:tcW w:w="1144" w:type="dxa"/>
            <w:tcBorders>
              <w:top w:val="single" w:sz="4" w:space="0" w:color="000000"/>
            </w:tcBorders>
          </w:tcPr>
          <w:p>
            <w:pPr>
              <w:pStyle w:val="TableParagraph"/>
              <w:spacing w:before="44"/>
              <w:ind w:left="84"/>
              <w:rPr>
                <w:sz w:val="24"/>
              </w:rPr>
            </w:pPr>
            <w:r>
              <w:rPr>
                <w:spacing w:val="-2"/>
                <w:sz w:val="24"/>
              </w:rPr>
              <w:t>4797.50</w:t>
            </w:r>
          </w:p>
        </w:tc>
        <w:tc>
          <w:tcPr>
            <w:tcW w:w="865" w:type="dxa"/>
            <w:tcBorders>
              <w:top w:val="single" w:sz="4" w:space="0" w:color="000000"/>
            </w:tcBorders>
          </w:tcPr>
          <w:p>
            <w:pPr>
              <w:pStyle w:val="TableParagraph"/>
              <w:spacing w:before="44"/>
              <w:ind w:left="280"/>
              <w:rPr>
                <w:sz w:val="24"/>
              </w:rPr>
            </w:pPr>
            <w:r>
              <w:rPr>
                <w:spacing w:val="-10"/>
                <w:sz w:val="24"/>
              </w:rPr>
              <w:t>3</w:t>
            </w:r>
          </w:p>
        </w:tc>
        <w:tc>
          <w:tcPr>
            <w:tcW w:w="1282" w:type="dxa"/>
            <w:tcBorders>
              <w:top w:val="single" w:sz="4" w:space="0" w:color="000000"/>
            </w:tcBorders>
          </w:tcPr>
          <w:p>
            <w:pPr>
              <w:pStyle w:val="TableParagraph"/>
              <w:spacing w:before="44"/>
              <w:ind w:left="334"/>
              <w:rPr>
                <w:sz w:val="24"/>
              </w:rPr>
            </w:pPr>
            <w:r>
              <w:rPr>
                <w:spacing w:val="-2"/>
                <w:sz w:val="24"/>
              </w:rPr>
              <w:t>1599.17</w:t>
            </w:r>
          </w:p>
        </w:tc>
        <w:tc>
          <w:tcPr>
            <w:tcW w:w="939" w:type="dxa"/>
            <w:tcBorders>
              <w:top w:val="single" w:sz="4" w:space="0" w:color="000000"/>
            </w:tcBorders>
          </w:tcPr>
          <w:p>
            <w:pPr>
              <w:pStyle w:val="TableParagraph"/>
              <w:spacing w:before="44"/>
              <w:ind w:left="168"/>
              <w:rPr>
                <w:sz w:val="24"/>
              </w:rPr>
            </w:pPr>
            <w:r>
              <w:rPr>
                <w:spacing w:val="-2"/>
                <w:sz w:val="24"/>
              </w:rPr>
              <w:t>268.39</w:t>
            </w:r>
          </w:p>
        </w:tc>
        <w:tc>
          <w:tcPr>
            <w:tcW w:w="1551" w:type="dxa"/>
            <w:tcBorders>
              <w:top w:val="single" w:sz="4" w:space="0" w:color="000000"/>
            </w:tcBorders>
          </w:tcPr>
          <w:p>
            <w:pPr>
              <w:pStyle w:val="TableParagraph"/>
              <w:spacing w:before="44"/>
              <w:ind w:left="110"/>
              <w:rPr>
                <w:sz w:val="24"/>
              </w:rPr>
            </w:pPr>
            <w:r>
              <w:rPr>
                <w:spacing w:val="-2"/>
                <w:sz w:val="24"/>
              </w:rPr>
              <w:t>&lt;0.001</w:t>
            </w:r>
          </w:p>
        </w:tc>
      </w:tr>
      <w:tr>
        <w:trPr>
          <w:trHeight w:val="336" w:hRule="atLeast"/>
        </w:trPr>
        <w:tc>
          <w:tcPr>
            <w:tcW w:w="2153" w:type="dxa"/>
          </w:tcPr>
          <w:p>
            <w:pPr>
              <w:pStyle w:val="TableParagraph"/>
              <w:spacing w:before="25"/>
              <w:ind w:left="45"/>
              <w:rPr>
                <w:b/>
                <w:sz w:val="24"/>
              </w:rPr>
            </w:pPr>
            <w:r>
              <w:rPr>
                <w:b/>
                <w:spacing w:val="-4"/>
                <w:sz w:val="24"/>
              </w:rPr>
              <w:t>Error</w:t>
            </w:r>
          </w:p>
        </w:tc>
        <w:tc>
          <w:tcPr>
            <w:tcW w:w="1144" w:type="dxa"/>
          </w:tcPr>
          <w:p>
            <w:pPr>
              <w:pStyle w:val="TableParagraph"/>
              <w:spacing w:before="25"/>
              <w:ind w:left="84"/>
              <w:rPr>
                <w:sz w:val="24"/>
              </w:rPr>
            </w:pPr>
            <w:r>
              <w:rPr>
                <w:spacing w:val="-2"/>
                <w:sz w:val="24"/>
              </w:rPr>
              <w:t>71.50</w:t>
            </w:r>
          </w:p>
        </w:tc>
        <w:tc>
          <w:tcPr>
            <w:tcW w:w="865" w:type="dxa"/>
          </w:tcPr>
          <w:p>
            <w:pPr>
              <w:pStyle w:val="TableParagraph"/>
              <w:spacing w:before="25"/>
              <w:ind w:left="280"/>
              <w:rPr>
                <w:sz w:val="24"/>
              </w:rPr>
            </w:pPr>
            <w:r>
              <w:rPr>
                <w:spacing w:val="-5"/>
                <w:sz w:val="24"/>
              </w:rPr>
              <w:t>12</w:t>
            </w:r>
          </w:p>
        </w:tc>
        <w:tc>
          <w:tcPr>
            <w:tcW w:w="1282" w:type="dxa"/>
          </w:tcPr>
          <w:p>
            <w:pPr>
              <w:pStyle w:val="TableParagraph"/>
              <w:spacing w:before="25"/>
              <w:ind w:left="334"/>
              <w:rPr>
                <w:sz w:val="24"/>
              </w:rPr>
            </w:pPr>
            <w:r>
              <w:rPr>
                <w:spacing w:val="-4"/>
                <w:sz w:val="24"/>
              </w:rPr>
              <w:t>5.96</w:t>
            </w:r>
          </w:p>
        </w:tc>
        <w:tc>
          <w:tcPr>
            <w:tcW w:w="939" w:type="dxa"/>
          </w:tcPr>
          <w:p>
            <w:pPr>
              <w:pStyle w:val="TableParagraph"/>
              <w:rPr>
                <w:sz w:val="24"/>
              </w:rPr>
            </w:pPr>
          </w:p>
        </w:tc>
        <w:tc>
          <w:tcPr>
            <w:tcW w:w="1551" w:type="dxa"/>
          </w:tcPr>
          <w:p>
            <w:pPr>
              <w:pStyle w:val="TableParagraph"/>
              <w:rPr>
                <w:sz w:val="24"/>
              </w:rPr>
            </w:pPr>
          </w:p>
        </w:tc>
      </w:tr>
      <w:tr>
        <w:trPr>
          <w:trHeight w:val="316" w:hRule="atLeast"/>
        </w:trPr>
        <w:tc>
          <w:tcPr>
            <w:tcW w:w="2153" w:type="dxa"/>
            <w:tcBorders>
              <w:bottom w:val="single" w:sz="4" w:space="0" w:color="000000"/>
            </w:tcBorders>
          </w:tcPr>
          <w:p>
            <w:pPr>
              <w:pStyle w:val="TableParagraph"/>
              <w:spacing w:line="271" w:lineRule="exact" w:before="25"/>
              <w:ind w:left="45"/>
              <w:rPr>
                <w:b/>
                <w:sz w:val="24"/>
              </w:rPr>
            </w:pPr>
            <w:r>
              <w:rPr>
                <w:b/>
                <w:spacing w:val="-2"/>
                <w:sz w:val="24"/>
              </w:rPr>
              <w:t>Total</w:t>
            </w:r>
          </w:p>
        </w:tc>
        <w:tc>
          <w:tcPr>
            <w:tcW w:w="1144" w:type="dxa"/>
            <w:tcBorders>
              <w:bottom w:val="single" w:sz="4" w:space="0" w:color="000000"/>
            </w:tcBorders>
          </w:tcPr>
          <w:p>
            <w:pPr>
              <w:pStyle w:val="TableParagraph"/>
              <w:spacing w:line="271" w:lineRule="exact" w:before="25"/>
              <w:ind w:left="84"/>
              <w:rPr>
                <w:sz w:val="24"/>
              </w:rPr>
            </w:pPr>
            <w:r>
              <w:rPr>
                <w:spacing w:val="-2"/>
                <w:sz w:val="24"/>
              </w:rPr>
              <w:t>4869.00</w:t>
            </w:r>
          </w:p>
        </w:tc>
        <w:tc>
          <w:tcPr>
            <w:tcW w:w="865" w:type="dxa"/>
            <w:tcBorders>
              <w:bottom w:val="single" w:sz="4" w:space="0" w:color="000000"/>
            </w:tcBorders>
          </w:tcPr>
          <w:p>
            <w:pPr>
              <w:pStyle w:val="TableParagraph"/>
              <w:spacing w:line="271" w:lineRule="exact" w:before="25"/>
              <w:ind w:left="280"/>
              <w:rPr>
                <w:sz w:val="24"/>
              </w:rPr>
            </w:pPr>
            <w:r>
              <w:rPr>
                <w:spacing w:val="-5"/>
                <w:sz w:val="24"/>
              </w:rPr>
              <w:t>15</w:t>
            </w:r>
          </w:p>
        </w:tc>
        <w:tc>
          <w:tcPr>
            <w:tcW w:w="1282" w:type="dxa"/>
            <w:tcBorders>
              <w:bottom w:val="single" w:sz="4" w:space="0" w:color="000000"/>
            </w:tcBorders>
          </w:tcPr>
          <w:p>
            <w:pPr>
              <w:pStyle w:val="TableParagraph"/>
              <w:rPr>
                <w:sz w:val="24"/>
              </w:rPr>
            </w:pPr>
          </w:p>
        </w:tc>
        <w:tc>
          <w:tcPr>
            <w:tcW w:w="939" w:type="dxa"/>
            <w:tcBorders>
              <w:bottom w:val="single" w:sz="4" w:space="0" w:color="000000"/>
            </w:tcBorders>
          </w:tcPr>
          <w:p>
            <w:pPr>
              <w:pStyle w:val="TableParagraph"/>
              <w:rPr>
                <w:sz w:val="24"/>
              </w:rPr>
            </w:pPr>
          </w:p>
        </w:tc>
        <w:tc>
          <w:tcPr>
            <w:tcW w:w="1551" w:type="dxa"/>
            <w:tcBorders>
              <w:bottom w:val="single" w:sz="4" w:space="0" w:color="000000"/>
            </w:tcBorders>
          </w:tcPr>
          <w:p>
            <w:pPr>
              <w:pStyle w:val="TableParagraph"/>
              <w:rPr>
                <w:sz w:val="24"/>
              </w:rPr>
            </w:pPr>
          </w:p>
        </w:tc>
      </w:tr>
    </w:tbl>
    <w:p>
      <w:pPr>
        <w:pStyle w:val="BodyText"/>
        <w:spacing w:before="136"/>
        <w:ind w:left="0"/>
        <w:rPr>
          <w:i/>
          <w:sz w:val="20"/>
        </w:rPr>
      </w:pPr>
      <w:r>
        <w:rPr>
          <w:i/>
          <w:sz w:val="20"/>
        </w:rPr>
        <w:drawing>
          <wp:anchor distT="0" distB="0" distL="0" distR="0" allowOverlap="1" layoutInCell="1" locked="0" behindDoc="1" simplePos="0" relativeHeight="487591424">
            <wp:simplePos x="0" y="0"/>
            <wp:positionH relativeFrom="page">
              <wp:posOffset>1440180</wp:posOffset>
            </wp:positionH>
            <wp:positionV relativeFrom="paragraph">
              <wp:posOffset>247637</wp:posOffset>
            </wp:positionV>
            <wp:extent cx="5035918" cy="2403348"/>
            <wp:effectExtent l="0" t="0" r="0" b="0"/>
            <wp:wrapTopAndBottom/>
            <wp:docPr id="28" name="Image 28"/>
            <wp:cNvGraphicFramePr>
              <a:graphicFrameLocks/>
            </wp:cNvGraphicFramePr>
            <a:graphic>
              <a:graphicData uri="http://schemas.openxmlformats.org/drawingml/2006/picture">
                <pic:pic>
                  <pic:nvPicPr>
                    <pic:cNvPr id="28" name="Image 28"/>
                    <pic:cNvPicPr/>
                  </pic:nvPicPr>
                  <pic:blipFill>
                    <a:blip r:embed="rId16" cstate="print"/>
                    <a:stretch>
                      <a:fillRect/>
                    </a:stretch>
                  </pic:blipFill>
                  <pic:spPr>
                    <a:xfrm>
                      <a:off x="0" y="0"/>
                      <a:ext cx="5035918" cy="2403348"/>
                    </a:xfrm>
                    <a:prstGeom prst="rect">
                      <a:avLst/>
                    </a:prstGeom>
                  </pic:spPr>
                </pic:pic>
              </a:graphicData>
            </a:graphic>
          </wp:anchor>
        </w:drawing>
      </w:r>
    </w:p>
    <w:p>
      <w:pPr>
        <w:pStyle w:val="BodyText"/>
        <w:spacing w:after="0"/>
        <w:rPr>
          <w:i/>
          <w:sz w:val="20"/>
        </w:rPr>
        <w:sectPr>
          <w:pgSz w:w="11900" w:h="16860"/>
          <w:pgMar w:header="0" w:footer="1084" w:top="1620" w:bottom="1280" w:left="1133" w:right="850"/>
        </w:sectPr>
      </w:pPr>
    </w:p>
    <w:p>
      <w:pPr>
        <w:pStyle w:val="BodyText"/>
        <w:spacing w:line="360" w:lineRule="auto" w:before="70"/>
        <w:ind w:right="847"/>
        <w:jc w:val="both"/>
      </w:pPr>
      <w:r>
        <w:rPr/>
        <w:t>El análisis de varianza efectuado para la variable frecuencia cardiaca mostró diferencias altamente significativas entre los tratamientos que se evaluaron (F = 268,39; p &lt; 0,001). Este resultado estadístico evidenció que los protocolos analgésicos analizados lograron influir en la respuesta fisiológica mediante la variabilidad de su frecuencia cardíaca. Esto indica que el cambio en los latidos se debe a la acción de los tratamientos administrados. Drwencke et al. (2025) encontraron que la aplicación de anestésicos locales durante procedimientos quirúrgicos, de la antigüedad, está detrás de la disminución en las respuestas fisiológicas, entre ellas, la frecuencia cardíaca. Se encontró una significancia estadística</w:t>
      </w:r>
      <w:r>
        <w:rPr>
          <w:spacing w:val="-10"/>
        </w:rPr>
        <w:t> </w:t>
      </w:r>
      <w:r>
        <w:rPr/>
        <w:t>tras</w:t>
      </w:r>
      <w:r>
        <w:rPr>
          <w:spacing w:val="-6"/>
        </w:rPr>
        <w:t> </w:t>
      </w:r>
      <w:r>
        <w:rPr/>
        <w:t>el</w:t>
      </w:r>
      <w:r>
        <w:rPr>
          <w:spacing w:val="-5"/>
        </w:rPr>
        <w:t> </w:t>
      </w:r>
      <w:r>
        <w:rPr/>
        <w:t>análisis</w:t>
      </w:r>
      <w:r>
        <w:rPr>
          <w:spacing w:val="-8"/>
        </w:rPr>
        <w:t> </w:t>
      </w:r>
      <w:r>
        <w:rPr/>
        <w:t>de</w:t>
      </w:r>
      <w:r>
        <w:rPr>
          <w:spacing w:val="-9"/>
        </w:rPr>
        <w:t> </w:t>
      </w:r>
      <w:r>
        <w:rPr/>
        <w:t>varianza.</w:t>
      </w:r>
      <w:r>
        <w:rPr>
          <w:spacing w:val="-3"/>
        </w:rPr>
        <w:t> </w:t>
      </w:r>
      <w:r>
        <w:rPr/>
        <w:t>confirma</w:t>
      </w:r>
      <w:r>
        <w:rPr>
          <w:spacing w:val="-7"/>
        </w:rPr>
        <w:t> </w:t>
      </w:r>
      <w:r>
        <w:rPr/>
        <w:t>que</w:t>
      </w:r>
      <w:r>
        <w:rPr>
          <w:spacing w:val="-9"/>
        </w:rPr>
        <w:t> </w:t>
      </w:r>
      <w:r>
        <w:rPr/>
        <w:t>el</w:t>
      </w:r>
      <w:r>
        <w:rPr>
          <w:spacing w:val="-8"/>
        </w:rPr>
        <w:t> </w:t>
      </w:r>
      <w:r>
        <w:rPr/>
        <w:t>tipo</w:t>
      </w:r>
      <w:r>
        <w:rPr>
          <w:spacing w:val="-8"/>
        </w:rPr>
        <w:t> </w:t>
      </w:r>
      <w:r>
        <w:rPr/>
        <w:t>de</w:t>
      </w:r>
      <w:r>
        <w:rPr>
          <w:spacing w:val="-9"/>
        </w:rPr>
        <w:t> </w:t>
      </w:r>
      <w:r>
        <w:rPr/>
        <w:t>protocolo</w:t>
      </w:r>
      <w:r>
        <w:rPr>
          <w:spacing w:val="-6"/>
        </w:rPr>
        <w:t> </w:t>
      </w:r>
      <w:r>
        <w:rPr/>
        <w:t>analgésico empleado en relación con el descorne tiene un efecto directo sobre la respuesta fisiológica. El ritmo cardíaco se considera un fiable indicador físico de estrés y dolor</w:t>
      </w:r>
      <w:r>
        <w:rPr>
          <w:spacing w:val="-9"/>
        </w:rPr>
        <w:t> </w:t>
      </w:r>
      <w:r>
        <w:rPr/>
        <w:t>en</w:t>
      </w:r>
      <w:r>
        <w:rPr>
          <w:spacing w:val="-8"/>
        </w:rPr>
        <w:t> </w:t>
      </w:r>
      <w:r>
        <w:rPr/>
        <w:t>el</w:t>
      </w:r>
      <w:r>
        <w:rPr>
          <w:spacing w:val="-3"/>
        </w:rPr>
        <w:t> </w:t>
      </w:r>
      <w:r>
        <w:rPr/>
        <w:t>ganado,</w:t>
      </w:r>
      <w:r>
        <w:rPr>
          <w:spacing w:val="-6"/>
        </w:rPr>
        <w:t> </w:t>
      </w:r>
      <w:r>
        <w:rPr/>
        <w:t>cuyo</w:t>
      </w:r>
      <w:r>
        <w:rPr>
          <w:spacing w:val="-6"/>
        </w:rPr>
        <w:t> </w:t>
      </w:r>
      <w:r>
        <w:rPr/>
        <w:t>incremento</w:t>
      </w:r>
      <w:r>
        <w:rPr>
          <w:spacing w:val="-8"/>
        </w:rPr>
        <w:t> </w:t>
      </w:r>
      <w:r>
        <w:rPr/>
        <w:t>se</w:t>
      </w:r>
      <w:r>
        <w:rPr>
          <w:spacing w:val="-7"/>
        </w:rPr>
        <w:t> </w:t>
      </w:r>
      <w:r>
        <w:rPr/>
        <w:t>debe</w:t>
      </w:r>
      <w:r>
        <w:rPr>
          <w:spacing w:val="-9"/>
        </w:rPr>
        <w:t> </w:t>
      </w:r>
      <w:r>
        <w:rPr/>
        <w:t>a</w:t>
      </w:r>
      <w:r>
        <w:rPr>
          <w:spacing w:val="-7"/>
        </w:rPr>
        <w:t> </w:t>
      </w:r>
      <w:r>
        <w:rPr/>
        <w:t>la</w:t>
      </w:r>
      <w:r>
        <w:rPr>
          <w:spacing w:val="-9"/>
        </w:rPr>
        <w:t> </w:t>
      </w:r>
      <w:r>
        <w:rPr/>
        <w:t>estimulación</w:t>
      </w:r>
      <w:r>
        <w:rPr>
          <w:spacing w:val="-8"/>
        </w:rPr>
        <w:t> </w:t>
      </w:r>
      <w:r>
        <w:rPr/>
        <w:t>del</w:t>
      </w:r>
      <w:r>
        <w:rPr>
          <w:spacing w:val="-8"/>
        </w:rPr>
        <w:t> </w:t>
      </w:r>
      <w:r>
        <w:rPr/>
        <w:t>sistema</w:t>
      </w:r>
      <w:r>
        <w:rPr>
          <w:spacing w:val="-9"/>
        </w:rPr>
        <w:t> </w:t>
      </w:r>
      <w:r>
        <w:rPr/>
        <w:t>nervioso simpático, que producen los estímulos nociceptivos.</w:t>
      </w:r>
    </w:p>
    <w:p>
      <w:pPr>
        <w:pStyle w:val="Heading3"/>
        <w:spacing w:before="242"/>
        <w:jc w:val="both"/>
      </w:pPr>
      <w:bookmarkStart w:name="_bookmark57" w:id="58"/>
      <w:bookmarkEnd w:id="58"/>
      <w:r>
        <w:rPr>
          <w:b w:val="0"/>
          <w:i w:val="0"/>
        </w:rPr>
      </w:r>
      <w:r>
        <w:rPr/>
        <w:t>Tabla </w:t>
      </w:r>
      <w:r>
        <w:rPr>
          <w:spacing w:val="-5"/>
        </w:rPr>
        <w:t>10</w:t>
      </w:r>
    </w:p>
    <w:p>
      <w:pPr>
        <w:spacing w:before="136"/>
        <w:ind w:left="1135" w:right="0" w:firstLine="0"/>
        <w:jc w:val="both"/>
        <w:rPr>
          <w:i/>
          <w:sz w:val="24"/>
        </w:rPr>
      </w:pPr>
      <w:r>
        <w:rPr>
          <w:i/>
          <w:sz w:val="24"/>
        </w:rPr>
        <w:t>ANOVA</w:t>
      </w:r>
      <w:r>
        <w:rPr>
          <w:i/>
          <w:spacing w:val="-2"/>
          <w:sz w:val="24"/>
        </w:rPr>
        <w:t> </w:t>
      </w:r>
      <w:r>
        <w:rPr>
          <w:i/>
          <w:sz w:val="24"/>
        </w:rPr>
        <w:t>–</w:t>
      </w:r>
      <w:r>
        <w:rPr>
          <w:i/>
          <w:spacing w:val="-1"/>
          <w:sz w:val="24"/>
        </w:rPr>
        <w:t> </w:t>
      </w:r>
      <w:r>
        <w:rPr>
          <w:i/>
          <w:sz w:val="24"/>
        </w:rPr>
        <w:t>Frecuencia</w:t>
      </w:r>
      <w:r>
        <w:rPr>
          <w:i/>
          <w:spacing w:val="1"/>
          <w:sz w:val="24"/>
        </w:rPr>
        <w:t> </w:t>
      </w:r>
      <w:r>
        <w:rPr>
          <w:i/>
          <w:spacing w:val="-2"/>
          <w:sz w:val="24"/>
        </w:rPr>
        <w:t>respiratoria</w:t>
      </w:r>
    </w:p>
    <w:p>
      <w:pPr>
        <w:pStyle w:val="BodyText"/>
        <w:spacing w:before="11"/>
        <w:ind w:left="0"/>
        <w:rPr>
          <w:i/>
          <w:sz w:val="14"/>
        </w:rPr>
      </w:pPr>
    </w:p>
    <w:tbl>
      <w:tblPr>
        <w:tblW w:w="0" w:type="auto"/>
        <w:jc w:val="left"/>
        <w:tblInd w:w="1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42"/>
        <w:gridCol w:w="1400"/>
        <w:gridCol w:w="699"/>
        <w:gridCol w:w="1013"/>
        <w:gridCol w:w="910"/>
        <w:gridCol w:w="1479"/>
      </w:tblGrid>
      <w:tr>
        <w:trPr>
          <w:trHeight w:val="301" w:hRule="atLeast"/>
        </w:trPr>
        <w:tc>
          <w:tcPr>
            <w:tcW w:w="2442" w:type="dxa"/>
            <w:tcBorders>
              <w:top w:val="single" w:sz="4" w:space="0" w:color="000000"/>
              <w:bottom w:val="single" w:sz="4" w:space="0" w:color="000000"/>
            </w:tcBorders>
          </w:tcPr>
          <w:p>
            <w:pPr>
              <w:pStyle w:val="TableParagraph"/>
              <w:spacing w:line="271" w:lineRule="exact" w:before="11"/>
              <w:ind w:left="60"/>
              <w:rPr>
                <w:b/>
                <w:sz w:val="24"/>
              </w:rPr>
            </w:pPr>
            <w:r>
              <w:rPr>
                <w:b/>
                <w:sz w:val="24"/>
              </w:rPr>
              <w:t>Fuente</w:t>
            </w:r>
            <w:r>
              <w:rPr>
                <w:b/>
                <w:spacing w:val="-4"/>
                <w:sz w:val="24"/>
              </w:rPr>
              <w:t> </w:t>
            </w:r>
            <w:r>
              <w:rPr>
                <w:b/>
                <w:sz w:val="24"/>
              </w:rPr>
              <w:t>de</w:t>
            </w:r>
            <w:r>
              <w:rPr>
                <w:b/>
                <w:spacing w:val="-3"/>
                <w:sz w:val="24"/>
              </w:rPr>
              <w:t> </w:t>
            </w:r>
            <w:r>
              <w:rPr>
                <w:b/>
                <w:spacing w:val="-2"/>
                <w:sz w:val="24"/>
              </w:rPr>
              <w:t>variación</w:t>
            </w:r>
          </w:p>
        </w:tc>
        <w:tc>
          <w:tcPr>
            <w:tcW w:w="1400" w:type="dxa"/>
            <w:tcBorders>
              <w:top w:val="single" w:sz="4" w:space="0" w:color="000000"/>
              <w:bottom w:val="single" w:sz="4" w:space="0" w:color="000000"/>
            </w:tcBorders>
          </w:tcPr>
          <w:p>
            <w:pPr>
              <w:pStyle w:val="TableParagraph"/>
              <w:spacing w:line="271" w:lineRule="exact" w:before="11"/>
              <w:ind w:left="359"/>
              <w:rPr>
                <w:b/>
                <w:sz w:val="24"/>
              </w:rPr>
            </w:pPr>
            <w:r>
              <w:rPr>
                <w:b/>
                <w:spacing w:val="-5"/>
                <w:sz w:val="24"/>
              </w:rPr>
              <w:t>SC</w:t>
            </w:r>
          </w:p>
        </w:tc>
        <w:tc>
          <w:tcPr>
            <w:tcW w:w="699" w:type="dxa"/>
            <w:tcBorders>
              <w:top w:val="single" w:sz="4" w:space="0" w:color="000000"/>
              <w:bottom w:val="single" w:sz="4" w:space="0" w:color="000000"/>
            </w:tcBorders>
          </w:tcPr>
          <w:p>
            <w:pPr>
              <w:pStyle w:val="TableParagraph"/>
              <w:spacing w:line="271" w:lineRule="exact" w:before="11"/>
              <w:ind w:left="67" w:right="54"/>
              <w:jc w:val="center"/>
              <w:rPr>
                <w:b/>
                <w:sz w:val="24"/>
              </w:rPr>
            </w:pPr>
            <w:r>
              <w:rPr>
                <w:b/>
                <w:spacing w:val="-5"/>
                <w:sz w:val="24"/>
              </w:rPr>
              <w:t>gl</w:t>
            </w:r>
          </w:p>
        </w:tc>
        <w:tc>
          <w:tcPr>
            <w:tcW w:w="1013" w:type="dxa"/>
            <w:tcBorders>
              <w:top w:val="single" w:sz="4" w:space="0" w:color="000000"/>
              <w:bottom w:val="single" w:sz="4" w:space="0" w:color="000000"/>
            </w:tcBorders>
          </w:tcPr>
          <w:p>
            <w:pPr>
              <w:pStyle w:val="TableParagraph"/>
              <w:spacing w:line="271" w:lineRule="exact" w:before="11"/>
              <w:ind w:left="200"/>
              <w:rPr>
                <w:b/>
                <w:sz w:val="24"/>
              </w:rPr>
            </w:pPr>
            <w:r>
              <w:rPr>
                <w:b/>
                <w:spacing w:val="-5"/>
                <w:sz w:val="24"/>
              </w:rPr>
              <w:t>CM</w:t>
            </w:r>
          </w:p>
        </w:tc>
        <w:tc>
          <w:tcPr>
            <w:tcW w:w="910" w:type="dxa"/>
            <w:tcBorders>
              <w:top w:val="single" w:sz="4" w:space="0" w:color="000000"/>
              <w:bottom w:val="single" w:sz="4" w:space="0" w:color="000000"/>
            </w:tcBorders>
          </w:tcPr>
          <w:p>
            <w:pPr>
              <w:pStyle w:val="TableParagraph"/>
              <w:spacing w:line="271" w:lineRule="exact" w:before="11"/>
              <w:ind w:left="159"/>
              <w:rPr>
                <w:b/>
                <w:sz w:val="24"/>
              </w:rPr>
            </w:pPr>
            <w:r>
              <w:rPr>
                <w:b/>
                <w:spacing w:val="-10"/>
                <w:sz w:val="24"/>
              </w:rPr>
              <w:t>F</w:t>
            </w:r>
          </w:p>
        </w:tc>
        <w:tc>
          <w:tcPr>
            <w:tcW w:w="1479" w:type="dxa"/>
            <w:tcBorders>
              <w:top w:val="single" w:sz="4" w:space="0" w:color="000000"/>
              <w:bottom w:val="single" w:sz="4" w:space="0" w:color="000000"/>
            </w:tcBorders>
          </w:tcPr>
          <w:p>
            <w:pPr>
              <w:pStyle w:val="TableParagraph"/>
              <w:spacing w:line="271" w:lineRule="exact" w:before="11"/>
              <w:ind w:left="219"/>
              <w:rPr>
                <w:b/>
                <w:sz w:val="24"/>
              </w:rPr>
            </w:pPr>
            <w:r>
              <w:rPr>
                <w:b/>
                <w:spacing w:val="-10"/>
                <w:sz w:val="24"/>
              </w:rPr>
              <w:t>P</w:t>
            </w:r>
          </w:p>
        </w:tc>
      </w:tr>
      <w:tr>
        <w:trPr>
          <w:trHeight w:val="358" w:hRule="atLeast"/>
        </w:trPr>
        <w:tc>
          <w:tcPr>
            <w:tcW w:w="2442" w:type="dxa"/>
            <w:tcBorders>
              <w:top w:val="single" w:sz="4" w:space="0" w:color="000000"/>
            </w:tcBorders>
          </w:tcPr>
          <w:p>
            <w:pPr>
              <w:pStyle w:val="TableParagraph"/>
              <w:spacing w:before="47"/>
              <w:ind w:left="60"/>
              <w:rPr>
                <w:b/>
                <w:sz w:val="24"/>
              </w:rPr>
            </w:pPr>
            <w:r>
              <w:rPr>
                <w:b/>
                <w:spacing w:val="-2"/>
                <w:sz w:val="24"/>
              </w:rPr>
              <w:t>Tratamientos</w:t>
            </w:r>
          </w:p>
        </w:tc>
        <w:tc>
          <w:tcPr>
            <w:tcW w:w="1400" w:type="dxa"/>
            <w:tcBorders>
              <w:top w:val="single" w:sz="4" w:space="0" w:color="000000"/>
            </w:tcBorders>
          </w:tcPr>
          <w:p>
            <w:pPr>
              <w:pStyle w:val="TableParagraph"/>
              <w:spacing w:before="47"/>
              <w:ind w:left="359"/>
              <w:rPr>
                <w:sz w:val="24"/>
              </w:rPr>
            </w:pPr>
            <w:r>
              <w:rPr>
                <w:spacing w:val="-2"/>
                <w:sz w:val="24"/>
              </w:rPr>
              <w:t>2169.25</w:t>
            </w:r>
          </w:p>
        </w:tc>
        <w:tc>
          <w:tcPr>
            <w:tcW w:w="699" w:type="dxa"/>
            <w:tcBorders>
              <w:top w:val="single" w:sz="4" w:space="0" w:color="000000"/>
            </w:tcBorders>
          </w:tcPr>
          <w:p>
            <w:pPr>
              <w:pStyle w:val="TableParagraph"/>
              <w:spacing w:before="47"/>
              <w:ind w:left="67" w:right="119"/>
              <w:jc w:val="center"/>
              <w:rPr>
                <w:sz w:val="24"/>
              </w:rPr>
            </w:pPr>
            <w:r>
              <w:rPr>
                <w:spacing w:val="-10"/>
                <w:sz w:val="24"/>
              </w:rPr>
              <w:t>3</w:t>
            </w:r>
          </w:p>
        </w:tc>
        <w:tc>
          <w:tcPr>
            <w:tcW w:w="1013" w:type="dxa"/>
            <w:tcBorders>
              <w:top w:val="single" w:sz="4" w:space="0" w:color="000000"/>
            </w:tcBorders>
          </w:tcPr>
          <w:p>
            <w:pPr>
              <w:pStyle w:val="TableParagraph"/>
              <w:spacing w:before="47"/>
              <w:ind w:left="200"/>
              <w:rPr>
                <w:sz w:val="24"/>
              </w:rPr>
            </w:pPr>
            <w:r>
              <w:rPr>
                <w:spacing w:val="-2"/>
                <w:sz w:val="24"/>
              </w:rPr>
              <w:t>723.08</w:t>
            </w:r>
          </w:p>
        </w:tc>
        <w:tc>
          <w:tcPr>
            <w:tcW w:w="910" w:type="dxa"/>
            <w:tcBorders>
              <w:top w:val="single" w:sz="4" w:space="0" w:color="000000"/>
            </w:tcBorders>
          </w:tcPr>
          <w:p>
            <w:pPr>
              <w:pStyle w:val="TableParagraph"/>
              <w:spacing w:before="47"/>
              <w:ind w:left="159"/>
              <w:rPr>
                <w:sz w:val="24"/>
              </w:rPr>
            </w:pPr>
            <w:r>
              <w:rPr>
                <w:spacing w:val="-2"/>
                <w:sz w:val="24"/>
              </w:rPr>
              <w:t>56.90</w:t>
            </w:r>
          </w:p>
        </w:tc>
        <w:tc>
          <w:tcPr>
            <w:tcW w:w="1479" w:type="dxa"/>
            <w:tcBorders>
              <w:top w:val="single" w:sz="4" w:space="0" w:color="000000"/>
            </w:tcBorders>
          </w:tcPr>
          <w:p>
            <w:pPr>
              <w:pStyle w:val="TableParagraph"/>
              <w:spacing w:before="47"/>
              <w:ind w:left="219"/>
              <w:rPr>
                <w:sz w:val="24"/>
              </w:rPr>
            </w:pPr>
            <w:r>
              <w:rPr>
                <w:spacing w:val="-2"/>
                <w:sz w:val="24"/>
              </w:rPr>
              <w:t>&lt;0.001</w:t>
            </w:r>
          </w:p>
        </w:tc>
      </w:tr>
      <w:tr>
        <w:trPr>
          <w:trHeight w:val="336" w:hRule="atLeast"/>
        </w:trPr>
        <w:tc>
          <w:tcPr>
            <w:tcW w:w="2442" w:type="dxa"/>
          </w:tcPr>
          <w:p>
            <w:pPr>
              <w:pStyle w:val="TableParagraph"/>
              <w:spacing w:before="25"/>
              <w:ind w:left="60"/>
              <w:rPr>
                <w:b/>
                <w:sz w:val="24"/>
              </w:rPr>
            </w:pPr>
            <w:r>
              <w:rPr>
                <w:b/>
                <w:spacing w:val="-4"/>
                <w:sz w:val="24"/>
              </w:rPr>
              <w:t>Error</w:t>
            </w:r>
          </w:p>
        </w:tc>
        <w:tc>
          <w:tcPr>
            <w:tcW w:w="1400" w:type="dxa"/>
          </w:tcPr>
          <w:p>
            <w:pPr>
              <w:pStyle w:val="TableParagraph"/>
              <w:spacing w:before="25"/>
              <w:ind w:left="359"/>
              <w:rPr>
                <w:sz w:val="24"/>
              </w:rPr>
            </w:pPr>
            <w:r>
              <w:rPr>
                <w:spacing w:val="-2"/>
                <w:sz w:val="24"/>
              </w:rPr>
              <w:t>152.50</w:t>
            </w:r>
          </w:p>
        </w:tc>
        <w:tc>
          <w:tcPr>
            <w:tcW w:w="699" w:type="dxa"/>
          </w:tcPr>
          <w:p>
            <w:pPr>
              <w:pStyle w:val="TableParagraph"/>
              <w:spacing w:before="25"/>
              <w:ind w:left="119" w:right="52"/>
              <w:jc w:val="center"/>
              <w:rPr>
                <w:sz w:val="24"/>
              </w:rPr>
            </w:pPr>
            <w:r>
              <w:rPr>
                <w:spacing w:val="-5"/>
                <w:sz w:val="24"/>
              </w:rPr>
              <w:t>12</w:t>
            </w:r>
          </w:p>
        </w:tc>
        <w:tc>
          <w:tcPr>
            <w:tcW w:w="1013" w:type="dxa"/>
          </w:tcPr>
          <w:p>
            <w:pPr>
              <w:pStyle w:val="TableParagraph"/>
              <w:spacing w:before="25"/>
              <w:ind w:left="200"/>
              <w:rPr>
                <w:sz w:val="24"/>
              </w:rPr>
            </w:pPr>
            <w:r>
              <w:rPr>
                <w:spacing w:val="-2"/>
                <w:sz w:val="24"/>
              </w:rPr>
              <w:t>12.71</w:t>
            </w:r>
          </w:p>
        </w:tc>
        <w:tc>
          <w:tcPr>
            <w:tcW w:w="910" w:type="dxa"/>
          </w:tcPr>
          <w:p>
            <w:pPr>
              <w:pStyle w:val="TableParagraph"/>
              <w:rPr>
                <w:sz w:val="24"/>
              </w:rPr>
            </w:pPr>
          </w:p>
        </w:tc>
        <w:tc>
          <w:tcPr>
            <w:tcW w:w="1479" w:type="dxa"/>
          </w:tcPr>
          <w:p>
            <w:pPr>
              <w:pStyle w:val="TableParagraph"/>
              <w:rPr>
                <w:sz w:val="24"/>
              </w:rPr>
            </w:pPr>
          </w:p>
        </w:tc>
      </w:tr>
      <w:tr>
        <w:trPr>
          <w:trHeight w:val="356" w:hRule="atLeast"/>
        </w:trPr>
        <w:tc>
          <w:tcPr>
            <w:tcW w:w="2442" w:type="dxa"/>
            <w:tcBorders>
              <w:bottom w:val="single" w:sz="4" w:space="0" w:color="000000"/>
            </w:tcBorders>
          </w:tcPr>
          <w:p>
            <w:pPr>
              <w:pStyle w:val="TableParagraph"/>
              <w:spacing w:before="25"/>
              <w:ind w:left="60"/>
              <w:rPr>
                <w:b/>
                <w:sz w:val="24"/>
              </w:rPr>
            </w:pPr>
            <w:r>
              <w:rPr>
                <w:b/>
                <w:spacing w:val="-2"/>
                <w:sz w:val="24"/>
              </w:rPr>
              <w:t>Total</w:t>
            </w:r>
          </w:p>
        </w:tc>
        <w:tc>
          <w:tcPr>
            <w:tcW w:w="1400" w:type="dxa"/>
            <w:tcBorders>
              <w:bottom w:val="single" w:sz="4" w:space="0" w:color="000000"/>
            </w:tcBorders>
          </w:tcPr>
          <w:p>
            <w:pPr>
              <w:pStyle w:val="TableParagraph"/>
              <w:spacing w:before="25"/>
              <w:ind w:left="359"/>
              <w:rPr>
                <w:sz w:val="24"/>
              </w:rPr>
            </w:pPr>
            <w:r>
              <w:rPr>
                <w:spacing w:val="-2"/>
                <w:sz w:val="24"/>
              </w:rPr>
              <w:t>2321.75</w:t>
            </w:r>
          </w:p>
        </w:tc>
        <w:tc>
          <w:tcPr>
            <w:tcW w:w="699" w:type="dxa"/>
            <w:tcBorders>
              <w:bottom w:val="single" w:sz="4" w:space="0" w:color="000000"/>
            </w:tcBorders>
          </w:tcPr>
          <w:p>
            <w:pPr>
              <w:pStyle w:val="TableParagraph"/>
              <w:spacing w:before="25"/>
              <w:ind w:left="119" w:right="52"/>
              <w:jc w:val="center"/>
              <w:rPr>
                <w:sz w:val="24"/>
              </w:rPr>
            </w:pPr>
            <w:r>
              <w:rPr>
                <w:spacing w:val="-5"/>
                <w:sz w:val="24"/>
              </w:rPr>
              <w:t>15</w:t>
            </w:r>
          </w:p>
        </w:tc>
        <w:tc>
          <w:tcPr>
            <w:tcW w:w="1013" w:type="dxa"/>
            <w:tcBorders>
              <w:bottom w:val="single" w:sz="4" w:space="0" w:color="000000"/>
            </w:tcBorders>
          </w:tcPr>
          <w:p>
            <w:pPr>
              <w:pStyle w:val="TableParagraph"/>
              <w:rPr>
                <w:sz w:val="24"/>
              </w:rPr>
            </w:pPr>
          </w:p>
        </w:tc>
        <w:tc>
          <w:tcPr>
            <w:tcW w:w="910" w:type="dxa"/>
            <w:tcBorders>
              <w:bottom w:val="single" w:sz="4" w:space="0" w:color="000000"/>
            </w:tcBorders>
          </w:tcPr>
          <w:p>
            <w:pPr>
              <w:pStyle w:val="TableParagraph"/>
              <w:rPr>
                <w:sz w:val="24"/>
              </w:rPr>
            </w:pPr>
          </w:p>
        </w:tc>
        <w:tc>
          <w:tcPr>
            <w:tcW w:w="1479" w:type="dxa"/>
            <w:tcBorders>
              <w:bottom w:val="single" w:sz="4" w:space="0" w:color="000000"/>
            </w:tcBorders>
          </w:tcPr>
          <w:p>
            <w:pPr>
              <w:pStyle w:val="TableParagraph"/>
              <w:rPr>
                <w:sz w:val="24"/>
              </w:rPr>
            </w:pPr>
          </w:p>
        </w:tc>
      </w:tr>
    </w:tbl>
    <w:p>
      <w:pPr>
        <w:pStyle w:val="BodyText"/>
        <w:spacing w:before="105"/>
        <w:ind w:left="0"/>
        <w:rPr>
          <w:i/>
          <w:sz w:val="20"/>
        </w:rPr>
      </w:pPr>
      <w:r>
        <w:rPr>
          <w:i/>
          <w:sz w:val="20"/>
        </w:rPr>
        <w:drawing>
          <wp:anchor distT="0" distB="0" distL="0" distR="0" allowOverlap="1" layoutInCell="1" locked="0" behindDoc="1" simplePos="0" relativeHeight="487591936">
            <wp:simplePos x="0" y="0"/>
            <wp:positionH relativeFrom="page">
              <wp:posOffset>1440180</wp:posOffset>
            </wp:positionH>
            <wp:positionV relativeFrom="paragraph">
              <wp:posOffset>227952</wp:posOffset>
            </wp:positionV>
            <wp:extent cx="5036051" cy="2387536"/>
            <wp:effectExtent l="0" t="0" r="0" b="0"/>
            <wp:wrapTopAndBottom/>
            <wp:docPr id="29" name="Image 29"/>
            <wp:cNvGraphicFramePr>
              <a:graphicFrameLocks/>
            </wp:cNvGraphicFramePr>
            <a:graphic>
              <a:graphicData uri="http://schemas.openxmlformats.org/drawingml/2006/picture">
                <pic:pic>
                  <pic:nvPicPr>
                    <pic:cNvPr id="29" name="Image 29"/>
                    <pic:cNvPicPr/>
                  </pic:nvPicPr>
                  <pic:blipFill>
                    <a:blip r:embed="rId17" cstate="print"/>
                    <a:stretch>
                      <a:fillRect/>
                    </a:stretch>
                  </pic:blipFill>
                  <pic:spPr>
                    <a:xfrm>
                      <a:off x="0" y="0"/>
                      <a:ext cx="5036051" cy="2387536"/>
                    </a:xfrm>
                    <a:prstGeom prst="rect">
                      <a:avLst/>
                    </a:prstGeom>
                  </pic:spPr>
                </pic:pic>
              </a:graphicData>
            </a:graphic>
          </wp:anchor>
        </w:drawing>
      </w:r>
    </w:p>
    <w:p>
      <w:pPr>
        <w:pStyle w:val="BodyText"/>
        <w:spacing w:after="0"/>
        <w:rPr>
          <w:i/>
          <w:sz w:val="20"/>
        </w:rPr>
        <w:sectPr>
          <w:pgSz w:w="11900" w:h="16860"/>
          <w:pgMar w:header="0" w:footer="1084" w:top="1620" w:bottom="1280" w:left="1133" w:right="850"/>
        </w:sectPr>
      </w:pPr>
    </w:p>
    <w:p>
      <w:pPr>
        <w:pStyle w:val="BodyText"/>
        <w:spacing w:line="360" w:lineRule="auto" w:before="70"/>
        <w:ind w:right="851"/>
        <w:jc w:val="both"/>
      </w:pPr>
      <w:r>
        <w:rPr/>
        <w:t>El</w:t>
      </w:r>
      <w:r>
        <w:rPr>
          <w:spacing w:val="-10"/>
        </w:rPr>
        <w:t> </w:t>
      </w:r>
      <w:r>
        <w:rPr/>
        <w:t>análisis</w:t>
      </w:r>
      <w:r>
        <w:rPr>
          <w:spacing w:val="-10"/>
        </w:rPr>
        <w:t> </w:t>
      </w:r>
      <w:r>
        <w:rPr/>
        <w:t>de</w:t>
      </w:r>
      <w:r>
        <w:rPr>
          <w:spacing w:val="-11"/>
        </w:rPr>
        <w:t> </w:t>
      </w:r>
      <w:r>
        <w:rPr/>
        <w:t>varianza</w:t>
      </w:r>
      <w:r>
        <w:rPr>
          <w:spacing w:val="-11"/>
        </w:rPr>
        <w:t> </w:t>
      </w:r>
      <w:r>
        <w:rPr/>
        <w:t>(ANOVA)</w:t>
      </w:r>
      <w:r>
        <w:rPr>
          <w:spacing w:val="-11"/>
        </w:rPr>
        <w:t> </w:t>
      </w:r>
      <w:r>
        <w:rPr/>
        <w:t>realizado</w:t>
      </w:r>
      <w:r>
        <w:rPr>
          <w:spacing w:val="-10"/>
        </w:rPr>
        <w:t> </w:t>
      </w:r>
      <w:r>
        <w:rPr/>
        <w:t>para</w:t>
      </w:r>
      <w:r>
        <w:rPr>
          <w:spacing w:val="-11"/>
        </w:rPr>
        <w:t> </w:t>
      </w:r>
      <w:r>
        <w:rPr/>
        <w:t>la</w:t>
      </w:r>
      <w:r>
        <w:rPr>
          <w:spacing w:val="-11"/>
        </w:rPr>
        <w:t> </w:t>
      </w:r>
      <w:r>
        <w:rPr/>
        <w:t>variable</w:t>
      </w:r>
      <w:r>
        <w:rPr>
          <w:spacing w:val="-11"/>
        </w:rPr>
        <w:t> </w:t>
      </w:r>
      <w:r>
        <w:rPr/>
        <w:t>frecuencia</w:t>
      </w:r>
      <w:r>
        <w:rPr>
          <w:spacing w:val="-11"/>
        </w:rPr>
        <w:t> </w:t>
      </w:r>
      <w:r>
        <w:rPr/>
        <w:t>respiratoria. Este análisis muestra que hay diferencias altamente significativas (F = 56.90; p &lt; 0.001) de tratamientos. Los varios procedimientos analgésicos que se le aplican a los terneritos durante el descorne tienen un efecto significativo sobre la respuesta respiratoria de los animales.</w:t>
      </w:r>
    </w:p>
    <w:p>
      <w:pPr>
        <w:pStyle w:val="BodyText"/>
        <w:spacing w:line="360" w:lineRule="auto" w:before="239"/>
        <w:ind w:right="843"/>
        <w:jc w:val="both"/>
      </w:pPr>
      <w:r>
        <w:rPr/>
        <w:t>Además,</w:t>
      </w:r>
      <w:r>
        <w:rPr>
          <w:spacing w:val="-15"/>
        </w:rPr>
        <w:t> </w:t>
      </w:r>
      <w:r>
        <w:rPr/>
        <w:t>la</w:t>
      </w:r>
      <w:r>
        <w:rPr>
          <w:spacing w:val="-15"/>
        </w:rPr>
        <w:t> </w:t>
      </w:r>
      <w:r>
        <w:rPr/>
        <w:t>SC</w:t>
      </w:r>
      <w:r>
        <w:rPr>
          <w:spacing w:val="-15"/>
        </w:rPr>
        <w:t> </w:t>
      </w:r>
      <w:r>
        <w:rPr/>
        <w:t>(suma</w:t>
      </w:r>
      <w:r>
        <w:rPr>
          <w:spacing w:val="-15"/>
        </w:rPr>
        <w:t> </w:t>
      </w:r>
      <w:r>
        <w:rPr/>
        <w:t>de</w:t>
      </w:r>
      <w:r>
        <w:rPr>
          <w:spacing w:val="-15"/>
        </w:rPr>
        <w:t> </w:t>
      </w:r>
      <w:r>
        <w:rPr/>
        <w:t>cuadrados)</w:t>
      </w:r>
      <w:r>
        <w:rPr>
          <w:spacing w:val="-15"/>
        </w:rPr>
        <w:t> </w:t>
      </w:r>
      <w:r>
        <w:rPr/>
        <w:t>de</w:t>
      </w:r>
      <w:r>
        <w:rPr>
          <w:spacing w:val="-15"/>
        </w:rPr>
        <w:t> </w:t>
      </w:r>
      <w:r>
        <w:rPr/>
        <w:t>los</w:t>
      </w:r>
      <w:r>
        <w:rPr>
          <w:spacing w:val="-15"/>
        </w:rPr>
        <w:t> </w:t>
      </w:r>
      <w:r>
        <w:rPr/>
        <w:t>tratamientos</w:t>
      </w:r>
      <w:r>
        <w:rPr>
          <w:spacing w:val="-15"/>
        </w:rPr>
        <w:t> </w:t>
      </w:r>
      <w:r>
        <w:rPr/>
        <w:t>(2169.25)</w:t>
      </w:r>
      <w:r>
        <w:rPr>
          <w:spacing w:val="-15"/>
        </w:rPr>
        <w:t> </w:t>
      </w:r>
      <w:r>
        <w:rPr/>
        <w:t>fue</w:t>
      </w:r>
      <w:r>
        <w:rPr>
          <w:spacing w:val="-15"/>
        </w:rPr>
        <w:t> </w:t>
      </w:r>
      <w:r>
        <w:rPr/>
        <w:t>mucho</w:t>
      </w:r>
      <w:r>
        <w:rPr>
          <w:spacing w:val="-15"/>
        </w:rPr>
        <w:t> </w:t>
      </w:r>
      <w:r>
        <w:rPr/>
        <w:t>mayor que</w:t>
      </w:r>
      <w:r>
        <w:rPr>
          <w:spacing w:val="-9"/>
        </w:rPr>
        <w:t> </w:t>
      </w:r>
      <w:r>
        <w:rPr/>
        <w:t>la</w:t>
      </w:r>
      <w:r>
        <w:rPr>
          <w:spacing w:val="-9"/>
        </w:rPr>
        <w:t> </w:t>
      </w:r>
      <w:r>
        <w:rPr/>
        <w:t>SC</w:t>
      </w:r>
      <w:r>
        <w:rPr>
          <w:spacing w:val="-8"/>
        </w:rPr>
        <w:t> </w:t>
      </w:r>
      <w:r>
        <w:rPr/>
        <w:t>del</w:t>
      </w:r>
      <w:r>
        <w:rPr>
          <w:spacing w:val="-8"/>
        </w:rPr>
        <w:t> </w:t>
      </w:r>
      <w:r>
        <w:rPr/>
        <w:t>error</w:t>
      </w:r>
      <w:r>
        <w:rPr>
          <w:spacing w:val="-9"/>
        </w:rPr>
        <w:t> </w:t>
      </w:r>
      <w:r>
        <w:rPr/>
        <w:t>experimental</w:t>
      </w:r>
      <w:r>
        <w:rPr>
          <w:spacing w:val="-8"/>
        </w:rPr>
        <w:t> </w:t>
      </w:r>
      <w:r>
        <w:rPr/>
        <w:t>(152.50).</w:t>
      </w:r>
      <w:r>
        <w:rPr>
          <w:spacing w:val="-9"/>
        </w:rPr>
        <w:t> </w:t>
      </w:r>
      <w:r>
        <w:rPr/>
        <w:t>Según</w:t>
      </w:r>
      <w:r>
        <w:rPr>
          <w:spacing w:val="-8"/>
        </w:rPr>
        <w:t> </w:t>
      </w:r>
      <w:r>
        <w:rPr/>
        <w:t>Saraceni</w:t>
      </w:r>
      <w:r>
        <w:rPr>
          <w:spacing w:val="-8"/>
        </w:rPr>
        <w:t> </w:t>
      </w:r>
      <w:r>
        <w:rPr/>
        <w:t>et</w:t>
      </w:r>
      <w:r>
        <w:rPr>
          <w:spacing w:val="-8"/>
        </w:rPr>
        <w:t> </w:t>
      </w:r>
      <w:r>
        <w:rPr/>
        <w:t>al.</w:t>
      </w:r>
      <w:r>
        <w:rPr>
          <w:spacing w:val="-8"/>
        </w:rPr>
        <w:t> </w:t>
      </w:r>
      <w:r>
        <w:rPr/>
        <w:t>(2021)</w:t>
      </w:r>
      <w:r>
        <w:rPr>
          <w:spacing w:val="-7"/>
        </w:rPr>
        <w:t> </w:t>
      </w:r>
      <w:r>
        <w:rPr/>
        <w:t>cuando</w:t>
      </w:r>
      <w:r>
        <w:rPr>
          <w:spacing w:val="-4"/>
        </w:rPr>
        <w:t> </w:t>
      </w:r>
      <w:r>
        <w:rPr/>
        <w:t>hay un</w:t>
      </w:r>
      <w:r>
        <w:rPr>
          <w:spacing w:val="-11"/>
        </w:rPr>
        <w:t> </w:t>
      </w:r>
      <w:r>
        <w:rPr/>
        <w:t>manejo</w:t>
      </w:r>
      <w:r>
        <w:rPr>
          <w:spacing w:val="-10"/>
        </w:rPr>
        <w:t> </w:t>
      </w:r>
      <w:r>
        <w:rPr/>
        <w:t>del</w:t>
      </w:r>
      <w:r>
        <w:rPr>
          <w:spacing w:val="-10"/>
        </w:rPr>
        <w:t> </w:t>
      </w:r>
      <w:r>
        <w:rPr/>
        <w:t>dolor,</w:t>
      </w:r>
      <w:r>
        <w:rPr>
          <w:spacing w:val="-9"/>
        </w:rPr>
        <w:t> </w:t>
      </w:r>
      <w:r>
        <w:rPr/>
        <w:t>ciertos</w:t>
      </w:r>
      <w:r>
        <w:rPr>
          <w:spacing w:val="-10"/>
        </w:rPr>
        <w:t> </w:t>
      </w:r>
      <w:r>
        <w:rPr/>
        <w:t>indicadores</w:t>
      </w:r>
      <w:r>
        <w:rPr>
          <w:spacing w:val="-8"/>
        </w:rPr>
        <w:t> </w:t>
      </w:r>
      <w:r>
        <w:rPr/>
        <w:t>fisiológicos</w:t>
      </w:r>
      <w:r>
        <w:rPr>
          <w:spacing w:val="-10"/>
        </w:rPr>
        <w:t> </w:t>
      </w:r>
      <w:r>
        <w:rPr/>
        <w:t>tienen</w:t>
      </w:r>
      <w:r>
        <w:rPr>
          <w:spacing w:val="-11"/>
        </w:rPr>
        <w:t> </w:t>
      </w:r>
      <w:r>
        <w:rPr/>
        <w:t>menor</w:t>
      </w:r>
      <w:r>
        <w:rPr>
          <w:spacing w:val="-11"/>
        </w:rPr>
        <w:t> </w:t>
      </w:r>
      <w:r>
        <w:rPr/>
        <w:t>variación</w:t>
      </w:r>
      <w:r>
        <w:rPr>
          <w:spacing w:val="-6"/>
        </w:rPr>
        <w:t> </w:t>
      </w:r>
      <w:r>
        <w:rPr/>
        <w:t>ante</w:t>
      </w:r>
      <w:r>
        <w:rPr>
          <w:spacing w:val="-11"/>
        </w:rPr>
        <w:t> </w:t>
      </w:r>
      <w:r>
        <w:rPr/>
        <w:t>el </w:t>
      </w:r>
      <w:r>
        <w:rPr>
          <w:spacing w:val="-2"/>
        </w:rPr>
        <w:t>estímulo.</w:t>
      </w:r>
    </w:p>
    <w:p>
      <w:pPr>
        <w:pStyle w:val="BodyText"/>
        <w:spacing w:line="360" w:lineRule="auto" w:before="241"/>
        <w:ind w:right="847"/>
        <w:jc w:val="both"/>
      </w:pPr>
      <w:r>
        <w:rPr/>
        <w:t>Los resultados del presente estudio muestran que el tipo de protocolo analgésico que</w:t>
      </w:r>
      <w:r>
        <w:rPr>
          <w:spacing w:val="-4"/>
        </w:rPr>
        <w:t> </w:t>
      </w:r>
      <w:r>
        <w:rPr/>
        <w:t>se</w:t>
      </w:r>
      <w:r>
        <w:rPr>
          <w:spacing w:val="-4"/>
        </w:rPr>
        <w:t> </w:t>
      </w:r>
      <w:r>
        <w:rPr/>
        <w:t>usó</w:t>
      </w:r>
      <w:r>
        <w:rPr>
          <w:spacing w:val="-3"/>
        </w:rPr>
        <w:t> </w:t>
      </w:r>
      <w:r>
        <w:rPr/>
        <w:t>durante</w:t>
      </w:r>
      <w:r>
        <w:rPr>
          <w:spacing w:val="-4"/>
        </w:rPr>
        <w:t> </w:t>
      </w:r>
      <w:r>
        <w:rPr/>
        <w:t>el</w:t>
      </w:r>
      <w:r>
        <w:rPr>
          <w:spacing w:val="-3"/>
        </w:rPr>
        <w:t> </w:t>
      </w:r>
      <w:r>
        <w:rPr/>
        <w:t>procedimiento</w:t>
      </w:r>
      <w:r>
        <w:rPr>
          <w:spacing w:val="-3"/>
        </w:rPr>
        <w:t> </w:t>
      </w:r>
      <w:r>
        <w:rPr/>
        <w:t>de</w:t>
      </w:r>
      <w:r>
        <w:rPr>
          <w:spacing w:val="-4"/>
        </w:rPr>
        <w:t> </w:t>
      </w:r>
      <w:r>
        <w:rPr/>
        <w:t>descorne</w:t>
      </w:r>
      <w:r>
        <w:rPr>
          <w:spacing w:val="-3"/>
        </w:rPr>
        <w:t> </w:t>
      </w:r>
      <w:r>
        <w:rPr/>
        <w:t>afectó</w:t>
      </w:r>
      <w:r>
        <w:rPr>
          <w:spacing w:val="-3"/>
        </w:rPr>
        <w:t> </w:t>
      </w:r>
      <w:r>
        <w:rPr/>
        <w:t>la</w:t>
      </w:r>
      <w:r>
        <w:rPr>
          <w:spacing w:val="-4"/>
        </w:rPr>
        <w:t> </w:t>
      </w:r>
      <w:r>
        <w:rPr/>
        <w:t>respuesta</w:t>
      </w:r>
      <w:r>
        <w:rPr>
          <w:spacing w:val="-2"/>
        </w:rPr>
        <w:t> </w:t>
      </w:r>
      <w:r>
        <w:rPr/>
        <w:t>respiratoria</w:t>
      </w:r>
      <w:r>
        <w:rPr>
          <w:spacing w:val="-5"/>
        </w:rPr>
        <w:t> </w:t>
      </w:r>
      <w:r>
        <w:rPr/>
        <w:t>de los</w:t>
      </w:r>
      <w:r>
        <w:rPr>
          <w:spacing w:val="-10"/>
        </w:rPr>
        <w:t> </w:t>
      </w:r>
      <w:r>
        <w:rPr/>
        <w:t>terneros.</w:t>
      </w:r>
      <w:r>
        <w:rPr>
          <w:spacing w:val="-9"/>
        </w:rPr>
        <w:t> </w:t>
      </w:r>
      <w:r>
        <w:rPr/>
        <w:t>Esto</w:t>
      </w:r>
      <w:r>
        <w:rPr>
          <w:spacing w:val="-10"/>
        </w:rPr>
        <w:t> </w:t>
      </w:r>
      <w:r>
        <w:rPr/>
        <w:t>quiere</w:t>
      </w:r>
      <w:r>
        <w:rPr>
          <w:spacing w:val="-9"/>
        </w:rPr>
        <w:t> </w:t>
      </w:r>
      <w:r>
        <w:rPr/>
        <w:t>decir</w:t>
      </w:r>
      <w:r>
        <w:rPr>
          <w:spacing w:val="-11"/>
        </w:rPr>
        <w:t> </w:t>
      </w:r>
      <w:r>
        <w:rPr/>
        <w:t>que</w:t>
      </w:r>
      <w:r>
        <w:rPr>
          <w:spacing w:val="-9"/>
        </w:rPr>
        <w:t> </w:t>
      </w:r>
      <w:r>
        <w:rPr/>
        <w:t>algunos</w:t>
      </w:r>
      <w:r>
        <w:rPr>
          <w:spacing w:val="-8"/>
        </w:rPr>
        <w:t> </w:t>
      </w:r>
      <w:r>
        <w:rPr/>
        <w:t>tratamientos</w:t>
      </w:r>
      <w:r>
        <w:rPr>
          <w:spacing w:val="-10"/>
        </w:rPr>
        <w:t> </w:t>
      </w:r>
      <w:r>
        <w:rPr/>
        <w:t>logran</w:t>
      </w:r>
      <w:r>
        <w:rPr>
          <w:spacing w:val="-8"/>
        </w:rPr>
        <w:t> </w:t>
      </w:r>
      <w:r>
        <w:rPr/>
        <w:t>un</w:t>
      </w:r>
      <w:r>
        <w:rPr>
          <w:spacing w:val="-11"/>
        </w:rPr>
        <w:t> </w:t>
      </w:r>
      <w:r>
        <w:rPr/>
        <w:t>mejor</w:t>
      </w:r>
      <w:r>
        <w:rPr>
          <w:spacing w:val="-9"/>
        </w:rPr>
        <w:t> </w:t>
      </w:r>
      <w:r>
        <w:rPr/>
        <w:t>control</w:t>
      </w:r>
      <w:r>
        <w:rPr>
          <w:spacing w:val="-10"/>
        </w:rPr>
        <w:t> </w:t>
      </w:r>
      <w:r>
        <w:rPr/>
        <w:t>del dolor y del estrés postoperatorio, evitando, así, una mayor alteración fisiológica.</w:t>
      </w:r>
    </w:p>
    <w:p>
      <w:pPr>
        <w:pStyle w:val="BodyText"/>
        <w:spacing w:line="360" w:lineRule="auto" w:before="240"/>
        <w:ind w:right="847"/>
        <w:jc w:val="both"/>
      </w:pPr>
      <w:r>
        <w:rPr/>
        <w:t>Como se observa en la tabla 11, el valor referencial fisiológico para la Proteína C Reactiva (PCR) en terneros se establece por debajo de los </w:t>
      </w:r>
      <w:r>
        <w:rPr>
          <w:rFonts w:ascii="Cambria Math" w:hAnsi="Cambria Math" w:eastAsia="Cambria Math"/>
        </w:rPr>
        <w:t>5.00 </w:t>
      </w:r>
      <w:r>
        <w:rPr/>
        <w:t>mg/L. Al analizar los resultados obtenidos al tercer día post-descorne, se evidencia que todos los tratamientos evaluados (T0, T1, T2 y T3) se ubicaron dentro de los parámetros normales, registrando concentraciones de </w:t>
      </w:r>
      <w:r>
        <w:rPr>
          <w:rFonts w:ascii="Cambria Math" w:hAnsi="Cambria Math" w:eastAsia="Cambria Math"/>
        </w:rPr>
        <w:t>4.30 </w:t>
      </w:r>
      <w:r>
        <w:rPr/>
        <w:t>mg/L a </w:t>
      </w:r>
      <w:r>
        <w:rPr>
          <w:rFonts w:ascii="Cambria Math" w:hAnsi="Cambria Math" w:eastAsia="Cambria Math"/>
        </w:rPr>
        <w:t>4.67 </w:t>
      </w:r>
      <w:r>
        <w:rPr/>
        <w:t>mg/L. Cabe destacar que el análisis estadístico no mostró diferencias significativas entre grupos (</w:t>
      </w:r>
      <w:r>
        <w:rPr>
          <w:rFonts w:ascii="Cambria Math" w:hAnsi="Cambria Math" w:eastAsia="Cambria Math"/>
        </w:rPr>
        <w:t>𝑝 &gt; 0.05</w:t>
      </w:r>
      <w:r>
        <w:rPr/>
        <w:t>),</w:t>
      </w:r>
      <w:r>
        <w:rPr>
          <w:spacing w:val="-4"/>
        </w:rPr>
        <w:t> </w:t>
      </w:r>
      <w:r>
        <w:rPr/>
        <w:t>lo</w:t>
      </w:r>
      <w:r>
        <w:rPr>
          <w:spacing w:val="-4"/>
        </w:rPr>
        <w:t> </w:t>
      </w:r>
      <w:r>
        <w:rPr/>
        <w:t>que</w:t>
      </w:r>
      <w:r>
        <w:rPr>
          <w:spacing w:val="-6"/>
        </w:rPr>
        <w:t> </w:t>
      </w:r>
      <w:r>
        <w:rPr/>
        <w:t>confirma</w:t>
      </w:r>
      <w:r>
        <w:rPr>
          <w:spacing w:val="-4"/>
        </w:rPr>
        <w:t> </w:t>
      </w:r>
      <w:r>
        <w:rPr/>
        <w:t>que</w:t>
      </w:r>
      <w:r>
        <w:rPr>
          <w:spacing w:val="-6"/>
        </w:rPr>
        <w:t> </w:t>
      </w:r>
      <w:r>
        <w:rPr/>
        <w:t>la</w:t>
      </w:r>
      <w:r>
        <w:rPr>
          <w:spacing w:val="-4"/>
        </w:rPr>
        <w:t> </w:t>
      </w:r>
      <w:r>
        <w:rPr/>
        <w:t>respuesta</w:t>
      </w:r>
      <w:r>
        <w:rPr>
          <w:spacing w:val="-4"/>
        </w:rPr>
        <w:t> </w:t>
      </w:r>
      <w:r>
        <w:rPr/>
        <w:t>inflamatoria</w:t>
      </w:r>
      <w:r>
        <w:rPr>
          <w:spacing w:val="-5"/>
        </w:rPr>
        <w:t> </w:t>
      </w:r>
      <w:r>
        <w:rPr/>
        <w:t>sistémica</w:t>
      </w:r>
      <w:r>
        <w:rPr>
          <w:spacing w:val="-6"/>
        </w:rPr>
        <w:t> </w:t>
      </w:r>
      <w:r>
        <w:rPr/>
        <w:t>aguda</w:t>
      </w:r>
      <w:r>
        <w:rPr>
          <w:spacing w:val="-5"/>
        </w:rPr>
        <w:t> </w:t>
      </w:r>
      <w:r>
        <w:rPr/>
        <w:t>fue</w:t>
      </w:r>
      <w:r>
        <w:rPr>
          <w:spacing w:val="-4"/>
        </w:rPr>
        <w:t> </w:t>
      </w:r>
      <w:r>
        <w:rPr/>
        <w:t>contenida adecuadamente</w:t>
      </w:r>
      <w:r>
        <w:rPr>
          <w:spacing w:val="-5"/>
        </w:rPr>
        <w:t> </w:t>
      </w:r>
      <w:r>
        <w:rPr/>
        <w:t>dentro</w:t>
      </w:r>
      <w:r>
        <w:rPr>
          <w:spacing w:val="-4"/>
        </w:rPr>
        <w:t> </w:t>
      </w:r>
      <w:r>
        <w:rPr/>
        <w:t>de</w:t>
      </w:r>
      <w:r>
        <w:rPr>
          <w:spacing w:val="-4"/>
        </w:rPr>
        <w:t> </w:t>
      </w:r>
      <w:r>
        <w:rPr/>
        <w:t>los</w:t>
      </w:r>
      <w:r>
        <w:rPr>
          <w:spacing w:val="-4"/>
        </w:rPr>
        <w:t> </w:t>
      </w:r>
      <w:r>
        <w:rPr/>
        <w:t>límites</w:t>
      </w:r>
      <w:r>
        <w:rPr>
          <w:spacing w:val="-4"/>
        </w:rPr>
        <w:t> </w:t>
      </w:r>
      <w:r>
        <w:rPr/>
        <w:t>fisiológicos</w:t>
      </w:r>
      <w:r>
        <w:rPr>
          <w:spacing w:val="-4"/>
        </w:rPr>
        <w:t> </w:t>
      </w:r>
      <w:r>
        <w:rPr/>
        <w:t>fisiológicos</w:t>
      </w:r>
      <w:r>
        <w:rPr>
          <w:spacing w:val="-4"/>
        </w:rPr>
        <w:t> </w:t>
      </w:r>
      <w:r>
        <w:rPr/>
        <w:t>normales</w:t>
      </w:r>
      <w:r>
        <w:rPr>
          <w:spacing w:val="-2"/>
        </w:rPr>
        <w:t> </w:t>
      </w:r>
      <w:r>
        <w:rPr/>
        <w:t>gracias</w:t>
      </w:r>
      <w:r>
        <w:rPr>
          <w:spacing w:val="-4"/>
        </w:rPr>
        <w:t> </w:t>
      </w:r>
      <w:r>
        <w:rPr/>
        <w:t>a</w:t>
      </w:r>
      <w:r>
        <w:rPr>
          <w:spacing w:val="-5"/>
        </w:rPr>
        <w:t> </w:t>
      </w:r>
      <w:r>
        <w:rPr/>
        <w:t>la cobertura del antiinflamatorio (Flunixin Meglumine).</w:t>
      </w:r>
    </w:p>
    <w:p>
      <w:pPr>
        <w:spacing w:before="242"/>
        <w:ind w:left="1135" w:right="0" w:firstLine="0"/>
        <w:jc w:val="left"/>
        <w:rPr>
          <w:b/>
          <w:sz w:val="24"/>
        </w:rPr>
      </w:pPr>
      <w:r>
        <w:rPr>
          <w:b/>
          <w:sz w:val="24"/>
        </w:rPr>
        <w:t>Rangos</w:t>
      </w:r>
      <w:r>
        <w:rPr>
          <w:b/>
          <w:spacing w:val="-1"/>
          <w:sz w:val="24"/>
        </w:rPr>
        <w:t> </w:t>
      </w:r>
      <w:r>
        <w:rPr>
          <w:b/>
          <w:sz w:val="24"/>
        </w:rPr>
        <w:t>de</w:t>
      </w:r>
      <w:r>
        <w:rPr>
          <w:b/>
          <w:spacing w:val="-2"/>
          <w:sz w:val="24"/>
        </w:rPr>
        <w:t> </w:t>
      </w:r>
      <w:r>
        <w:rPr>
          <w:b/>
          <w:sz w:val="24"/>
        </w:rPr>
        <w:t>referencia en</w:t>
      </w:r>
      <w:r>
        <w:rPr>
          <w:b/>
          <w:spacing w:val="-1"/>
          <w:sz w:val="24"/>
        </w:rPr>
        <w:t> </w:t>
      </w:r>
      <w:r>
        <w:rPr>
          <w:b/>
          <w:sz w:val="24"/>
        </w:rPr>
        <w:t>bovinos </w:t>
      </w:r>
      <w:r>
        <w:rPr>
          <w:b/>
          <w:spacing w:val="-2"/>
          <w:sz w:val="24"/>
        </w:rPr>
        <w:t>(mg/L)</w:t>
      </w:r>
    </w:p>
    <w:p>
      <w:pPr>
        <w:pStyle w:val="BodyText"/>
        <w:spacing w:before="100"/>
        <w:ind w:left="0"/>
        <w:rPr>
          <w:b/>
        </w:rPr>
      </w:pPr>
    </w:p>
    <w:p>
      <w:pPr>
        <w:pStyle w:val="BodyText"/>
        <w:spacing w:line="568" w:lineRule="auto" w:before="1"/>
        <w:ind w:right="5940"/>
      </w:pPr>
      <w:r>
        <w:rPr/>
        <w:t>Normal o leve: &lt;1–5 Requiere</w:t>
      </w:r>
      <w:r>
        <w:rPr>
          <w:spacing w:val="-15"/>
        </w:rPr>
        <w:t> </w:t>
      </w:r>
      <w:r>
        <w:rPr/>
        <w:t>investigación:</w:t>
      </w:r>
      <w:r>
        <w:rPr>
          <w:spacing w:val="-15"/>
        </w:rPr>
        <w:t> </w:t>
      </w:r>
      <w:r>
        <w:rPr/>
        <w:t>&gt;5</w:t>
      </w:r>
    </w:p>
    <w:p>
      <w:pPr>
        <w:pStyle w:val="BodyText"/>
      </w:pPr>
      <w:r>
        <w:rPr/>
        <w:t>Inflamación</w:t>
      </w:r>
      <w:r>
        <w:rPr>
          <w:spacing w:val="-4"/>
        </w:rPr>
        <w:t> </w:t>
      </w:r>
      <w:r>
        <w:rPr/>
        <w:t>grave:</w:t>
      </w:r>
      <w:r>
        <w:rPr>
          <w:spacing w:val="-4"/>
        </w:rPr>
        <w:t> </w:t>
      </w:r>
      <w:r>
        <w:rPr>
          <w:spacing w:val="-5"/>
        </w:rPr>
        <w:t>&gt;10</w:t>
      </w:r>
    </w:p>
    <w:p>
      <w:pPr>
        <w:pStyle w:val="BodyText"/>
        <w:spacing w:before="102"/>
        <w:ind w:left="0"/>
      </w:pPr>
    </w:p>
    <w:p>
      <w:pPr>
        <w:pStyle w:val="BodyText"/>
        <w:spacing w:before="1"/>
      </w:pPr>
      <w:r>
        <w:rPr/>
        <w:t>Sepsis</w:t>
      </w:r>
      <w:r>
        <w:rPr>
          <w:spacing w:val="-1"/>
        </w:rPr>
        <w:t> </w:t>
      </w:r>
      <w:r>
        <w:rPr/>
        <w:t>o</w:t>
      </w:r>
      <w:r>
        <w:rPr>
          <w:spacing w:val="-1"/>
        </w:rPr>
        <w:t> </w:t>
      </w:r>
      <w:r>
        <w:rPr/>
        <w:t>inmunomediado: </w:t>
      </w:r>
      <w:r>
        <w:rPr>
          <w:spacing w:val="-4"/>
        </w:rPr>
        <w:t>&gt;100</w:t>
      </w:r>
    </w:p>
    <w:p>
      <w:pPr>
        <w:pStyle w:val="BodyText"/>
        <w:spacing w:after="0"/>
        <w:sectPr>
          <w:pgSz w:w="11900" w:h="16860"/>
          <w:pgMar w:header="0" w:footer="1084" w:top="1620" w:bottom="1280" w:left="1133" w:right="850"/>
        </w:sectPr>
      </w:pPr>
    </w:p>
    <w:p>
      <w:pPr>
        <w:pStyle w:val="Heading3"/>
      </w:pPr>
      <w:bookmarkStart w:name="_bookmark58" w:id="59"/>
      <w:bookmarkEnd w:id="59"/>
      <w:r>
        <w:rPr>
          <w:b w:val="0"/>
          <w:i w:val="0"/>
        </w:rPr>
      </w:r>
      <w:r>
        <w:rPr/>
        <w:t>Tabla </w:t>
      </w:r>
      <w:r>
        <w:rPr>
          <w:spacing w:val="-5"/>
        </w:rPr>
        <w:t>11</w:t>
      </w:r>
    </w:p>
    <w:p>
      <w:pPr>
        <w:spacing w:before="137"/>
        <w:ind w:left="1135" w:right="0" w:firstLine="0"/>
        <w:jc w:val="left"/>
        <w:rPr>
          <w:i/>
          <w:sz w:val="24"/>
        </w:rPr>
      </w:pPr>
      <w:r>
        <w:rPr>
          <w:i/>
          <w:sz w:val="24"/>
        </w:rPr>
        <w:t>Promedios</w:t>
      </w:r>
      <w:r>
        <w:rPr>
          <w:i/>
          <w:spacing w:val="-1"/>
          <w:sz w:val="24"/>
        </w:rPr>
        <w:t> </w:t>
      </w:r>
      <w:r>
        <w:rPr>
          <w:i/>
          <w:sz w:val="24"/>
        </w:rPr>
        <w:t>por</w:t>
      </w:r>
      <w:r>
        <w:rPr>
          <w:i/>
          <w:spacing w:val="-1"/>
          <w:sz w:val="24"/>
        </w:rPr>
        <w:t> </w:t>
      </w:r>
      <w:r>
        <w:rPr>
          <w:i/>
          <w:sz w:val="24"/>
        </w:rPr>
        <w:t>tratamiento PCR </w:t>
      </w:r>
      <w:r>
        <w:rPr>
          <w:i/>
          <w:spacing w:val="-2"/>
          <w:sz w:val="24"/>
        </w:rPr>
        <w:t>(mg/L)</w:t>
      </w:r>
    </w:p>
    <w:p>
      <w:pPr>
        <w:pStyle w:val="BodyText"/>
        <w:spacing w:before="10" w:after="1"/>
        <w:ind w:left="0"/>
        <w:rPr>
          <w:i/>
          <w:sz w:val="14"/>
        </w:rPr>
      </w:pPr>
    </w:p>
    <w:tbl>
      <w:tblPr>
        <w:tblW w:w="0" w:type="auto"/>
        <w:jc w:val="left"/>
        <w:tblInd w:w="1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22"/>
        <w:gridCol w:w="2811"/>
      </w:tblGrid>
      <w:tr>
        <w:trPr>
          <w:trHeight w:val="407" w:hRule="atLeast"/>
        </w:trPr>
        <w:tc>
          <w:tcPr>
            <w:tcW w:w="5122" w:type="dxa"/>
            <w:tcBorders>
              <w:top w:val="single" w:sz="4" w:space="0" w:color="000000"/>
              <w:bottom w:val="single" w:sz="4" w:space="0" w:color="000000"/>
            </w:tcBorders>
          </w:tcPr>
          <w:p>
            <w:pPr>
              <w:pStyle w:val="TableParagraph"/>
              <w:spacing w:before="63"/>
              <w:ind w:left="45"/>
              <w:rPr>
                <w:b/>
                <w:sz w:val="24"/>
              </w:rPr>
            </w:pPr>
            <w:r>
              <w:rPr>
                <w:b/>
                <w:spacing w:val="-2"/>
                <w:sz w:val="24"/>
              </w:rPr>
              <w:t>Tratamiento</w:t>
            </w:r>
          </w:p>
        </w:tc>
        <w:tc>
          <w:tcPr>
            <w:tcW w:w="2811" w:type="dxa"/>
            <w:tcBorders>
              <w:top w:val="single" w:sz="4" w:space="0" w:color="000000"/>
              <w:bottom w:val="single" w:sz="4" w:space="0" w:color="000000"/>
            </w:tcBorders>
          </w:tcPr>
          <w:p>
            <w:pPr>
              <w:pStyle w:val="TableParagraph"/>
              <w:spacing w:before="63"/>
              <w:ind w:left="29"/>
              <w:rPr>
                <w:b/>
                <w:sz w:val="24"/>
              </w:rPr>
            </w:pPr>
            <w:r>
              <w:rPr>
                <w:b/>
                <w:sz w:val="24"/>
              </w:rPr>
              <w:t>Proteína</w:t>
            </w:r>
            <w:r>
              <w:rPr>
                <w:b/>
                <w:spacing w:val="-12"/>
                <w:sz w:val="24"/>
              </w:rPr>
              <w:t> </w:t>
            </w:r>
            <w:r>
              <w:rPr>
                <w:b/>
                <w:sz w:val="24"/>
              </w:rPr>
              <w:t>C</w:t>
            </w:r>
            <w:r>
              <w:rPr>
                <w:b/>
                <w:spacing w:val="-12"/>
                <w:sz w:val="24"/>
              </w:rPr>
              <w:t> </w:t>
            </w:r>
            <w:r>
              <w:rPr>
                <w:b/>
                <w:sz w:val="24"/>
              </w:rPr>
              <w:t>reactiva</w:t>
            </w:r>
            <w:r>
              <w:rPr>
                <w:b/>
                <w:spacing w:val="-11"/>
                <w:sz w:val="24"/>
              </w:rPr>
              <w:t> </w:t>
            </w:r>
            <w:r>
              <w:rPr>
                <w:b/>
                <w:spacing w:val="-2"/>
                <w:sz w:val="24"/>
              </w:rPr>
              <w:t>(mg/L)</w:t>
            </w:r>
          </w:p>
        </w:tc>
      </w:tr>
      <w:tr>
        <w:trPr>
          <w:trHeight w:val="436" w:hRule="atLeast"/>
        </w:trPr>
        <w:tc>
          <w:tcPr>
            <w:tcW w:w="5122" w:type="dxa"/>
            <w:tcBorders>
              <w:top w:val="single" w:sz="4" w:space="0" w:color="000000"/>
            </w:tcBorders>
          </w:tcPr>
          <w:p>
            <w:pPr>
              <w:pStyle w:val="TableParagraph"/>
              <w:spacing w:before="44"/>
              <w:ind w:left="45"/>
              <w:rPr>
                <w:sz w:val="22"/>
              </w:rPr>
            </w:pPr>
            <w:r>
              <w:rPr>
                <w:sz w:val="22"/>
              </w:rPr>
              <w:t>T0</w:t>
            </w:r>
            <w:r>
              <w:rPr>
                <w:spacing w:val="-4"/>
                <w:sz w:val="22"/>
              </w:rPr>
              <w:t> </w:t>
            </w:r>
            <w:r>
              <w:rPr>
                <w:spacing w:val="-2"/>
                <w:sz w:val="22"/>
              </w:rPr>
              <w:t>(Testigo)</w:t>
            </w:r>
          </w:p>
        </w:tc>
        <w:tc>
          <w:tcPr>
            <w:tcW w:w="2811" w:type="dxa"/>
            <w:tcBorders>
              <w:top w:val="single" w:sz="4" w:space="0" w:color="000000"/>
            </w:tcBorders>
          </w:tcPr>
          <w:p>
            <w:pPr>
              <w:pStyle w:val="TableParagraph"/>
              <w:spacing w:before="113"/>
              <w:ind w:left="29"/>
              <w:rPr>
                <w:sz w:val="22"/>
              </w:rPr>
            </w:pPr>
            <w:r>
              <w:rPr>
                <w:sz w:val="22"/>
              </w:rPr>
              <w:t>4.67 ±</w:t>
            </w:r>
            <w:r>
              <w:rPr>
                <w:spacing w:val="-2"/>
                <w:sz w:val="22"/>
              </w:rPr>
              <w:t> </w:t>
            </w:r>
            <w:r>
              <w:rPr>
                <w:spacing w:val="-4"/>
                <w:sz w:val="22"/>
              </w:rPr>
              <w:t>0.28</w:t>
            </w:r>
          </w:p>
        </w:tc>
      </w:tr>
      <w:tr>
        <w:trPr>
          <w:trHeight w:val="442" w:hRule="atLeast"/>
        </w:trPr>
        <w:tc>
          <w:tcPr>
            <w:tcW w:w="5122" w:type="dxa"/>
          </w:tcPr>
          <w:p>
            <w:pPr>
              <w:pStyle w:val="TableParagraph"/>
              <w:spacing w:before="59"/>
              <w:ind w:left="45"/>
              <w:rPr>
                <w:sz w:val="22"/>
              </w:rPr>
            </w:pPr>
            <w:r>
              <w:rPr>
                <w:sz w:val="22"/>
              </w:rPr>
              <w:t>T1</w:t>
            </w:r>
            <w:r>
              <w:rPr>
                <w:spacing w:val="-5"/>
                <w:sz w:val="22"/>
              </w:rPr>
              <w:t> </w:t>
            </w:r>
            <w:r>
              <w:rPr>
                <w:sz w:val="22"/>
              </w:rPr>
              <w:t>(Lidocaína</w:t>
            </w:r>
            <w:r>
              <w:rPr>
                <w:spacing w:val="-2"/>
                <w:sz w:val="22"/>
              </w:rPr>
              <w:t> </w:t>
            </w:r>
            <w:r>
              <w:rPr>
                <w:sz w:val="22"/>
              </w:rPr>
              <w:t>+</w:t>
            </w:r>
            <w:r>
              <w:rPr>
                <w:spacing w:val="-1"/>
                <w:sz w:val="22"/>
              </w:rPr>
              <w:t> </w:t>
            </w:r>
            <w:r>
              <w:rPr>
                <w:sz w:val="24"/>
              </w:rPr>
              <w:t>Flunixin</w:t>
            </w:r>
            <w:r>
              <w:rPr>
                <w:spacing w:val="-3"/>
                <w:sz w:val="24"/>
              </w:rPr>
              <w:t> </w:t>
            </w:r>
            <w:r>
              <w:rPr>
                <w:spacing w:val="-2"/>
                <w:sz w:val="24"/>
              </w:rPr>
              <w:t>Meglumine</w:t>
            </w:r>
            <w:r>
              <w:rPr>
                <w:spacing w:val="-2"/>
                <w:sz w:val="22"/>
              </w:rPr>
              <w:t>)</w:t>
            </w:r>
          </w:p>
        </w:tc>
        <w:tc>
          <w:tcPr>
            <w:tcW w:w="2811" w:type="dxa"/>
          </w:tcPr>
          <w:p>
            <w:pPr>
              <w:pStyle w:val="TableParagraph"/>
              <w:spacing w:before="123"/>
              <w:ind w:left="29"/>
              <w:rPr>
                <w:sz w:val="22"/>
              </w:rPr>
            </w:pPr>
            <w:r>
              <w:rPr>
                <w:sz w:val="22"/>
              </w:rPr>
              <w:t>4.54 ±</w:t>
            </w:r>
            <w:r>
              <w:rPr>
                <w:spacing w:val="-2"/>
                <w:sz w:val="22"/>
              </w:rPr>
              <w:t> </w:t>
            </w:r>
            <w:r>
              <w:rPr>
                <w:spacing w:val="-4"/>
                <w:sz w:val="22"/>
              </w:rPr>
              <w:t>0.24</w:t>
            </w:r>
          </w:p>
        </w:tc>
      </w:tr>
      <w:tr>
        <w:trPr>
          <w:trHeight w:val="447" w:hRule="atLeast"/>
        </w:trPr>
        <w:tc>
          <w:tcPr>
            <w:tcW w:w="5122" w:type="dxa"/>
          </w:tcPr>
          <w:p>
            <w:pPr>
              <w:pStyle w:val="TableParagraph"/>
              <w:spacing w:before="55"/>
              <w:ind w:left="45"/>
              <w:rPr>
                <w:sz w:val="22"/>
              </w:rPr>
            </w:pPr>
            <w:r>
              <w:rPr>
                <w:sz w:val="22"/>
              </w:rPr>
              <w:t>T2</w:t>
            </w:r>
            <w:r>
              <w:rPr>
                <w:spacing w:val="-6"/>
                <w:sz w:val="22"/>
              </w:rPr>
              <w:t> </w:t>
            </w:r>
            <w:r>
              <w:rPr>
                <w:sz w:val="22"/>
              </w:rPr>
              <w:t>(Bupivacaína</w:t>
            </w:r>
            <w:r>
              <w:rPr>
                <w:spacing w:val="-3"/>
                <w:sz w:val="22"/>
              </w:rPr>
              <w:t> </w:t>
            </w:r>
            <w:r>
              <w:rPr>
                <w:sz w:val="22"/>
              </w:rPr>
              <w:t>+</w:t>
            </w:r>
            <w:r>
              <w:rPr>
                <w:spacing w:val="-1"/>
                <w:sz w:val="22"/>
              </w:rPr>
              <w:t> </w:t>
            </w:r>
            <w:r>
              <w:rPr>
                <w:sz w:val="24"/>
              </w:rPr>
              <w:t>Flunixin</w:t>
            </w:r>
            <w:r>
              <w:rPr>
                <w:spacing w:val="-2"/>
                <w:sz w:val="24"/>
              </w:rPr>
              <w:t> Meglumine</w:t>
            </w:r>
            <w:r>
              <w:rPr>
                <w:spacing w:val="-2"/>
                <w:sz w:val="22"/>
              </w:rPr>
              <w:t>)</w:t>
            </w:r>
          </w:p>
        </w:tc>
        <w:tc>
          <w:tcPr>
            <w:tcW w:w="2811" w:type="dxa"/>
          </w:tcPr>
          <w:p>
            <w:pPr>
              <w:pStyle w:val="TableParagraph"/>
              <w:spacing w:before="125"/>
              <w:ind w:left="29"/>
              <w:rPr>
                <w:sz w:val="22"/>
              </w:rPr>
            </w:pPr>
            <w:r>
              <w:rPr>
                <w:sz w:val="22"/>
              </w:rPr>
              <w:t>4.30 ±</w:t>
            </w:r>
            <w:r>
              <w:rPr>
                <w:spacing w:val="-2"/>
                <w:sz w:val="22"/>
              </w:rPr>
              <w:t> </w:t>
            </w:r>
            <w:r>
              <w:rPr>
                <w:spacing w:val="-4"/>
                <w:sz w:val="22"/>
              </w:rPr>
              <w:t>0.07</w:t>
            </w:r>
          </w:p>
        </w:tc>
      </w:tr>
      <w:tr>
        <w:trPr>
          <w:trHeight w:val="611" w:hRule="atLeast"/>
        </w:trPr>
        <w:tc>
          <w:tcPr>
            <w:tcW w:w="5122" w:type="dxa"/>
          </w:tcPr>
          <w:p>
            <w:pPr>
              <w:pStyle w:val="TableParagraph"/>
              <w:spacing w:before="59"/>
              <w:ind w:left="45"/>
              <w:rPr>
                <w:sz w:val="24"/>
              </w:rPr>
            </w:pPr>
            <w:r>
              <w:rPr>
                <w:sz w:val="22"/>
              </w:rPr>
              <w:t>T3</w:t>
            </w:r>
            <w:r>
              <w:rPr>
                <w:spacing w:val="54"/>
                <w:sz w:val="22"/>
              </w:rPr>
              <w:t> </w:t>
            </w:r>
            <w:r>
              <w:rPr>
                <w:sz w:val="22"/>
              </w:rPr>
              <w:t>(50%</w:t>
            </w:r>
            <w:r>
              <w:rPr>
                <w:spacing w:val="58"/>
                <w:sz w:val="22"/>
              </w:rPr>
              <w:t> </w:t>
            </w:r>
            <w:r>
              <w:rPr>
                <w:sz w:val="22"/>
              </w:rPr>
              <w:t>Lidocaína</w:t>
            </w:r>
            <w:r>
              <w:rPr>
                <w:spacing w:val="57"/>
                <w:sz w:val="22"/>
              </w:rPr>
              <w:t> </w:t>
            </w:r>
            <w:r>
              <w:rPr>
                <w:sz w:val="22"/>
              </w:rPr>
              <w:t>+</w:t>
            </w:r>
            <w:r>
              <w:rPr>
                <w:spacing w:val="58"/>
                <w:sz w:val="22"/>
              </w:rPr>
              <w:t> </w:t>
            </w:r>
            <w:r>
              <w:rPr>
                <w:sz w:val="22"/>
              </w:rPr>
              <w:t>50%</w:t>
            </w:r>
            <w:r>
              <w:rPr>
                <w:spacing w:val="57"/>
                <w:sz w:val="22"/>
              </w:rPr>
              <w:t> </w:t>
            </w:r>
            <w:r>
              <w:rPr>
                <w:sz w:val="22"/>
              </w:rPr>
              <w:t>Bupivacaína)</w:t>
            </w:r>
            <w:r>
              <w:rPr>
                <w:spacing w:val="58"/>
                <w:sz w:val="22"/>
              </w:rPr>
              <w:t> </w:t>
            </w:r>
            <w:r>
              <w:rPr>
                <w:sz w:val="22"/>
              </w:rPr>
              <w:t>+</w:t>
            </w:r>
            <w:r>
              <w:rPr>
                <w:spacing w:val="62"/>
                <w:sz w:val="22"/>
              </w:rPr>
              <w:t> </w:t>
            </w:r>
            <w:r>
              <w:rPr>
                <w:spacing w:val="-2"/>
                <w:sz w:val="24"/>
              </w:rPr>
              <w:t>Flunixin</w:t>
            </w:r>
          </w:p>
          <w:p>
            <w:pPr>
              <w:pStyle w:val="TableParagraph"/>
              <w:tabs>
                <w:tab w:pos="7933" w:val="left" w:leader="none"/>
              </w:tabs>
              <w:spacing w:line="256" w:lineRule="exact"/>
              <w:ind w:right="-2823"/>
              <w:rPr>
                <w:sz w:val="22"/>
              </w:rPr>
            </w:pPr>
            <w:r>
              <w:rPr>
                <w:spacing w:val="-15"/>
                <w:sz w:val="24"/>
                <w:u w:val="single"/>
              </w:rPr>
              <w:t> </w:t>
            </w:r>
            <w:r>
              <w:rPr>
                <w:spacing w:val="-2"/>
                <w:sz w:val="24"/>
                <w:u w:val="single"/>
              </w:rPr>
              <w:t>Meglumine</w:t>
            </w:r>
            <w:r>
              <w:rPr>
                <w:spacing w:val="-2"/>
                <w:sz w:val="22"/>
                <w:u w:val="single"/>
              </w:rPr>
              <w:t>)</w:t>
            </w:r>
            <w:r>
              <w:rPr>
                <w:sz w:val="22"/>
                <w:u w:val="single"/>
              </w:rPr>
              <w:tab/>
            </w:r>
          </w:p>
        </w:tc>
        <w:tc>
          <w:tcPr>
            <w:tcW w:w="2811" w:type="dxa"/>
          </w:tcPr>
          <w:p>
            <w:pPr>
              <w:pStyle w:val="TableParagraph"/>
              <w:spacing w:before="210"/>
              <w:ind w:left="29"/>
              <w:rPr>
                <w:sz w:val="22"/>
              </w:rPr>
            </w:pPr>
            <w:r>
              <w:rPr>
                <w:sz w:val="22"/>
              </w:rPr>
              <w:t>4.62 ±</w:t>
            </w:r>
            <w:r>
              <w:rPr>
                <w:spacing w:val="-2"/>
                <w:sz w:val="22"/>
              </w:rPr>
              <w:t> </w:t>
            </w:r>
            <w:r>
              <w:rPr>
                <w:spacing w:val="-4"/>
                <w:sz w:val="22"/>
              </w:rPr>
              <w:t>0.23</w:t>
            </w:r>
          </w:p>
        </w:tc>
      </w:tr>
    </w:tbl>
    <w:p>
      <w:pPr>
        <w:pStyle w:val="BodyText"/>
        <w:spacing w:before="143"/>
        <w:ind w:left="0"/>
        <w:rPr>
          <w:i/>
        </w:rPr>
      </w:pPr>
    </w:p>
    <w:p>
      <w:pPr>
        <w:pStyle w:val="BodyText"/>
        <w:spacing w:line="360" w:lineRule="auto"/>
        <w:ind w:right="846"/>
        <w:jc w:val="both"/>
      </w:pPr>
      <w:r>
        <w:rPr/>
        <w:t>Nota: Valores expresados como Media </w:t>
      </w:r>
      <w:r>
        <w:rPr>
          <w:rFonts w:ascii="Cambria Math" w:hAnsi="Cambria Math" w:eastAsia="Cambria Math"/>
        </w:rPr>
        <w:t>± </w:t>
      </w:r>
      <w:r>
        <w:rPr/>
        <w:t>Desviación Estándar. El Análisis de Varianza (ANOVA) no mostró diferencias estadísticamente significativas entre tratamientos (</w:t>
      </w:r>
      <w:r>
        <w:rPr>
          <w:rFonts w:ascii="Cambria Math" w:hAnsi="Cambria Math" w:eastAsia="Cambria Math"/>
        </w:rPr>
        <w:t>𝑝 &gt; 0.05</w:t>
      </w:r>
      <w:r>
        <w:rPr/>
        <w:t>).</w:t>
      </w:r>
    </w:p>
    <w:p>
      <w:pPr>
        <w:pStyle w:val="BodyText"/>
        <w:spacing w:before="11"/>
        <w:ind w:left="0"/>
        <w:rPr>
          <w:sz w:val="7"/>
        </w:rPr>
      </w:pPr>
      <w:r>
        <w:rPr>
          <w:sz w:val="7"/>
        </w:rPr>
        <w:drawing>
          <wp:anchor distT="0" distB="0" distL="0" distR="0" allowOverlap="1" layoutInCell="1" locked="0" behindDoc="1" simplePos="0" relativeHeight="487592448">
            <wp:simplePos x="0" y="0"/>
            <wp:positionH relativeFrom="page">
              <wp:posOffset>1431289</wp:posOffset>
            </wp:positionH>
            <wp:positionV relativeFrom="paragraph">
              <wp:posOffset>73378</wp:posOffset>
            </wp:positionV>
            <wp:extent cx="4314940" cy="2824734"/>
            <wp:effectExtent l="0" t="0" r="0" b="0"/>
            <wp:wrapTopAndBottom/>
            <wp:docPr id="30" name="Image 30"/>
            <wp:cNvGraphicFramePr>
              <a:graphicFrameLocks/>
            </wp:cNvGraphicFramePr>
            <a:graphic>
              <a:graphicData uri="http://schemas.openxmlformats.org/drawingml/2006/picture">
                <pic:pic>
                  <pic:nvPicPr>
                    <pic:cNvPr id="30" name="Image 30"/>
                    <pic:cNvPicPr/>
                  </pic:nvPicPr>
                  <pic:blipFill>
                    <a:blip r:embed="rId18" cstate="print"/>
                    <a:stretch>
                      <a:fillRect/>
                    </a:stretch>
                  </pic:blipFill>
                  <pic:spPr>
                    <a:xfrm>
                      <a:off x="0" y="0"/>
                      <a:ext cx="4314940" cy="2824734"/>
                    </a:xfrm>
                    <a:prstGeom prst="rect">
                      <a:avLst/>
                    </a:prstGeom>
                  </pic:spPr>
                </pic:pic>
              </a:graphicData>
            </a:graphic>
          </wp:anchor>
        </w:drawing>
      </w:r>
    </w:p>
    <w:p>
      <w:pPr>
        <w:pStyle w:val="BodyText"/>
        <w:spacing w:before="163"/>
        <w:ind w:left="0"/>
      </w:pPr>
    </w:p>
    <w:p>
      <w:pPr>
        <w:pStyle w:val="BodyText"/>
        <w:spacing w:line="360" w:lineRule="auto"/>
        <w:ind w:right="848"/>
        <w:jc w:val="both"/>
      </w:pPr>
      <w:r>
        <w:rPr/>
        <w:t>La proteína C reactiva (PCR) para los terneros sometidos al descorne para los diferentes tratamientos analgésicos se muestra en la Tabla 13. Los valores relacionados para la proteína C reactiva oscilaron entre 4,30 y 4,67 mg/L.</w:t>
      </w:r>
    </w:p>
    <w:p>
      <w:pPr>
        <w:pStyle w:val="BodyText"/>
        <w:spacing w:line="360" w:lineRule="auto" w:before="242"/>
        <w:ind w:right="846"/>
        <w:jc w:val="both"/>
      </w:pPr>
      <w:r>
        <w:rPr/>
        <w:t>Siendo</w:t>
      </w:r>
      <w:r>
        <w:rPr>
          <w:spacing w:val="-10"/>
        </w:rPr>
        <w:t> </w:t>
      </w:r>
      <w:r>
        <w:rPr/>
        <w:t>el</w:t>
      </w:r>
      <w:r>
        <w:rPr>
          <w:spacing w:val="-9"/>
        </w:rPr>
        <w:t> </w:t>
      </w:r>
      <w:r>
        <w:rPr/>
        <w:t>tratamiento</w:t>
      </w:r>
      <w:r>
        <w:rPr>
          <w:spacing w:val="-9"/>
        </w:rPr>
        <w:t> </w:t>
      </w:r>
      <w:r>
        <w:rPr/>
        <w:t>2</w:t>
      </w:r>
      <w:r>
        <w:rPr>
          <w:spacing w:val="-9"/>
        </w:rPr>
        <w:t> </w:t>
      </w:r>
      <w:r>
        <w:rPr/>
        <w:t>(Bupivacaína</w:t>
      </w:r>
      <w:r>
        <w:rPr>
          <w:spacing w:val="-8"/>
        </w:rPr>
        <w:t> </w:t>
      </w:r>
      <w:r>
        <w:rPr/>
        <w:t>Tamponada</w:t>
      </w:r>
      <w:r>
        <w:rPr>
          <w:spacing w:val="-10"/>
        </w:rPr>
        <w:t> </w:t>
      </w:r>
      <w:r>
        <w:rPr/>
        <w:t>+</w:t>
      </w:r>
      <w:r>
        <w:rPr>
          <w:spacing w:val="-10"/>
        </w:rPr>
        <w:t> </w:t>
      </w:r>
      <w:r>
        <w:rPr/>
        <w:t>Flunixin</w:t>
      </w:r>
      <w:r>
        <w:rPr>
          <w:spacing w:val="-9"/>
        </w:rPr>
        <w:t> </w:t>
      </w:r>
      <w:r>
        <w:rPr/>
        <w:t>Meglumine)</w:t>
      </w:r>
      <w:r>
        <w:rPr>
          <w:spacing w:val="-10"/>
        </w:rPr>
        <w:t> </w:t>
      </w:r>
      <w:r>
        <w:rPr/>
        <w:t>el</w:t>
      </w:r>
      <w:r>
        <w:rPr>
          <w:spacing w:val="-9"/>
        </w:rPr>
        <w:t> </w:t>
      </w:r>
      <w:r>
        <w:rPr/>
        <w:t>menor valor</w:t>
      </w:r>
      <w:r>
        <w:rPr>
          <w:spacing w:val="-6"/>
        </w:rPr>
        <w:t> </w:t>
      </w:r>
      <w:r>
        <w:rPr/>
        <w:t>y</w:t>
      </w:r>
      <w:r>
        <w:rPr>
          <w:spacing w:val="-12"/>
        </w:rPr>
        <w:t> </w:t>
      </w:r>
      <w:r>
        <w:rPr/>
        <w:t>el</w:t>
      </w:r>
      <w:r>
        <w:rPr>
          <w:spacing w:val="-10"/>
        </w:rPr>
        <w:t> </w:t>
      </w:r>
      <w:r>
        <w:rPr/>
        <w:t>más</w:t>
      </w:r>
      <w:r>
        <w:rPr>
          <w:spacing w:val="-9"/>
        </w:rPr>
        <w:t> </w:t>
      </w:r>
      <w:r>
        <w:rPr/>
        <w:t>alto</w:t>
      </w:r>
      <w:r>
        <w:rPr>
          <w:spacing w:val="-11"/>
        </w:rPr>
        <w:t> </w:t>
      </w:r>
      <w:r>
        <w:rPr/>
        <w:t>el</w:t>
      </w:r>
      <w:r>
        <w:rPr>
          <w:spacing w:val="-10"/>
        </w:rPr>
        <w:t> </w:t>
      </w:r>
      <w:r>
        <w:rPr/>
        <w:t>tratamiento</w:t>
      </w:r>
      <w:r>
        <w:rPr>
          <w:spacing w:val="-10"/>
        </w:rPr>
        <w:t> </w:t>
      </w:r>
      <w:r>
        <w:rPr/>
        <w:t>0</w:t>
      </w:r>
      <w:r>
        <w:rPr>
          <w:spacing w:val="-11"/>
        </w:rPr>
        <w:t> </w:t>
      </w:r>
      <w:r>
        <w:rPr/>
        <w:t>(Testigo).</w:t>
      </w:r>
      <w:r>
        <w:rPr>
          <w:spacing w:val="-6"/>
        </w:rPr>
        <w:t> </w:t>
      </w:r>
      <w:r>
        <w:rPr/>
        <w:t>En</w:t>
      </w:r>
      <w:r>
        <w:rPr>
          <w:spacing w:val="-9"/>
        </w:rPr>
        <w:t> </w:t>
      </w:r>
      <w:r>
        <w:rPr/>
        <w:t>el</w:t>
      </w:r>
      <w:r>
        <w:rPr>
          <w:spacing w:val="-8"/>
        </w:rPr>
        <w:t> </w:t>
      </w:r>
      <w:r>
        <w:rPr/>
        <w:t>presente</w:t>
      </w:r>
      <w:r>
        <w:rPr>
          <w:spacing w:val="-9"/>
        </w:rPr>
        <w:t> </w:t>
      </w:r>
      <w:r>
        <w:rPr/>
        <w:t>trabajo</w:t>
      </w:r>
      <w:r>
        <w:rPr>
          <w:spacing w:val="-8"/>
        </w:rPr>
        <w:t> </w:t>
      </w:r>
      <w:r>
        <w:rPr/>
        <w:t>fue</w:t>
      </w:r>
      <w:r>
        <w:rPr>
          <w:spacing w:val="-10"/>
        </w:rPr>
        <w:t> </w:t>
      </w:r>
      <w:r>
        <w:rPr/>
        <w:t>notable</w:t>
      </w:r>
      <w:r>
        <w:rPr>
          <w:spacing w:val="-11"/>
        </w:rPr>
        <w:t> </w:t>
      </w:r>
      <w:r>
        <w:rPr/>
        <w:t>que para ambos tratamientos se evidenció que los valores fueron probablemente similares. Se puede concluir que la respuesta inflamatoria sistémica generada por el descorne no varió significativamente con respecto a los protocolos analgésicos.</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46"/>
        <w:jc w:val="both"/>
      </w:pPr>
      <w:r>
        <w:rPr/>
        <w:t>Sin embargo, el tratamiento 2 (Bupivacaina Tamponada + Flunixin Meglumine) presenta</w:t>
      </w:r>
      <w:r>
        <w:rPr>
          <w:spacing w:val="-11"/>
        </w:rPr>
        <w:t> </w:t>
      </w:r>
      <w:r>
        <w:rPr/>
        <w:t>un</w:t>
      </w:r>
      <w:r>
        <w:rPr>
          <w:spacing w:val="-11"/>
        </w:rPr>
        <w:t> </w:t>
      </w:r>
      <w:r>
        <w:rPr/>
        <w:t>valor</w:t>
      </w:r>
      <w:r>
        <w:rPr>
          <w:spacing w:val="-11"/>
        </w:rPr>
        <w:t> </w:t>
      </w:r>
      <w:r>
        <w:rPr/>
        <w:t>promedio</w:t>
      </w:r>
      <w:r>
        <w:rPr>
          <w:spacing w:val="-10"/>
        </w:rPr>
        <w:t> </w:t>
      </w:r>
      <w:r>
        <w:rPr/>
        <w:t>más</w:t>
      </w:r>
      <w:r>
        <w:rPr>
          <w:spacing w:val="-11"/>
        </w:rPr>
        <w:t> </w:t>
      </w:r>
      <w:r>
        <w:rPr/>
        <w:t>bajo</w:t>
      </w:r>
      <w:r>
        <w:rPr>
          <w:spacing w:val="-10"/>
        </w:rPr>
        <w:t> </w:t>
      </w:r>
      <w:r>
        <w:rPr/>
        <w:t>que</w:t>
      </w:r>
      <w:r>
        <w:rPr>
          <w:spacing w:val="-12"/>
        </w:rPr>
        <w:t> </w:t>
      </w:r>
      <w:r>
        <w:rPr/>
        <w:t>los</w:t>
      </w:r>
      <w:r>
        <w:rPr>
          <w:spacing w:val="-12"/>
        </w:rPr>
        <w:t> </w:t>
      </w:r>
      <w:r>
        <w:rPr/>
        <w:t>demás,</w:t>
      </w:r>
      <w:r>
        <w:rPr>
          <w:spacing w:val="-11"/>
        </w:rPr>
        <w:t> </w:t>
      </w:r>
      <w:r>
        <w:rPr/>
        <w:t>se</w:t>
      </w:r>
      <w:r>
        <w:rPr>
          <w:spacing w:val="-11"/>
        </w:rPr>
        <w:t> </w:t>
      </w:r>
      <w:r>
        <w:rPr/>
        <w:t>sospecha</w:t>
      </w:r>
      <w:r>
        <w:rPr>
          <w:spacing w:val="-12"/>
        </w:rPr>
        <w:t> </w:t>
      </w:r>
      <w:r>
        <w:rPr/>
        <w:t>que</w:t>
      </w:r>
      <w:r>
        <w:rPr>
          <w:spacing w:val="-12"/>
        </w:rPr>
        <w:t> </w:t>
      </w:r>
      <w:r>
        <w:rPr/>
        <w:t>podría</w:t>
      </w:r>
      <w:r>
        <w:rPr>
          <w:spacing w:val="-12"/>
        </w:rPr>
        <w:t> </w:t>
      </w:r>
      <w:r>
        <w:rPr/>
        <w:t>ser</w:t>
      </w:r>
      <w:r>
        <w:rPr>
          <w:spacing w:val="-11"/>
        </w:rPr>
        <w:t> </w:t>
      </w:r>
      <w:r>
        <w:rPr/>
        <w:t>una leve disminución en la respuesta inflamatoria. Según Winder et al., (2020) señala que procedimientos que se le realicen al bovino, como el descorne, posiblemente se generen respuestas inflamatorias relacionadas con dolor y daño tisular, sin embargo, tal respuesta tardará o no más tiempo dependiendo del tratamiento analgésico realizado durante el procedimiento.</w:t>
      </w:r>
    </w:p>
    <w:p>
      <w:pPr>
        <w:pStyle w:val="BodyText"/>
        <w:spacing w:line="360" w:lineRule="auto" w:before="240"/>
        <w:ind w:right="848"/>
        <w:jc w:val="both"/>
      </w:pPr>
      <w:r>
        <w:rPr/>
        <w:t>Lo que se ha señalado previamente, permite suponer que el escaso o nulo cambio de los valores entre los tratamientos, posiblemente se deba, a que la PCR, se relaciona a la respuesta inflamatoria sistémica, que genera</w:t>
      </w:r>
      <w:r>
        <w:rPr>
          <w:spacing w:val="-1"/>
        </w:rPr>
        <w:t> </w:t>
      </w:r>
      <w:r>
        <w:rPr/>
        <w:t>el organismo y</w:t>
      </w:r>
      <w:r>
        <w:rPr>
          <w:spacing w:val="-1"/>
        </w:rPr>
        <w:t> </w:t>
      </w:r>
      <w:r>
        <w:rPr/>
        <w:t>a través del,</w:t>
      </w:r>
      <w:r>
        <w:rPr>
          <w:spacing w:val="-12"/>
        </w:rPr>
        <w:t> </w:t>
      </w:r>
      <w:r>
        <w:rPr/>
        <w:t>proceso</w:t>
      </w:r>
      <w:r>
        <w:rPr>
          <w:spacing w:val="-12"/>
        </w:rPr>
        <w:t> </w:t>
      </w:r>
      <w:r>
        <w:rPr/>
        <w:t>analgésico.</w:t>
      </w:r>
      <w:r>
        <w:rPr>
          <w:spacing w:val="-13"/>
        </w:rPr>
        <w:t> </w:t>
      </w:r>
      <w:r>
        <w:rPr/>
        <w:t>En</w:t>
      </w:r>
      <w:r>
        <w:rPr>
          <w:spacing w:val="-13"/>
        </w:rPr>
        <w:t> </w:t>
      </w:r>
      <w:r>
        <w:rPr/>
        <w:t>comparación</w:t>
      </w:r>
      <w:r>
        <w:rPr>
          <w:spacing w:val="-12"/>
        </w:rPr>
        <w:t> </w:t>
      </w:r>
      <w:r>
        <w:rPr/>
        <w:t>con</w:t>
      </w:r>
      <w:r>
        <w:rPr>
          <w:spacing w:val="-13"/>
        </w:rPr>
        <w:t> </w:t>
      </w:r>
      <w:r>
        <w:rPr/>
        <w:t>las</w:t>
      </w:r>
      <w:r>
        <w:rPr>
          <w:spacing w:val="-13"/>
        </w:rPr>
        <w:t> </w:t>
      </w:r>
      <w:r>
        <w:rPr/>
        <w:t>variables</w:t>
      </w:r>
      <w:r>
        <w:rPr>
          <w:spacing w:val="-12"/>
        </w:rPr>
        <w:t> </w:t>
      </w:r>
      <w:r>
        <w:rPr/>
        <w:t>fisiológicas</w:t>
      </w:r>
      <w:r>
        <w:rPr>
          <w:spacing w:val="-12"/>
        </w:rPr>
        <w:t> </w:t>
      </w:r>
      <w:r>
        <w:rPr/>
        <w:t>medidas</w:t>
      </w:r>
      <w:r>
        <w:rPr>
          <w:spacing w:val="-12"/>
        </w:rPr>
        <w:t> </w:t>
      </w:r>
      <w:r>
        <w:rPr/>
        <w:t>con anterioridad (frecuencia cardiaca, respiratoria y temperatura) la PCR no presentó diferencias</w:t>
      </w:r>
      <w:r>
        <w:rPr>
          <w:spacing w:val="-9"/>
        </w:rPr>
        <w:t> </w:t>
      </w:r>
      <w:r>
        <w:rPr/>
        <w:t>entre</w:t>
      </w:r>
      <w:r>
        <w:rPr>
          <w:spacing w:val="-9"/>
        </w:rPr>
        <w:t> </w:t>
      </w:r>
      <w:r>
        <w:rPr/>
        <w:t>tratamientos</w:t>
      </w:r>
      <w:r>
        <w:rPr>
          <w:spacing w:val="-8"/>
        </w:rPr>
        <w:t> </w:t>
      </w:r>
      <w:r>
        <w:rPr/>
        <w:t>por</w:t>
      </w:r>
      <w:r>
        <w:rPr>
          <w:spacing w:val="-9"/>
        </w:rPr>
        <w:t> </w:t>
      </w:r>
      <w:r>
        <w:rPr/>
        <w:t>lo</w:t>
      </w:r>
      <w:r>
        <w:rPr>
          <w:spacing w:val="-8"/>
        </w:rPr>
        <w:t> </w:t>
      </w:r>
      <w:r>
        <w:rPr/>
        <w:t>que</w:t>
      </w:r>
      <w:r>
        <w:rPr>
          <w:spacing w:val="-7"/>
        </w:rPr>
        <w:t> </w:t>
      </w:r>
      <w:r>
        <w:rPr/>
        <w:t>el</w:t>
      </w:r>
      <w:r>
        <w:rPr>
          <w:spacing w:val="-8"/>
        </w:rPr>
        <w:t> </w:t>
      </w:r>
      <w:r>
        <w:rPr/>
        <w:t>protocolo</w:t>
      </w:r>
      <w:r>
        <w:rPr>
          <w:spacing w:val="-8"/>
        </w:rPr>
        <w:t> </w:t>
      </w:r>
      <w:r>
        <w:rPr/>
        <w:t>analgésico</w:t>
      </w:r>
      <w:r>
        <w:rPr>
          <w:spacing w:val="-6"/>
        </w:rPr>
        <w:t> </w:t>
      </w:r>
      <w:r>
        <w:rPr/>
        <w:t>aplicado</w:t>
      </w:r>
      <w:r>
        <w:rPr>
          <w:spacing w:val="-8"/>
        </w:rPr>
        <w:t> </w:t>
      </w:r>
      <w:r>
        <w:rPr/>
        <w:t>no</w:t>
      </w:r>
      <w:r>
        <w:rPr>
          <w:spacing w:val="-6"/>
        </w:rPr>
        <w:t> </w:t>
      </w:r>
      <w:r>
        <w:rPr/>
        <w:t>afectó la inflamación sistémica luego del descorne.</w:t>
      </w:r>
    </w:p>
    <w:p>
      <w:pPr>
        <w:pStyle w:val="BodyText"/>
        <w:spacing w:line="360" w:lineRule="auto" w:before="242"/>
        <w:ind w:right="843"/>
        <w:jc w:val="both"/>
        <w:rPr>
          <w:rFonts w:ascii="Cambria Math" w:hAnsi="Cambria Math" w:eastAsia="Cambria Math"/>
        </w:rPr>
      </w:pPr>
      <w:r>
        <w:rPr/>
        <w:t>A continuación, se presenta la tabla 12, donde el análisis de varianza (ANOVA) para los niveles plasmáticos de Proteína C Reactiva (PCR) evaluados a los 3 días post-descorne</w:t>
      </w:r>
      <w:r>
        <w:rPr>
          <w:spacing w:val="16"/>
        </w:rPr>
        <w:t> </w:t>
      </w:r>
      <w:r>
        <w:rPr/>
        <w:t>determinó</w:t>
      </w:r>
      <w:r>
        <w:rPr>
          <w:spacing w:val="17"/>
        </w:rPr>
        <w:t> </w:t>
      </w:r>
      <w:r>
        <w:rPr/>
        <w:t>un</w:t>
      </w:r>
      <w:r>
        <w:rPr>
          <w:spacing w:val="16"/>
        </w:rPr>
        <w:t> </w:t>
      </w:r>
      <w:r>
        <w:rPr/>
        <w:t>valor</w:t>
      </w:r>
      <w:r>
        <w:rPr>
          <w:spacing w:val="15"/>
        </w:rPr>
        <w:t> </w:t>
      </w:r>
      <w:r>
        <w:rPr/>
        <w:t>de</w:t>
      </w:r>
      <w:r>
        <w:rPr>
          <w:spacing w:val="21"/>
        </w:rPr>
        <w:t> </w:t>
      </w:r>
      <w:r>
        <w:rPr>
          <w:rFonts w:ascii="Cambria Math" w:hAnsi="Cambria Math" w:eastAsia="Cambria Math"/>
        </w:rPr>
        <w:t>𝐹</w:t>
      </w:r>
      <w:r>
        <w:rPr>
          <w:rFonts w:ascii="Cambria Math" w:hAnsi="Cambria Math" w:eastAsia="Cambria Math"/>
          <w:spacing w:val="20"/>
        </w:rPr>
        <w:t> </w:t>
      </w:r>
      <w:r>
        <w:rPr>
          <w:rFonts w:ascii="Cambria Math" w:hAnsi="Cambria Math" w:eastAsia="Cambria Math"/>
        </w:rPr>
        <w:t>=</w:t>
      </w:r>
      <w:r>
        <w:rPr>
          <w:rFonts w:ascii="Cambria Math" w:hAnsi="Cambria Math" w:eastAsia="Cambria Math"/>
          <w:spacing w:val="15"/>
        </w:rPr>
        <w:t> </w:t>
      </w:r>
      <w:r>
        <w:rPr>
          <w:rFonts w:ascii="Cambria Math" w:hAnsi="Cambria Math" w:eastAsia="Cambria Math"/>
        </w:rPr>
        <w:t>2.42</w:t>
      </w:r>
      <w:r>
        <w:rPr>
          <w:rFonts w:ascii="Cambria Math" w:hAnsi="Cambria Math" w:eastAsia="Cambria Math"/>
          <w:spacing w:val="24"/>
        </w:rPr>
        <w:t> </w:t>
      </w:r>
      <w:r>
        <w:rPr/>
        <w:t>con</w:t>
      </w:r>
      <w:r>
        <w:rPr>
          <w:spacing w:val="15"/>
        </w:rPr>
        <w:t> </w:t>
      </w:r>
      <w:r>
        <w:rPr/>
        <w:t>un</w:t>
      </w:r>
      <w:r>
        <w:rPr>
          <w:spacing w:val="16"/>
        </w:rPr>
        <w:t> </w:t>
      </w:r>
      <w:r>
        <w:rPr/>
        <w:t>valor</w:t>
      </w:r>
      <w:r>
        <w:rPr>
          <w:spacing w:val="14"/>
        </w:rPr>
        <w:t> </w:t>
      </w:r>
      <w:r>
        <w:rPr/>
        <w:t>de</w:t>
      </w:r>
      <w:r>
        <w:rPr>
          <w:spacing w:val="15"/>
        </w:rPr>
        <w:t> </w:t>
      </w:r>
      <w:r>
        <w:rPr/>
        <w:t>probabilidad</w:t>
      </w:r>
      <w:r>
        <w:rPr>
          <w:spacing w:val="20"/>
        </w:rPr>
        <w:t> </w:t>
      </w:r>
      <w:r>
        <w:rPr>
          <w:rFonts w:ascii="Cambria Math" w:hAnsi="Cambria Math" w:eastAsia="Cambria Math"/>
        </w:rPr>
        <w:t>𝑝</w:t>
      </w:r>
      <w:r>
        <w:rPr>
          <w:rFonts w:ascii="Cambria Math" w:hAnsi="Cambria Math" w:eastAsia="Cambria Math"/>
          <w:spacing w:val="17"/>
        </w:rPr>
        <w:t> </w:t>
      </w:r>
      <w:r>
        <w:rPr>
          <w:rFonts w:ascii="Cambria Math" w:hAnsi="Cambria Math" w:eastAsia="Cambria Math"/>
          <w:spacing w:val="-10"/>
        </w:rPr>
        <w:t>=</w:t>
      </w:r>
    </w:p>
    <w:p>
      <w:pPr>
        <w:pStyle w:val="BodyText"/>
        <w:spacing w:line="360" w:lineRule="auto"/>
        <w:ind w:right="845"/>
        <w:jc w:val="both"/>
      </w:pPr>
      <w:r>
        <w:rPr>
          <w:rFonts w:ascii="Cambria Math" w:hAnsi="Cambria Math" w:eastAsia="Cambria Math"/>
        </w:rPr>
        <w:t>0.12</w:t>
      </w:r>
      <w:r>
        <w:rPr/>
        <w:t>. Al ser el valor de </w:t>
      </w:r>
      <w:r>
        <w:rPr>
          <w:rFonts w:ascii="Cambria Math" w:hAnsi="Cambria Math" w:eastAsia="Cambria Math"/>
        </w:rPr>
        <w:t>𝑝 </w:t>
      </w:r>
      <w:r>
        <w:rPr/>
        <w:t>superior al nivel de significancia alfa establecido (</w:t>
      </w:r>
      <w:r>
        <w:rPr>
          <w:rFonts w:ascii="Cambria Math" w:hAnsi="Cambria Math" w:eastAsia="Cambria Math"/>
        </w:rPr>
        <w:t>𝑝 &gt; 0.05</w:t>
      </w:r>
      <w:r>
        <w:rPr/>
        <w:t>), no se encontraron diferencias estadísticamente significativas entre los distintos tratamientos analgésicos evaluados.</w:t>
      </w:r>
    </w:p>
    <w:p>
      <w:pPr>
        <w:pStyle w:val="Heading3"/>
        <w:spacing w:before="240"/>
        <w:jc w:val="both"/>
      </w:pPr>
      <w:bookmarkStart w:name="_bookmark59" w:id="60"/>
      <w:bookmarkEnd w:id="60"/>
      <w:r>
        <w:rPr>
          <w:b w:val="0"/>
          <w:i w:val="0"/>
        </w:rPr>
      </w:r>
      <w:r>
        <w:rPr/>
        <w:t>Tabla </w:t>
      </w:r>
      <w:r>
        <w:rPr>
          <w:spacing w:val="-5"/>
        </w:rPr>
        <w:t>12</w:t>
      </w:r>
    </w:p>
    <w:p>
      <w:pPr>
        <w:spacing w:before="137"/>
        <w:ind w:left="1135" w:right="0" w:firstLine="0"/>
        <w:jc w:val="both"/>
        <w:rPr>
          <w:i/>
          <w:sz w:val="24"/>
        </w:rPr>
      </w:pPr>
      <w:r>
        <w:rPr>
          <w:i/>
          <w:sz w:val="24"/>
        </w:rPr>
        <w:t>ANOVA</w:t>
      </w:r>
      <w:r>
        <w:rPr>
          <w:i/>
          <w:spacing w:val="-1"/>
          <w:sz w:val="24"/>
        </w:rPr>
        <w:t> </w:t>
      </w:r>
      <w:r>
        <w:rPr>
          <w:i/>
          <w:sz w:val="24"/>
        </w:rPr>
        <w:t>– Proteína C </w:t>
      </w:r>
      <w:r>
        <w:rPr>
          <w:i/>
          <w:spacing w:val="-2"/>
          <w:sz w:val="24"/>
        </w:rPr>
        <w:t>Reactiva</w:t>
      </w:r>
    </w:p>
    <w:p>
      <w:pPr>
        <w:pStyle w:val="BodyText"/>
        <w:spacing w:before="10"/>
        <w:ind w:left="0"/>
        <w:rPr>
          <w:i/>
          <w:sz w:val="14"/>
        </w:rPr>
      </w:pPr>
    </w:p>
    <w:tbl>
      <w:tblPr>
        <w:tblW w:w="0" w:type="auto"/>
        <w:jc w:val="left"/>
        <w:tblInd w:w="1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98"/>
        <w:gridCol w:w="971"/>
        <w:gridCol w:w="428"/>
        <w:gridCol w:w="728"/>
        <w:gridCol w:w="656"/>
        <w:gridCol w:w="2749"/>
      </w:tblGrid>
      <w:tr>
        <w:trPr>
          <w:trHeight w:val="302" w:hRule="atLeast"/>
        </w:trPr>
        <w:tc>
          <w:tcPr>
            <w:tcW w:w="2398" w:type="dxa"/>
            <w:tcBorders>
              <w:top w:val="single" w:sz="4" w:space="0" w:color="000000"/>
              <w:bottom w:val="single" w:sz="4" w:space="0" w:color="000000"/>
            </w:tcBorders>
          </w:tcPr>
          <w:p>
            <w:pPr>
              <w:pStyle w:val="TableParagraph"/>
              <w:spacing w:line="272" w:lineRule="exact" w:before="11"/>
              <w:ind w:left="45"/>
              <w:rPr>
                <w:sz w:val="24"/>
              </w:rPr>
            </w:pPr>
            <w:r>
              <w:rPr>
                <w:sz w:val="24"/>
              </w:rPr>
              <w:t>Fuente</w:t>
            </w:r>
            <w:r>
              <w:rPr>
                <w:spacing w:val="-1"/>
                <w:sz w:val="24"/>
              </w:rPr>
              <w:t> </w:t>
            </w:r>
            <w:r>
              <w:rPr>
                <w:sz w:val="24"/>
              </w:rPr>
              <w:t>de</w:t>
            </w:r>
            <w:r>
              <w:rPr>
                <w:spacing w:val="-2"/>
                <w:sz w:val="24"/>
              </w:rPr>
              <w:t> variación</w:t>
            </w:r>
          </w:p>
        </w:tc>
        <w:tc>
          <w:tcPr>
            <w:tcW w:w="971" w:type="dxa"/>
            <w:tcBorders>
              <w:top w:val="single" w:sz="4" w:space="0" w:color="000000"/>
              <w:bottom w:val="single" w:sz="4" w:space="0" w:color="000000"/>
            </w:tcBorders>
          </w:tcPr>
          <w:p>
            <w:pPr>
              <w:pStyle w:val="TableParagraph"/>
              <w:spacing w:line="272" w:lineRule="exact" w:before="11"/>
              <w:ind w:right="210"/>
              <w:jc w:val="right"/>
              <w:rPr>
                <w:sz w:val="24"/>
              </w:rPr>
            </w:pPr>
            <w:r>
              <w:rPr>
                <w:spacing w:val="-5"/>
                <w:sz w:val="24"/>
              </w:rPr>
              <w:t>SC</w:t>
            </w:r>
          </w:p>
        </w:tc>
        <w:tc>
          <w:tcPr>
            <w:tcW w:w="428" w:type="dxa"/>
            <w:tcBorders>
              <w:top w:val="single" w:sz="4" w:space="0" w:color="000000"/>
              <w:bottom w:val="single" w:sz="4" w:space="0" w:color="000000"/>
            </w:tcBorders>
          </w:tcPr>
          <w:p>
            <w:pPr>
              <w:pStyle w:val="TableParagraph"/>
              <w:spacing w:line="272" w:lineRule="exact" w:before="11"/>
              <w:ind w:left="69" w:right="68"/>
              <w:jc w:val="center"/>
              <w:rPr>
                <w:sz w:val="24"/>
              </w:rPr>
            </w:pPr>
            <w:r>
              <w:rPr>
                <w:spacing w:val="-5"/>
                <w:sz w:val="24"/>
              </w:rPr>
              <w:t>gl</w:t>
            </w:r>
          </w:p>
        </w:tc>
        <w:tc>
          <w:tcPr>
            <w:tcW w:w="728" w:type="dxa"/>
            <w:tcBorders>
              <w:top w:val="single" w:sz="4" w:space="0" w:color="000000"/>
              <w:bottom w:val="single" w:sz="4" w:space="0" w:color="000000"/>
            </w:tcBorders>
          </w:tcPr>
          <w:p>
            <w:pPr>
              <w:pStyle w:val="TableParagraph"/>
              <w:spacing w:line="272" w:lineRule="exact" w:before="11"/>
              <w:ind w:left="87"/>
              <w:rPr>
                <w:sz w:val="24"/>
              </w:rPr>
            </w:pPr>
            <w:r>
              <w:rPr>
                <w:spacing w:val="-5"/>
                <w:sz w:val="24"/>
              </w:rPr>
              <w:t>CM</w:t>
            </w:r>
          </w:p>
        </w:tc>
        <w:tc>
          <w:tcPr>
            <w:tcW w:w="656" w:type="dxa"/>
            <w:tcBorders>
              <w:top w:val="single" w:sz="4" w:space="0" w:color="000000"/>
              <w:bottom w:val="single" w:sz="4" w:space="0" w:color="000000"/>
            </w:tcBorders>
          </w:tcPr>
          <w:p>
            <w:pPr>
              <w:pStyle w:val="TableParagraph"/>
              <w:spacing w:line="272" w:lineRule="exact" w:before="11"/>
              <w:ind w:left="148"/>
              <w:rPr>
                <w:sz w:val="24"/>
              </w:rPr>
            </w:pPr>
            <w:r>
              <w:rPr>
                <w:spacing w:val="-10"/>
                <w:sz w:val="24"/>
              </w:rPr>
              <w:t>F</w:t>
            </w:r>
          </w:p>
        </w:tc>
        <w:tc>
          <w:tcPr>
            <w:tcW w:w="2749" w:type="dxa"/>
            <w:tcBorders>
              <w:top w:val="single" w:sz="4" w:space="0" w:color="000000"/>
              <w:bottom w:val="single" w:sz="4" w:space="0" w:color="000000"/>
            </w:tcBorders>
          </w:tcPr>
          <w:p>
            <w:pPr>
              <w:pStyle w:val="TableParagraph"/>
              <w:spacing w:line="272" w:lineRule="exact" w:before="11"/>
              <w:ind w:left="126"/>
              <w:rPr>
                <w:sz w:val="24"/>
              </w:rPr>
            </w:pPr>
            <w:r>
              <w:rPr>
                <w:spacing w:val="-10"/>
                <w:sz w:val="24"/>
              </w:rPr>
              <w:t>P</w:t>
            </w:r>
          </w:p>
        </w:tc>
      </w:tr>
      <w:tr>
        <w:trPr>
          <w:trHeight w:val="333" w:hRule="atLeast"/>
        </w:trPr>
        <w:tc>
          <w:tcPr>
            <w:tcW w:w="2398" w:type="dxa"/>
            <w:tcBorders>
              <w:top w:val="single" w:sz="4" w:space="0" w:color="000000"/>
            </w:tcBorders>
          </w:tcPr>
          <w:p>
            <w:pPr>
              <w:pStyle w:val="TableParagraph"/>
              <w:spacing w:before="46"/>
              <w:ind w:left="45"/>
              <w:rPr>
                <w:sz w:val="22"/>
              </w:rPr>
            </w:pPr>
            <w:r>
              <w:rPr>
                <w:spacing w:val="-2"/>
                <w:sz w:val="22"/>
              </w:rPr>
              <w:t>Tratamientos</w:t>
            </w:r>
          </w:p>
        </w:tc>
        <w:tc>
          <w:tcPr>
            <w:tcW w:w="971" w:type="dxa"/>
            <w:tcBorders>
              <w:top w:val="single" w:sz="4" w:space="0" w:color="000000"/>
            </w:tcBorders>
          </w:tcPr>
          <w:p>
            <w:pPr>
              <w:pStyle w:val="TableParagraph"/>
              <w:spacing w:before="46"/>
              <w:ind w:right="119"/>
              <w:jc w:val="right"/>
              <w:rPr>
                <w:sz w:val="22"/>
              </w:rPr>
            </w:pPr>
            <w:r>
              <w:rPr>
                <w:spacing w:val="-4"/>
                <w:sz w:val="22"/>
              </w:rPr>
              <w:t>0.34</w:t>
            </w:r>
          </w:p>
        </w:tc>
        <w:tc>
          <w:tcPr>
            <w:tcW w:w="428" w:type="dxa"/>
            <w:tcBorders>
              <w:top w:val="single" w:sz="4" w:space="0" w:color="000000"/>
            </w:tcBorders>
          </w:tcPr>
          <w:p>
            <w:pPr>
              <w:pStyle w:val="TableParagraph"/>
              <w:spacing w:before="46"/>
              <w:ind w:right="68"/>
              <w:jc w:val="center"/>
              <w:rPr>
                <w:sz w:val="22"/>
              </w:rPr>
            </w:pPr>
            <w:r>
              <w:rPr>
                <w:spacing w:val="-10"/>
                <w:sz w:val="22"/>
              </w:rPr>
              <w:t>3</w:t>
            </w:r>
          </w:p>
        </w:tc>
        <w:tc>
          <w:tcPr>
            <w:tcW w:w="728" w:type="dxa"/>
            <w:tcBorders>
              <w:top w:val="single" w:sz="4" w:space="0" w:color="000000"/>
            </w:tcBorders>
          </w:tcPr>
          <w:p>
            <w:pPr>
              <w:pStyle w:val="TableParagraph"/>
              <w:spacing w:before="46"/>
              <w:ind w:left="87"/>
              <w:rPr>
                <w:sz w:val="22"/>
              </w:rPr>
            </w:pPr>
            <w:r>
              <w:rPr>
                <w:spacing w:val="-2"/>
                <w:sz w:val="22"/>
              </w:rPr>
              <w:t>0.113</w:t>
            </w:r>
          </w:p>
        </w:tc>
        <w:tc>
          <w:tcPr>
            <w:tcW w:w="656" w:type="dxa"/>
            <w:tcBorders>
              <w:top w:val="single" w:sz="4" w:space="0" w:color="000000"/>
            </w:tcBorders>
          </w:tcPr>
          <w:p>
            <w:pPr>
              <w:pStyle w:val="TableParagraph"/>
              <w:spacing w:before="46"/>
              <w:ind w:left="148"/>
              <w:rPr>
                <w:sz w:val="22"/>
              </w:rPr>
            </w:pPr>
            <w:r>
              <w:rPr>
                <w:spacing w:val="-4"/>
                <w:sz w:val="22"/>
              </w:rPr>
              <w:t>2.42</w:t>
            </w:r>
          </w:p>
        </w:tc>
        <w:tc>
          <w:tcPr>
            <w:tcW w:w="2749" w:type="dxa"/>
            <w:tcBorders>
              <w:top w:val="single" w:sz="4" w:space="0" w:color="000000"/>
            </w:tcBorders>
          </w:tcPr>
          <w:p>
            <w:pPr>
              <w:pStyle w:val="TableParagraph"/>
              <w:spacing w:before="46"/>
              <w:ind w:left="126"/>
              <w:rPr>
                <w:sz w:val="22"/>
              </w:rPr>
            </w:pPr>
            <w:r>
              <w:rPr>
                <w:spacing w:val="-4"/>
                <w:sz w:val="22"/>
              </w:rPr>
              <w:t>0.12</w:t>
            </w:r>
          </w:p>
        </w:tc>
      </w:tr>
      <w:tr>
        <w:trPr>
          <w:trHeight w:val="311" w:hRule="atLeast"/>
        </w:trPr>
        <w:tc>
          <w:tcPr>
            <w:tcW w:w="2398" w:type="dxa"/>
          </w:tcPr>
          <w:p>
            <w:pPr>
              <w:pStyle w:val="TableParagraph"/>
              <w:spacing w:before="25"/>
              <w:ind w:left="45"/>
              <w:rPr>
                <w:sz w:val="22"/>
              </w:rPr>
            </w:pPr>
            <w:r>
              <w:rPr>
                <w:spacing w:val="-2"/>
                <w:sz w:val="22"/>
              </w:rPr>
              <w:t>Error</w:t>
            </w:r>
          </w:p>
        </w:tc>
        <w:tc>
          <w:tcPr>
            <w:tcW w:w="971" w:type="dxa"/>
          </w:tcPr>
          <w:p>
            <w:pPr>
              <w:pStyle w:val="TableParagraph"/>
              <w:spacing w:before="25"/>
              <w:ind w:right="119"/>
              <w:jc w:val="right"/>
              <w:rPr>
                <w:sz w:val="22"/>
              </w:rPr>
            </w:pPr>
            <w:r>
              <w:rPr>
                <w:spacing w:val="-4"/>
                <w:sz w:val="22"/>
              </w:rPr>
              <w:t>0.56</w:t>
            </w:r>
          </w:p>
        </w:tc>
        <w:tc>
          <w:tcPr>
            <w:tcW w:w="428" w:type="dxa"/>
          </w:tcPr>
          <w:p>
            <w:pPr>
              <w:pStyle w:val="TableParagraph"/>
              <w:spacing w:before="25"/>
              <w:ind w:left="40"/>
              <w:jc w:val="center"/>
              <w:rPr>
                <w:sz w:val="22"/>
              </w:rPr>
            </w:pPr>
            <w:r>
              <w:rPr>
                <w:spacing w:val="-5"/>
                <w:sz w:val="22"/>
              </w:rPr>
              <w:t>12</w:t>
            </w:r>
          </w:p>
        </w:tc>
        <w:tc>
          <w:tcPr>
            <w:tcW w:w="728" w:type="dxa"/>
          </w:tcPr>
          <w:p>
            <w:pPr>
              <w:pStyle w:val="TableParagraph"/>
              <w:spacing w:before="25"/>
              <w:ind w:left="87"/>
              <w:rPr>
                <w:sz w:val="22"/>
              </w:rPr>
            </w:pPr>
            <w:r>
              <w:rPr>
                <w:spacing w:val="-2"/>
                <w:sz w:val="22"/>
              </w:rPr>
              <w:t>0.046</w:t>
            </w:r>
          </w:p>
        </w:tc>
        <w:tc>
          <w:tcPr>
            <w:tcW w:w="656" w:type="dxa"/>
          </w:tcPr>
          <w:p>
            <w:pPr>
              <w:pStyle w:val="TableParagraph"/>
              <w:rPr>
                <w:sz w:val="22"/>
              </w:rPr>
            </w:pPr>
          </w:p>
        </w:tc>
        <w:tc>
          <w:tcPr>
            <w:tcW w:w="2749" w:type="dxa"/>
          </w:tcPr>
          <w:p>
            <w:pPr>
              <w:pStyle w:val="TableParagraph"/>
              <w:rPr>
                <w:sz w:val="22"/>
              </w:rPr>
            </w:pPr>
          </w:p>
        </w:tc>
      </w:tr>
      <w:tr>
        <w:trPr>
          <w:trHeight w:val="295" w:hRule="atLeast"/>
        </w:trPr>
        <w:tc>
          <w:tcPr>
            <w:tcW w:w="2398" w:type="dxa"/>
            <w:tcBorders>
              <w:bottom w:val="single" w:sz="4" w:space="0" w:color="000000"/>
            </w:tcBorders>
          </w:tcPr>
          <w:p>
            <w:pPr>
              <w:pStyle w:val="TableParagraph"/>
              <w:spacing w:line="250" w:lineRule="exact" w:before="25"/>
              <w:ind w:left="45"/>
              <w:rPr>
                <w:sz w:val="22"/>
              </w:rPr>
            </w:pPr>
            <w:r>
              <w:rPr>
                <w:spacing w:val="-2"/>
                <w:sz w:val="22"/>
              </w:rPr>
              <w:t>Total</w:t>
            </w:r>
          </w:p>
        </w:tc>
        <w:tc>
          <w:tcPr>
            <w:tcW w:w="971" w:type="dxa"/>
            <w:tcBorders>
              <w:bottom w:val="single" w:sz="4" w:space="0" w:color="000000"/>
            </w:tcBorders>
          </w:tcPr>
          <w:p>
            <w:pPr>
              <w:pStyle w:val="TableParagraph"/>
              <w:spacing w:line="250" w:lineRule="exact" w:before="25"/>
              <w:ind w:right="119"/>
              <w:jc w:val="right"/>
              <w:rPr>
                <w:sz w:val="22"/>
              </w:rPr>
            </w:pPr>
            <w:r>
              <w:rPr>
                <w:spacing w:val="-4"/>
                <w:sz w:val="22"/>
              </w:rPr>
              <w:t>0.90</w:t>
            </w:r>
          </w:p>
        </w:tc>
        <w:tc>
          <w:tcPr>
            <w:tcW w:w="428" w:type="dxa"/>
            <w:tcBorders>
              <w:bottom w:val="single" w:sz="4" w:space="0" w:color="000000"/>
            </w:tcBorders>
          </w:tcPr>
          <w:p>
            <w:pPr>
              <w:pStyle w:val="TableParagraph"/>
              <w:spacing w:line="250" w:lineRule="exact" w:before="25"/>
              <w:ind w:left="40"/>
              <w:jc w:val="center"/>
              <w:rPr>
                <w:sz w:val="22"/>
              </w:rPr>
            </w:pPr>
            <w:r>
              <w:rPr>
                <w:spacing w:val="-5"/>
                <w:sz w:val="22"/>
              </w:rPr>
              <w:t>15</w:t>
            </w:r>
          </w:p>
        </w:tc>
        <w:tc>
          <w:tcPr>
            <w:tcW w:w="728" w:type="dxa"/>
            <w:tcBorders>
              <w:bottom w:val="single" w:sz="4" w:space="0" w:color="000000"/>
            </w:tcBorders>
          </w:tcPr>
          <w:p>
            <w:pPr>
              <w:pStyle w:val="TableParagraph"/>
              <w:rPr>
                <w:sz w:val="22"/>
              </w:rPr>
            </w:pPr>
          </w:p>
        </w:tc>
        <w:tc>
          <w:tcPr>
            <w:tcW w:w="656" w:type="dxa"/>
            <w:tcBorders>
              <w:bottom w:val="single" w:sz="4" w:space="0" w:color="000000"/>
            </w:tcBorders>
          </w:tcPr>
          <w:p>
            <w:pPr>
              <w:pStyle w:val="TableParagraph"/>
              <w:rPr>
                <w:sz w:val="22"/>
              </w:rPr>
            </w:pPr>
          </w:p>
        </w:tc>
        <w:tc>
          <w:tcPr>
            <w:tcW w:w="2749" w:type="dxa"/>
            <w:tcBorders>
              <w:bottom w:val="single" w:sz="4" w:space="0" w:color="000000"/>
            </w:tcBorders>
          </w:tcPr>
          <w:p>
            <w:pPr>
              <w:pStyle w:val="TableParagraph"/>
              <w:rPr>
                <w:sz w:val="22"/>
              </w:rPr>
            </w:pPr>
          </w:p>
        </w:tc>
      </w:tr>
    </w:tbl>
    <w:p>
      <w:pPr>
        <w:pStyle w:val="BodyText"/>
        <w:spacing w:before="115"/>
        <w:ind w:left="0"/>
        <w:rPr>
          <w:i/>
        </w:rPr>
      </w:pPr>
    </w:p>
    <w:p>
      <w:pPr>
        <w:pStyle w:val="BodyText"/>
        <w:spacing w:line="360" w:lineRule="auto" w:before="1"/>
        <w:ind w:right="852"/>
        <w:jc w:val="both"/>
      </w:pPr>
      <w:r>
        <w:rPr/>
        <w:t>Nota: Abreviaturas: SC = Suma de Cuadrados; gl = Grados de Libertad; CM = Cuadrado Medio; F</w:t>
      </w:r>
      <w:r>
        <w:rPr>
          <w:spacing w:val="-2"/>
        </w:rPr>
        <w:t> </w:t>
      </w:r>
      <w:r>
        <w:rPr/>
        <w:t>= Valor</w:t>
      </w:r>
      <w:r>
        <w:rPr>
          <w:spacing w:val="-1"/>
        </w:rPr>
        <w:t> </w:t>
      </w:r>
      <w:r>
        <w:rPr/>
        <w:t>F</w:t>
      </w:r>
      <w:r>
        <w:rPr>
          <w:spacing w:val="-2"/>
        </w:rPr>
        <w:t> </w:t>
      </w:r>
      <w:r>
        <w:rPr/>
        <w:t>de</w:t>
      </w:r>
      <w:r>
        <w:rPr>
          <w:spacing w:val="-1"/>
        </w:rPr>
        <w:t> </w:t>
      </w:r>
      <w:r>
        <w:rPr/>
        <w:t>Snedecor;</w:t>
      </w:r>
      <w:r>
        <w:rPr>
          <w:spacing w:val="-1"/>
        </w:rPr>
        <w:t> </w:t>
      </w:r>
      <w:r>
        <w:rPr/>
        <w:t>p = Valor</w:t>
      </w:r>
      <w:r>
        <w:rPr>
          <w:spacing w:val="-1"/>
        </w:rPr>
        <w:t> </w:t>
      </w:r>
      <w:r>
        <w:rPr/>
        <w:t>p de probabilidad; NS =</w:t>
      </w:r>
      <w:r>
        <w:rPr>
          <w:spacing w:val="-1"/>
        </w:rPr>
        <w:t> </w:t>
      </w:r>
      <w:r>
        <w:rPr/>
        <w:t>No Significativo (</w:t>
      </w:r>
      <w:r>
        <w:rPr>
          <w:rFonts w:ascii="Cambria Math" w:eastAsia="Cambria Math"/>
        </w:rPr>
        <w:t>𝑝 &gt; 0.05</w:t>
      </w:r>
      <w:r>
        <w:rPr/>
        <w:t>).</w:t>
      </w:r>
    </w:p>
    <w:p>
      <w:pPr>
        <w:pStyle w:val="BodyText"/>
        <w:spacing w:after="0" w:line="360" w:lineRule="auto"/>
        <w:jc w:val="both"/>
        <w:sectPr>
          <w:pgSz w:w="11900" w:h="16860"/>
          <w:pgMar w:header="0" w:footer="1084" w:top="1620" w:bottom="1280" w:left="1133" w:right="850"/>
        </w:sectPr>
      </w:pPr>
    </w:p>
    <w:p>
      <w:pPr>
        <w:spacing w:line="240" w:lineRule="auto"/>
        <w:ind w:left="1135" w:right="0" w:firstLine="0"/>
        <w:rPr>
          <w:sz w:val="20"/>
        </w:rPr>
      </w:pPr>
      <w:r>
        <w:rPr>
          <w:sz w:val="20"/>
        </w:rPr>
        <w:drawing>
          <wp:inline distT="0" distB="0" distL="0" distR="0">
            <wp:extent cx="5032792" cy="2637663"/>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19" cstate="print"/>
                    <a:stretch>
                      <a:fillRect/>
                    </a:stretch>
                  </pic:blipFill>
                  <pic:spPr>
                    <a:xfrm>
                      <a:off x="0" y="0"/>
                      <a:ext cx="5032792" cy="2637663"/>
                    </a:xfrm>
                    <a:prstGeom prst="rect">
                      <a:avLst/>
                    </a:prstGeom>
                  </pic:spPr>
                </pic:pic>
              </a:graphicData>
            </a:graphic>
          </wp:inline>
        </w:drawing>
      </w:r>
      <w:r>
        <w:rPr>
          <w:sz w:val="20"/>
        </w:rPr>
      </w:r>
    </w:p>
    <w:p>
      <w:pPr>
        <w:pStyle w:val="BodyText"/>
        <w:spacing w:before="229"/>
        <w:ind w:left="0"/>
      </w:pPr>
    </w:p>
    <w:p>
      <w:pPr>
        <w:pStyle w:val="BodyText"/>
        <w:spacing w:line="360" w:lineRule="auto"/>
        <w:ind w:right="847"/>
        <w:jc w:val="both"/>
      </w:pPr>
      <w:r>
        <w:rPr/>
        <w:t>De acuerdo con el análisis de la varianza, esta proteína C reactiva (PCR), no presentan diferencias estadísticas significativas entre los tratamientos evaluados F=2.42; p=0.12. Esto indica que los diferentes protocolos analgésicos utilizados durante</w:t>
      </w:r>
      <w:r>
        <w:rPr>
          <w:spacing w:val="-10"/>
        </w:rPr>
        <w:t> </w:t>
      </w:r>
      <w:r>
        <w:rPr/>
        <w:t>el</w:t>
      </w:r>
      <w:r>
        <w:rPr>
          <w:spacing w:val="-9"/>
        </w:rPr>
        <w:t> </w:t>
      </w:r>
      <w:r>
        <w:rPr/>
        <w:t>descorne</w:t>
      </w:r>
      <w:r>
        <w:rPr>
          <w:spacing w:val="-10"/>
        </w:rPr>
        <w:t> </w:t>
      </w:r>
      <w:r>
        <w:rPr/>
        <w:t>no</w:t>
      </w:r>
      <w:r>
        <w:rPr>
          <w:spacing w:val="-9"/>
        </w:rPr>
        <w:t> </w:t>
      </w:r>
      <w:r>
        <w:rPr/>
        <w:t>provocaron</w:t>
      </w:r>
      <w:r>
        <w:rPr>
          <w:spacing w:val="-10"/>
        </w:rPr>
        <w:t> </w:t>
      </w:r>
      <w:r>
        <w:rPr/>
        <w:t>cambios</w:t>
      </w:r>
      <w:r>
        <w:rPr>
          <w:spacing w:val="-9"/>
        </w:rPr>
        <w:t> </w:t>
      </w:r>
      <w:r>
        <w:rPr/>
        <w:t>significativos</w:t>
      </w:r>
      <w:r>
        <w:rPr>
          <w:spacing w:val="-9"/>
        </w:rPr>
        <w:t> </w:t>
      </w:r>
      <w:r>
        <w:rPr/>
        <w:t>en</w:t>
      </w:r>
      <w:r>
        <w:rPr>
          <w:spacing w:val="-9"/>
        </w:rPr>
        <w:t> </w:t>
      </w:r>
      <w:r>
        <w:rPr/>
        <w:t>los</w:t>
      </w:r>
      <w:r>
        <w:rPr>
          <w:spacing w:val="-9"/>
        </w:rPr>
        <w:t> </w:t>
      </w:r>
      <w:r>
        <w:rPr/>
        <w:t>valores</w:t>
      </w:r>
      <w:r>
        <w:rPr>
          <w:spacing w:val="-9"/>
        </w:rPr>
        <w:t> </w:t>
      </w:r>
      <w:r>
        <w:rPr/>
        <w:t>de</w:t>
      </w:r>
      <w:r>
        <w:rPr>
          <w:spacing w:val="-10"/>
        </w:rPr>
        <w:t> </w:t>
      </w:r>
      <w:r>
        <w:rPr/>
        <w:t>PCR</w:t>
      </w:r>
      <w:r>
        <w:rPr>
          <w:spacing w:val="-9"/>
        </w:rPr>
        <w:t> </w:t>
      </w:r>
      <w:r>
        <w:rPr/>
        <w:t>de los terneros evaluados.</w:t>
      </w:r>
    </w:p>
    <w:p>
      <w:pPr>
        <w:pStyle w:val="BodyText"/>
        <w:spacing w:line="360" w:lineRule="auto" w:before="239"/>
        <w:ind w:right="847"/>
        <w:jc w:val="both"/>
      </w:pPr>
      <w:r>
        <w:rPr/>
        <w:t>La mayor parte de la variabilidad en los valores PCR se debe a la variación entre animales, como lo demuestra el cuadrado medio o la suma de cuadrados del error (0.56). Mientras que el efecto de los tratamientos fue bajo (0.34).</w:t>
      </w:r>
    </w:p>
    <w:p>
      <w:pPr>
        <w:pStyle w:val="BodyText"/>
        <w:spacing w:line="360" w:lineRule="auto" w:before="242"/>
        <w:ind w:right="849"/>
        <w:jc w:val="both"/>
      </w:pPr>
      <w:r>
        <w:rPr/>
        <w:t>Según Cho et al., (2024), la utilización de anestesia local en procedimientos quirúrgicos</w:t>
      </w:r>
      <w:r>
        <w:rPr>
          <w:spacing w:val="-15"/>
        </w:rPr>
        <w:t> </w:t>
      </w:r>
      <w:r>
        <w:rPr/>
        <w:t>de</w:t>
      </w:r>
      <w:r>
        <w:rPr>
          <w:spacing w:val="-15"/>
        </w:rPr>
        <w:t> </w:t>
      </w:r>
      <w:r>
        <w:rPr/>
        <w:t>bovinos</w:t>
      </w:r>
      <w:r>
        <w:rPr>
          <w:spacing w:val="-15"/>
        </w:rPr>
        <w:t> </w:t>
      </w:r>
      <w:r>
        <w:rPr/>
        <w:t>puede</w:t>
      </w:r>
      <w:r>
        <w:rPr>
          <w:spacing w:val="-15"/>
        </w:rPr>
        <w:t> </w:t>
      </w:r>
      <w:r>
        <w:rPr/>
        <w:t>estabilizar</w:t>
      </w:r>
      <w:r>
        <w:rPr>
          <w:spacing w:val="-15"/>
        </w:rPr>
        <w:t> </w:t>
      </w:r>
      <w:r>
        <w:rPr/>
        <w:t>las</w:t>
      </w:r>
      <w:r>
        <w:rPr>
          <w:spacing w:val="-15"/>
        </w:rPr>
        <w:t> </w:t>
      </w:r>
      <w:r>
        <w:rPr/>
        <w:t>respuestas</w:t>
      </w:r>
      <w:r>
        <w:rPr>
          <w:spacing w:val="-15"/>
        </w:rPr>
        <w:t> </w:t>
      </w:r>
      <w:r>
        <w:rPr/>
        <w:t>fisiológicas</w:t>
      </w:r>
      <w:r>
        <w:rPr>
          <w:spacing w:val="-15"/>
        </w:rPr>
        <w:t> </w:t>
      </w:r>
      <w:r>
        <w:rPr/>
        <w:t>al</w:t>
      </w:r>
      <w:r>
        <w:rPr>
          <w:spacing w:val="-15"/>
        </w:rPr>
        <w:t> </w:t>
      </w:r>
      <w:r>
        <w:rPr/>
        <w:t>dolor,</w:t>
      </w:r>
      <w:r>
        <w:rPr>
          <w:spacing w:val="-15"/>
        </w:rPr>
        <w:t> </w:t>
      </w:r>
      <w:r>
        <w:rPr/>
        <w:t>además de que la variación entre tratamientos se mantiene baja para algunos indicadores </w:t>
      </w:r>
      <w:r>
        <w:rPr>
          <w:spacing w:val="-2"/>
        </w:rPr>
        <w:t>biológicos.</w:t>
      </w:r>
    </w:p>
    <w:p>
      <w:pPr>
        <w:pStyle w:val="BodyText"/>
        <w:spacing w:line="360" w:lineRule="auto" w:before="240"/>
        <w:ind w:right="852"/>
        <w:jc w:val="both"/>
      </w:pPr>
      <w:r>
        <w:rPr/>
        <w:t>En el presente estudio, aunque los valores promedios de PCR fueron diferentes entre</w:t>
      </w:r>
      <w:r>
        <w:rPr>
          <w:spacing w:val="-9"/>
        </w:rPr>
        <w:t> </w:t>
      </w:r>
      <w:r>
        <w:rPr/>
        <w:t>tratamientos,</w:t>
      </w:r>
      <w:r>
        <w:rPr>
          <w:spacing w:val="-8"/>
        </w:rPr>
        <w:t> </w:t>
      </w:r>
      <w:r>
        <w:rPr/>
        <w:t>el</w:t>
      </w:r>
      <w:r>
        <w:rPr>
          <w:spacing w:val="-6"/>
        </w:rPr>
        <w:t> </w:t>
      </w:r>
      <w:r>
        <w:rPr/>
        <w:t>análisis</w:t>
      </w:r>
      <w:r>
        <w:rPr>
          <w:spacing w:val="-8"/>
        </w:rPr>
        <w:t> </w:t>
      </w:r>
      <w:r>
        <w:rPr/>
        <w:t>estadístico</w:t>
      </w:r>
      <w:r>
        <w:rPr>
          <w:spacing w:val="-9"/>
        </w:rPr>
        <w:t> </w:t>
      </w:r>
      <w:r>
        <w:rPr/>
        <w:t>indica</w:t>
      </w:r>
      <w:r>
        <w:rPr>
          <w:spacing w:val="-9"/>
        </w:rPr>
        <w:t> </w:t>
      </w:r>
      <w:r>
        <w:rPr/>
        <w:t>que</w:t>
      </w:r>
      <w:r>
        <w:rPr>
          <w:spacing w:val="-9"/>
        </w:rPr>
        <w:t> </w:t>
      </w:r>
      <w:r>
        <w:rPr/>
        <w:t>no</w:t>
      </w:r>
      <w:r>
        <w:rPr>
          <w:spacing w:val="-8"/>
        </w:rPr>
        <w:t> </w:t>
      </w:r>
      <w:r>
        <w:rPr/>
        <w:t>hay</w:t>
      </w:r>
      <w:r>
        <w:rPr>
          <w:spacing w:val="-11"/>
        </w:rPr>
        <w:t> </w:t>
      </w:r>
      <w:r>
        <w:rPr/>
        <w:t>diferencia.</w:t>
      </w:r>
      <w:r>
        <w:rPr>
          <w:spacing w:val="-5"/>
        </w:rPr>
        <w:t> </w:t>
      </w:r>
      <w:r>
        <w:rPr/>
        <w:t>La</w:t>
      </w:r>
      <w:r>
        <w:rPr>
          <w:spacing w:val="-8"/>
        </w:rPr>
        <w:t> </w:t>
      </w:r>
      <w:r>
        <w:rPr/>
        <w:t>respuesta inflamatoria sistémica que ocurre por descorne es similar entre grupos </w:t>
      </w:r>
      <w:r>
        <w:rPr>
          <w:spacing w:val="-2"/>
        </w:rPr>
        <w:t>experimental.</w:t>
      </w:r>
    </w:p>
    <w:p>
      <w:pPr>
        <w:pStyle w:val="BodyText"/>
        <w:spacing w:after="0" w:line="360" w:lineRule="auto"/>
        <w:jc w:val="both"/>
        <w:sectPr>
          <w:pgSz w:w="11900" w:h="16860"/>
          <w:pgMar w:header="0" w:footer="1084" w:top="1700" w:bottom="1280" w:left="1133" w:right="850"/>
        </w:sectPr>
      </w:pPr>
    </w:p>
    <w:p>
      <w:pPr>
        <w:pStyle w:val="Heading3"/>
      </w:pPr>
      <w:bookmarkStart w:name="_bookmark60" w:id="61"/>
      <w:bookmarkEnd w:id="61"/>
      <w:r>
        <w:rPr>
          <w:b w:val="0"/>
          <w:i w:val="0"/>
        </w:rPr>
      </w:r>
      <w:r>
        <w:rPr/>
        <w:t>Tabla </w:t>
      </w:r>
      <w:r>
        <w:rPr>
          <w:spacing w:val="-5"/>
        </w:rPr>
        <w:t>13</w:t>
      </w:r>
    </w:p>
    <w:p>
      <w:pPr>
        <w:spacing w:before="137"/>
        <w:ind w:left="1135" w:right="0" w:firstLine="0"/>
        <w:jc w:val="left"/>
        <w:rPr>
          <w:i/>
          <w:sz w:val="24"/>
        </w:rPr>
      </w:pPr>
      <w:r>
        <w:rPr>
          <w:i/>
          <w:sz w:val="24"/>
        </w:rPr>
        <w:t>Promedio</w:t>
      </w:r>
      <w:r>
        <w:rPr>
          <w:i/>
          <w:spacing w:val="-1"/>
          <w:sz w:val="24"/>
        </w:rPr>
        <w:t> </w:t>
      </w:r>
      <w:r>
        <w:rPr>
          <w:i/>
          <w:sz w:val="24"/>
        </w:rPr>
        <w:t>de ganancia</w:t>
      </w:r>
      <w:r>
        <w:rPr>
          <w:i/>
          <w:spacing w:val="-1"/>
          <w:sz w:val="24"/>
        </w:rPr>
        <w:t> </w:t>
      </w:r>
      <w:r>
        <w:rPr>
          <w:i/>
          <w:sz w:val="24"/>
        </w:rPr>
        <w:t>de</w:t>
      </w:r>
      <w:r>
        <w:rPr>
          <w:i/>
          <w:spacing w:val="-1"/>
          <w:sz w:val="24"/>
        </w:rPr>
        <w:t> </w:t>
      </w:r>
      <w:r>
        <w:rPr>
          <w:i/>
          <w:sz w:val="24"/>
        </w:rPr>
        <w:t>peso</w:t>
      </w:r>
      <w:r>
        <w:rPr>
          <w:i/>
          <w:spacing w:val="-1"/>
          <w:sz w:val="24"/>
        </w:rPr>
        <w:t> </w:t>
      </w:r>
      <w:r>
        <w:rPr>
          <w:i/>
          <w:sz w:val="24"/>
        </w:rPr>
        <w:t>por </w:t>
      </w:r>
      <w:r>
        <w:rPr>
          <w:i/>
          <w:spacing w:val="-2"/>
          <w:sz w:val="24"/>
        </w:rPr>
        <w:t>tratamiento</w:t>
      </w:r>
    </w:p>
    <w:p>
      <w:pPr>
        <w:pStyle w:val="BodyText"/>
        <w:spacing w:before="10" w:after="1"/>
        <w:ind w:left="0"/>
        <w:rPr>
          <w:i/>
          <w:sz w:val="14"/>
        </w:rPr>
      </w:pPr>
    </w:p>
    <w:tbl>
      <w:tblPr>
        <w:tblW w:w="0" w:type="auto"/>
        <w:jc w:val="left"/>
        <w:tblInd w:w="1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34"/>
        <w:gridCol w:w="2499"/>
      </w:tblGrid>
      <w:tr>
        <w:trPr>
          <w:trHeight w:val="302" w:hRule="atLeast"/>
        </w:trPr>
        <w:tc>
          <w:tcPr>
            <w:tcW w:w="5434" w:type="dxa"/>
            <w:tcBorders>
              <w:top w:val="single" w:sz="4" w:space="0" w:color="000000"/>
              <w:bottom w:val="single" w:sz="4" w:space="0" w:color="000000"/>
            </w:tcBorders>
          </w:tcPr>
          <w:p>
            <w:pPr>
              <w:pStyle w:val="TableParagraph"/>
              <w:spacing w:line="269" w:lineRule="exact" w:before="13"/>
              <w:ind w:left="45"/>
              <w:rPr>
                <w:b/>
                <w:sz w:val="24"/>
              </w:rPr>
            </w:pPr>
            <w:r>
              <w:rPr>
                <w:b/>
                <w:spacing w:val="-2"/>
                <w:sz w:val="24"/>
              </w:rPr>
              <w:t>Tratamiento</w:t>
            </w:r>
          </w:p>
        </w:tc>
        <w:tc>
          <w:tcPr>
            <w:tcW w:w="2499" w:type="dxa"/>
            <w:tcBorders>
              <w:top w:val="single" w:sz="4" w:space="0" w:color="000000"/>
              <w:bottom w:val="single" w:sz="4" w:space="0" w:color="000000"/>
            </w:tcBorders>
          </w:tcPr>
          <w:p>
            <w:pPr>
              <w:pStyle w:val="TableParagraph"/>
              <w:spacing w:line="269" w:lineRule="exact" w:before="13"/>
              <w:ind w:left="29"/>
              <w:rPr>
                <w:b/>
                <w:sz w:val="24"/>
              </w:rPr>
            </w:pPr>
            <w:r>
              <w:rPr>
                <w:b/>
                <w:sz w:val="24"/>
              </w:rPr>
              <w:t>Ganancia</w:t>
            </w:r>
            <w:r>
              <w:rPr>
                <w:b/>
                <w:spacing w:val="-1"/>
                <w:sz w:val="24"/>
              </w:rPr>
              <w:t> </w:t>
            </w:r>
            <w:r>
              <w:rPr>
                <w:b/>
                <w:sz w:val="24"/>
              </w:rPr>
              <w:t>de</w:t>
            </w:r>
            <w:r>
              <w:rPr>
                <w:b/>
                <w:spacing w:val="-2"/>
                <w:sz w:val="24"/>
              </w:rPr>
              <w:t> </w:t>
            </w:r>
            <w:r>
              <w:rPr>
                <w:b/>
                <w:sz w:val="24"/>
              </w:rPr>
              <w:t>peso</w:t>
            </w:r>
            <w:r>
              <w:rPr>
                <w:b/>
                <w:spacing w:val="-1"/>
                <w:sz w:val="24"/>
              </w:rPr>
              <w:t> </w:t>
            </w:r>
            <w:r>
              <w:rPr>
                <w:b/>
                <w:spacing w:val="-4"/>
                <w:sz w:val="24"/>
              </w:rPr>
              <w:t>(kg)</w:t>
            </w:r>
          </w:p>
        </w:tc>
      </w:tr>
      <w:tr>
        <w:trPr>
          <w:trHeight w:val="334" w:hRule="atLeast"/>
        </w:trPr>
        <w:tc>
          <w:tcPr>
            <w:tcW w:w="5434" w:type="dxa"/>
            <w:tcBorders>
              <w:top w:val="single" w:sz="4" w:space="0" w:color="000000"/>
            </w:tcBorders>
          </w:tcPr>
          <w:p>
            <w:pPr>
              <w:pStyle w:val="TableParagraph"/>
              <w:spacing w:before="46"/>
              <w:ind w:left="45"/>
              <w:rPr>
                <w:sz w:val="22"/>
              </w:rPr>
            </w:pPr>
            <w:r>
              <w:rPr>
                <w:sz w:val="22"/>
              </w:rPr>
              <w:t>T0</w:t>
            </w:r>
            <w:r>
              <w:rPr>
                <w:spacing w:val="-4"/>
                <w:sz w:val="22"/>
              </w:rPr>
              <w:t> </w:t>
            </w:r>
            <w:r>
              <w:rPr>
                <w:spacing w:val="-2"/>
                <w:sz w:val="22"/>
              </w:rPr>
              <w:t>(Testigo)</w:t>
            </w:r>
          </w:p>
        </w:tc>
        <w:tc>
          <w:tcPr>
            <w:tcW w:w="2499" w:type="dxa"/>
            <w:tcBorders>
              <w:top w:val="single" w:sz="4" w:space="0" w:color="000000"/>
            </w:tcBorders>
          </w:tcPr>
          <w:p>
            <w:pPr>
              <w:pStyle w:val="TableParagraph"/>
              <w:spacing w:before="46"/>
              <w:ind w:left="29"/>
              <w:rPr>
                <w:sz w:val="22"/>
              </w:rPr>
            </w:pPr>
            <w:r>
              <w:rPr>
                <w:spacing w:val="-4"/>
                <w:sz w:val="22"/>
              </w:rPr>
              <w:t>3.80</w:t>
            </w:r>
          </w:p>
        </w:tc>
      </w:tr>
      <w:tr>
        <w:trPr>
          <w:trHeight w:val="335" w:hRule="atLeast"/>
        </w:trPr>
        <w:tc>
          <w:tcPr>
            <w:tcW w:w="5434" w:type="dxa"/>
          </w:tcPr>
          <w:p>
            <w:pPr>
              <w:pStyle w:val="TableParagraph"/>
              <w:spacing w:before="24"/>
              <w:ind w:left="45"/>
              <w:rPr>
                <w:sz w:val="22"/>
              </w:rPr>
            </w:pPr>
            <w:r>
              <w:rPr>
                <w:sz w:val="22"/>
              </w:rPr>
              <w:t>T1</w:t>
            </w:r>
            <w:r>
              <w:rPr>
                <w:spacing w:val="-5"/>
                <w:sz w:val="22"/>
              </w:rPr>
              <w:t> </w:t>
            </w:r>
            <w:r>
              <w:rPr>
                <w:sz w:val="22"/>
              </w:rPr>
              <w:t>(Lidocaína</w:t>
            </w:r>
            <w:r>
              <w:rPr>
                <w:spacing w:val="-3"/>
                <w:sz w:val="22"/>
              </w:rPr>
              <w:t> </w:t>
            </w:r>
            <w:r>
              <w:rPr>
                <w:sz w:val="22"/>
              </w:rPr>
              <w:t>+ </w:t>
            </w:r>
            <w:r>
              <w:rPr>
                <w:sz w:val="24"/>
              </w:rPr>
              <w:t>Flunixin</w:t>
            </w:r>
            <w:r>
              <w:rPr>
                <w:spacing w:val="-3"/>
                <w:sz w:val="24"/>
              </w:rPr>
              <w:t> </w:t>
            </w:r>
            <w:r>
              <w:rPr>
                <w:spacing w:val="-2"/>
                <w:sz w:val="24"/>
              </w:rPr>
              <w:t>Meglumine</w:t>
            </w:r>
            <w:r>
              <w:rPr>
                <w:spacing w:val="-2"/>
                <w:sz w:val="22"/>
              </w:rPr>
              <w:t>)</w:t>
            </w:r>
          </w:p>
        </w:tc>
        <w:tc>
          <w:tcPr>
            <w:tcW w:w="2499" w:type="dxa"/>
          </w:tcPr>
          <w:p>
            <w:pPr>
              <w:pStyle w:val="TableParagraph"/>
              <w:spacing w:before="36"/>
              <w:ind w:left="29"/>
              <w:rPr>
                <w:sz w:val="22"/>
              </w:rPr>
            </w:pPr>
            <w:r>
              <w:rPr>
                <w:spacing w:val="-4"/>
                <w:sz w:val="22"/>
              </w:rPr>
              <w:t>1.60</w:t>
            </w:r>
          </w:p>
        </w:tc>
      </w:tr>
      <w:tr>
        <w:trPr>
          <w:trHeight w:val="335" w:hRule="atLeast"/>
        </w:trPr>
        <w:tc>
          <w:tcPr>
            <w:tcW w:w="5434" w:type="dxa"/>
          </w:tcPr>
          <w:p>
            <w:pPr>
              <w:pStyle w:val="TableParagraph"/>
              <w:spacing w:before="25"/>
              <w:ind w:left="45"/>
              <w:rPr>
                <w:sz w:val="22"/>
              </w:rPr>
            </w:pPr>
            <w:r>
              <w:rPr>
                <w:sz w:val="22"/>
              </w:rPr>
              <w:t>T2</w:t>
            </w:r>
            <w:r>
              <w:rPr>
                <w:spacing w:val="-6"/>
                <w:sz w:val="22"/>
              </w:rPr>
              <w:t> </w:t>
            </w:r>
            <w:r>
              <w:rPr>
                <w:sz w:val="22"/>
              </w:rPr>
              <w:t>(Bupivacaína</w:t>
            </w:r>
            <w:r>
              <w:rPr>
                <w:spacing w:val="-3"/>
                <w:sz w:val="22"/>
              </w:rPr>
              <w:t> </w:t>
            </w:r>
            <w:r>
              <w:rPr>
                <w:sz w:val="22"/>
              </w:rPr>
              <w:t>+</w:t>
            </w:r>
            <w:r>
              <w:rPr>
                <w:spacing w:val="-1"/>
                <w:sz w:val="22"/>
              </w:rPr>
              <w:t> </w:t>
            </w:r>
            <w:r>
              <w:rPr>
                <w:sz w:val="24"/>
              </w:rPr>
              <w:t>Flunixin</w:t>
            </w:r>
            <w:r>
              <w:rPr>
                <w:spacing w:val="-2"/>
                <w:sz w:val="24"/>
              </w:rPr>
              <w:t> Meglumine</w:t>
            </w:r>
            <w:r>
              <w:rPr>
                <w:spacing w:val="-2"/>
                <w:sz w:val="22"/>
              </w:rPr>
              <w:t>)</w:t>
            </w:r>
          </w:p>
        </w:tc>
        <w:tc>
          <w:tcPr>
            <w:tcW w:w="2499" w:type="dxa"/>
          </w:tcPr>
          <w:p>
            <w:pPr>
              <w:pStyle w:val="TableParagraph"/>
              <w:spacing w:before="36"/>
              <w:ind w:left="29"/>
              <w:rPr>
                <w:sz w:val="22"/>
              </w:rPr>
            </w:pPr>
            <w:r>
              <w:rPr>
                <w:spacing w:val="-4"/>
                <w:sz w:val="22"/>
              </w:rPr>
              <w:t>3.95</w:t>
            </w:r>
          </w:p>
        </w:tc>
      </w:tr>
      <w:tr>
        <w:trPr>
          <w:trHeight w:val="576" w:hRule="atLeast"/>
        </w:trPr>
        <w:tc>
          <w:tcPr>
            <w:tcW w:w="5434" w:type="dxa"/>
          </w:tcPr>
          <w:p>
            <w:pPr>
              <w:pStyle w:val="TableParagraph"/>
              <w:spacing w:before="25"/>
              <w:ind w:left="45"/>
              <w:rPr>
                <w:sz w:val="24"/>
              </w:rPr>
            </w:pPr>
            <w:r>
              <w:rPr>
                <w:sz w:val="22"/>
              </w:rPr>
              <w:t>T3</w:t>
            </w:r>
            <w:r>
              <w:rPr>
                <w:spacing w:val="72"/>
                <w:w w:val="150"/>
                <w:sz w:val="22"/>
              </w:rPr>
              <w:t> </w:t>
            </w:r>
            <w:r>
              <w:rPr>
                <w:sz w:val="22"/>
              </w:rPr>
              <w:t>(50%</w:t>
            </w:r>
            <w:r>
              <w:rPr>
                <w:spacing w:val="76"/>
                <w:w w:val="150"/>
                <w:sz w:val="22"/>
              </w:rPr>
              <w:t> </w:t>
            </w:r>
            <w:r>
              <w:rPr>
                <w:sz w:val="22"/>
              </w:rPr>
              <w:t>Lidocaína</w:t>
            </w:r>
            <w:r>
              <w:rPr>
                <w:spacing w:val="72"/>
                <w:w w:val="150"/>
                <w:sz w:val="22"/>
              </w:rPr>
              <w:t> </w:t>
            </w:r>
            <w:r>
              <w:rPr>
                <w:sz w:val="22"/>
              </w:rPr>
              <w:t>+</w:t>
            </w:r>
            <w:r>
              <w:rPr>
                <w:spacing w:val="73"/>
                <w:w w:val="150"/>
                <w:sz w:val="22"/>
              </w:rPr>
              <w:t> </w:t>
            </w:r>
            <w:r>
              <w:rPr>
                <w:sz w:val="22"/>
              </w:rPr>
              <w:t>50%</w:t>
            </w:r>
            <w:r>
              <w:rPr>
                <w:spacing w:val="75"/>
                <w:w w:val="150"/>
                <w:sz w:val="22"/>
              </w:rPr>
              <w:t> </w:t>
            </w:r>
            <w:r>
              <w:rPr>
                <w:sz w:val="22"/>
              </w:rPr>
              <w:t>Bupivacaína)</w:t>
            </w:r>
            <w:r>
              <w:rPr>
                <w:spacing w:val="76"/>
                <w:w w:val="150"/>
                <w:sz w:val="22"/>
              </w:rPr>
              <w:t> </w:t>
            </w:r>
            <w:r>
              <w:rPr>
                <w:sz w:val="22"/>
              </w:rPr>
              <w:t>+</w:t>
            </w:r>
            <w:r>
              <w:rPr>
                <w:spacing w:val="77"/>
                <w:w w:val="150"/>
                <w:sz w:val="22"/>
              </w:rPr>
              <w:t> </w:t>
            </w:r>
            <w:r>
              <w:rPr>
                <w:spacing w:val="-2"/>
                <w:sz w:val="24"/>
              </w:rPr>
              <w:t>Flunixin</w:t>
            </w:r>
          </w:p>
          <w:p>
            <w:pPr>
              <w:pStyle w:val="TableParagraph"/>
              <w:tabs>
                <w:tab w:pos="7933" w:val="left" w:leader="none"/>
              </w:tabs>
              <w:spacing w:line="256" w:lineRule="exact"/>
              <w:ind w:right="-2506"/>
              <w:rPr>
                <w:sz w:val="22"/>
              </w:rPr>
            </w:pPr>
            <w:r>
              <w:rPr>
                <w:spacing w:val="-15"/>
                <w:sz w:val="24"/>
                <w:u w:val="single"/>
              </w:rPr>
              <w:t> </w:t>
            </w:r>
            <w:r>
              <w:rPr>
                <w:spacing w:val="-2"/>
                <w:sz w:val="24"/>
                <w:u w:val="single"/>
              </w:rPr>
              <w:t>Meglumine</w:t>
            </w:r>
            <w:r>
              <w:rPr>
                <w:spacing w:val="-2"/>
                <w:sz w:val="22"/>
                <w:u w:val="single"/>
              </w:rPr>
              <w:t>)</w:t>
            </w:r>
            <w:r>
              <w:rPr>
                <w:sz w:val="22"/>
                <w:u w:val="single"/>
              </w:rPr>
              <w:tab/>
            </w:r>
          </w:p>
        </w:tc>
        <w:tc>
          <w:tcPr>
            <w:tcW w:w="2499" w:type="dxa"/>
          </w:tcPr>
          <w:p>
            <w:pPr>
              <w:pStyle w:val="TableParagraph"/>
              <w:spacing w:before="173"/>
              <w:ind w:left="29"/>
              <w:rPr>
                <w:sz w:val="22"/>
              </w:rPr>
            </w:pPr>
            <w:r>
              <w:rPr>
                <w:spacing w:val="-4"/>
                <w:sz w:val="22"/>
              </w:rPr>
              <w:t>4.03</w:t>
            </w:r>
          </w:p>
        </w:tc>
      </w:tr>
    </w:tbl>
    <w:p>
      <w:pPr>
        <w:pStyle w:val="BodyText"/>
        <w:spacing w:before="13"/>
        <w:ind w:left="0"/>
        <w:rPr>
          <w:i/>
          <w:sz w:val="20"/>
        </w:rPr>
      </w:pPr>
      <w:r>
        <w:rPr>
          <w:i/>
          <w:sz w:val="20"/>
        </w:rPr>
        <w:drawing>
          <wp:anchor distT="0" distB="0" distL="0" distR="0" allowOverlap="1" layoutInCell="1" locked="0" behindDoc="1" simplePos="0" relativeHeight="487592960">
            <wp:simplePos x="0" y="0"/>
            <wp:positionH relativeFrom="page">
              <wp:posOffset>1438910</wp:posOffset>
            </wp:positionH>
            <wp:positionV relativeFrom="paragraph">
              <wp:posOffset>169926</wp:posOffset>
            </wp:positionV>
            <wp:extent cx="4143596" cy="2485263"/>
            <wp:effectExtent l="0" t="0" r="0" b="0"/>
            <wp:wrapTopAndBottom/>
            <wp:docPr id="32" name="Image 32"/>
            <wp:cNvGraphicFramePr>
              <a:graphicFrameLocks/>
            </wp:cNvGraphicFramePr>
            <a:graphic>
              <a:graphicData uri="http://schemas.openxmlformats.org/drawingml/2006/picture">
                <pic:pic>
                  <pic:nvPicPr>
                    <pic:cNvPr id="32" name="Image 32"/>
                    <pic:cNvPicPr/>
                  </pic:nvPicPr>
                  <pic:blipFill>
                    <a:blip r:embed="rId20" cstate="print"/>
                    <a:stretch>
                      <a:fillRect/>
                    </a:stretch>
                  </pic:blipFill>
                  <pic:spPr>
                    <a:xfrm>
                      <a:off x="0" y="0"/>
                      <a:ext cx="4143596" cy="2485263"/>
                    </a:xfrm>
                    <a:prstGeom prst="rect">
                      <a:avLst/>
                    </a:prstGeom>
                  </pic:spPr>
                </pic:pic>
              </a:graphicData>
            </a:graphic>
          </wp:anchor>
        </w:drawing>
      </w:r>
    </w:p>
    <w:p>
      <w:pPr>
        <w:pStyle w:val="BodyText"/>
        <w:spacing w:line="360" w:lineRule="auto" w:before="108"/>
        <w:ind w:right="846"/>
        <w:jc w:val="both"/>
      </w:pPr>
      <w:r>
        <w:rPr/>
        <w:t>La Tabla 13 muestra la ganancia de peso promedio registrada en los terneros a los que se les aplicó el procedimiento de descorne bajo los diferentes tratamientos analgésicos</w:t>
      </w:r>
      <w:r>
        <w:rPr>
          <w:spacing w:val="-3"/>
        </w:rPr>
        <w:t> </w:t>
      </w:r>
      <w:r>
        <w:rPr/>
        <w:t>que</w:t>
      </w:r>
      <w:r>
        <w:rPr>
          <w:spacing w:val="-4"/>
        </w:rPr>
        <w:t> </w:t>
      </w:r>
      <w:r>
        <w:rPr/>
        <w:t>se</w:t>
      </w:r>
      <w:r>
        <w:rPr>
          <w:spacing w:val="-4"/>
        </w:rPr>
        <w:t> </w:t>
      </w:r>
      <w:r>
        <w:rPr/>
        <w:t>evaluaron.</w:t>
      </w:r>
      <w:r>
        <w:rPr>
          <w:spacing w:val="-3"/>
        </w:rPr>
        <w:t> </w:t>
      </w:r>
      <w:r>
        <w:rPr/>
        <w:t>El</w:t>
      </w:r>
      <w:r>
        <w:rPr>
          <w:spacing w:val="-3"/>
        </w:rPr>
        <w:t> </w:t>
      </w:r>
      <w:r>
        <w:rPr/>
        <w:t>tratamiento</w:t>
      </w:r>
      <w:r>
        <w:rPr>
          <w:spacing w:val="-3"/>
        </w:rPr>
        <w:t> </w:t>
      </w:r>
      <w:r>
        <w:rPr/>
        <w:t>T3</w:t>
      </w:r>
      <w:r>
        <w:rPr>
          <w:spacing w:val="-2"/>
        </w:rPr>
        <w:t> </w:t>
      </w:r>
      <w:r>
        <w:rPr/>
        <w:t>(50%</w:t>
      </w:r>
      <w:r>
        <w:rPr>
          <w:spacing w:val="-4"/>
        </w:rPr>
        <w:t> </w:t>
      </w:r>
      <w:r>
        <w:rPr/>
        <w:t>lidocaína tamponada</w:t>
      </w:r>
      <w:r>
        <w:rPr>
          <w:spacing w:val="-4"/>
        </w:rPr>
        <w:t> </w:t>
      </w:r>
      <w:r>
        <w:rPr/>
        <w:t>+</w:t>
      </w:r>
      <w:r>
        <w:rPr>
          <w:spacing w:val="-2"/>
        </w:rPr>
        <w:t> </w:t>
      </w:r>
      <w:r>
        <w:rPr/>
        <w:t>50% bupivacaína tamponada + flunixin meglumine) presentó el aumento de peso promedio más alto con 4,03 kg; el tratamiento T2 (bupivacaína tamponada + flunixin</w:t>
      </w:r>
      <w:r>
        <w:rPr>
          <w:spacing w:val="-1"/>
        </w:rPr>
        <w:t> </w:t>
      </w:r>
      <w:r>
        <w:rPr/>
        <w:t>meglumine)</w:t>
      </w:r>
      <w:r>
        <w:rPr>
          <w:spacing w:val="-2"/>
        </w:rPr>
        <w:t> </w:t>
      </w:r>
      <w:r>
        <w:rPr/>
        <w:t>aumentó</w:t>
      </w:r>
      <w:r>
        <w:rPr>
          <w:spacing w:val="-1"/>
        </w:rPr>
        <w:t> </w:t>
      </w:r>
      <w:r>
        <w:rPr/>
        <w:t>3,95</w:t>
      </w:r>
      <w:r>
        <w:rPr>
          <w:spacing w:val="-1"/>
        </w:rPr>
        <w:t> </w:t>
      </w:r>
      <w:r>
        <w:rPr/>
        <w:t>kg.</w:t>
      </w:r>
      <w:r>
        <w:rPr>
          <w:spacing w:val="-1"/>
        </w:rPr>
        <w:t> </w:t>
      </w:r>
      <w:r>
        <w:rPr/>
        <w:t>Por otro lado,</w:t>
      </w:r>
      <w:r>
        <w:rPr>
          <w:spacing w:val="-2"/>
        </w:rPr>
        <w:t> </w:t>
      </w:r>
      <w:r>
        <w:rPr/>
        <w:t>el tratamiento T1 (Lidocaína Tamponada + flunixin meglumine) registró un aumento de peso promedio de 1,60 kg</w:t>
      </w:r>
      <w:r>
        <w:rPr>
          <w:spacing w:val="-3"/>
        </w:rPr>
        <w:t> </w:t>
      </w:r>
      <w:r>
        <w:rPr/>
        <w:t>el más bajo y</w:t>
      </w:r>
      <w:r>
        <w:rPr>
          <w:spacing w:val="-3"/>
        </w:rPr>
        <w:t> </w:t>
      </w:r>
      <w:r>
        <w:rPr/>
        <w:t>con una diferencia considerable respecto a los otros tratamientos.</w:t>
      </w:r>
    </w:p>
    <w:p>
      <w:pPr>
        <w:pStyle w:val="BodyText"/>
        <w:spacing w:line="360" w:lineRule="auto" w:before="239"/>
        <w:ind w:right="848"/>
        <w:jc w:val="both"/>
      </w:pPr>
      <w:r>
        <w:rPr/>
        <w:t>Según Marquette et al. (2023), que un procedimiento cause dolor puede alterar el comportamiento alimentario y el bienestar animal en el ganado, lo que a la larga puede influir en su crecimiento y rendimiento productivo. En el estudio actual los tratamientos</w:t>
      </w:r>
      <w:r>
        <w:rPr>
          <w:spacing w:val="-8"/>
        </w:rPr>
        <w:t> </w:t>
      </w:r>
      <w:r>
        <w:rPr/>
        <w:t>T2</w:t>
      </w:r>
      <w:r>
        <w:rPr>
          <w:spacing w:val="-7"/>
        </w:rPr>
        <w:t> </w:t>
      </w:r>
      <w:r>
        <w:rPr/>
        <w:t>y</w:t>
      </w:r>
      <w:r>
        <w:rPr>
          <w:spacing w:val="-13"/>
        </w:rPr>
        <w:t> </w:t>
      </w:r>
      <w:r>
        <w:rPr/>
        <w:t>T3</w:t>
      </w:r>
      <w:r>
        <w:rPr>
          <w:spacing w:val="-9"/>
        </w:rPr>
        <w:t> </w:t>
      </w:r>
      <w:r>
        <w:rPr/>
        <w:t>mostraron</w:t>
      </w:r>
      <w:r>
        <w:rPr>
          <w:spacing w:val="-8"/>
        </w:rPr>
        <w:t> </w:t>
      </w:r>
      <w:r>
        <w:rPr/>
        <w:t>mayores</w:t>
      </w:r>
      <w:r>
        <w:rPr>
          <w:spacing w:val="-8"/>
        </w:rPr>
        <w:t> </w:t>
      </w:r>
      <w:r>
        <w:rPr/>
        <w:t>ganancias</w:t>
      </w:r>
      <w:r>
        <w:rPr>
          <w:spacing w:val="-8"/>
        </w:rPr>
        <w:t> </w:t>
      </w:r>
      <w:r>
        <w:rPr/>
        <w:t>de</w:t>
      </w:r>
      <w:r>
        <w:rPr>
          <w:spacing w:val="-9"/>
        </w:rPr>
        <w:t> </w:t>
      </w:r>
      <w:r>
        <w:rPr/>
        <w:t>peso.</w:t>
      </w:r>
      <w:r>
        <w:rPr>
          <w:spacing w:val="-8"/>
        </w:rPr>
        <w:t> </w:t>
      </w:r>
      <w:r>
        <w:rPr/>
        <w:t>Probablemente</w:t>
      </w:r>
      <w:r>
        <w:rPr>
          <w:spacing w:val="-8"/>
        </w:rPr>
        <w:t> </w:t>
      </w:r>
      <w:r>
        <w:rPr/>
        <w:t>esto</w:t>
      </w:r>
      <w:r>
        <w:rPr>
          <w:spacing w:val="-8"/>
        </w:rPr>
        <w:t> </w:t>
      </w:r>
      <w:r>
        <w:rPr/>
        <w:t>se deba a que tuvieron mejor control del dolor post cirugía. Una analgesia adecuada permite que los animales mantengan su comportamiento alimentario y reduzcan alteraciones</w:t>
      </w:r>
      <w:r>
        <w:rPr>
          <w:spacing w:val="43"/>
        </w:rPr>
        <w:t> </w:t>
      </w:r>
      <w:r>
        <w:rPr/>
        <w:t>metabólicas.</w:t>
      </w:r>
      <w:r>
        <w:rPr>
          <w:spacing w:val="46"/>
        </w:rPr>
        <w:t> </w:t>
      </w:r>
      <w:r>
        <w:rPr/>
        <w:t>En</w:t>
      </w:r>
      <w:r>
        <w:rPr>
          <w:spacing w:val="44"/>
        </w:rPr>
        <w:t> </w:t>
      </w:r>
      <w:r>
        <w:rPr/>
        <w:t>comparación</w:t>
      </w:r>
      <w:r>
        <w:rPr>
          <w:spacing w:val="44"/>
        </w:rPr>
        <w:t> </w:t>
      </w:r>
      <w:r>
        <w:rPr/>
        <w:t>al</w:t>
      </w:r>
      <w:r>
        <w:rPr>
          <w:spacing w:val="44"/>
        </w:rPr>
        <w:t> </w:t>
      </w:r>
      <w:r>
        <w:rPr/>
        <w:t>tratamiento</w:t>
      </w:r>
      <w:r>
        <w:rPr>
          <w:spacing w:val="43"/>
        </w:rPr>
        <w:t> </w:t>
      </w:r>
      <w:r>
        <w:rPr/>
        <w:t>T2,</w:t>
      </w:r>
      <w:r>
        <w:rPr>
          <w:spacing w:val="47"/>
        </w:rPr>
        <w:t> </w:t>
      </w:r>
      <w:r>
        <w:rPr/>
        <w:t>se</w:t>
      </w:r>
      <w:r>
        <w:rPr>
          <w:spacing w:val="43"/>
        </w:rPr>
        <w:t> </w:t>
      </w:r>
      <w:r>
        <w:rPr/>
        <w:t>percibe</w:t>
      </w:r>
      <w:r>
        <w:rPr>
          <w:spacing w:val="46"/>
        </w:rPr>
        <w:t> </w:t>
      </w:r>
      <w:r>
        <w:rPr/>
        <w:t>que</w:t>
      </w:r>
      <w:r>
        <w:rPr>
          <w:spacing w:val="43"/>
        </w:rPr>
        <w:t> </w:t>
      </w:r>
      <w:r>
        <w:rPr>
          <w:spacing w:val="-5"/>
        </w:rPr>
        <w:t>el</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48"/>
        <w:jc w:val="both"/>
      </w:pPr>
      <w:r>
        <w:rPr/>
        <w:t>tratamiento</w:t>
      </w:r>
      <w:r>
        <w:rPr>
          <w:spacing w:val="-3"/>
        </w:rPr>
        <w:t> </w:t>
      </w:r>
      <w:r>
        <w:rPr/>
        <w:t>T1</w:t>
      </w:r>
      <w:r>
        <w:rPr>
          <w:spacing w:val="-3"/>
        </w:rPr>
        <w:t> </w:t>
      </w:r>
      <w:r>
        <w:rPr/>
        <w:t>presentó</w:t>
      </w:r>
      <w:r>
        <w:rPr>
          <w:spacing w:val="-3"/>
        </w:rPr>
        <w:t> </w:t>
      </w:r>
      <w:r>
        <w:rPr/>
        <w:t>una</w:t>
      </w:r>
      <w:r>
        <w:rPr>
          <w:spacing w:val="-3"/>
        </w:rPr>
        <w:t> </w:t>
      </w:r>
      <w:r>
        <w:rPr/>
        <w:t>ganancia</w:t>
      </w:r>
      <w:r>
        <w:rPr>
          <w:spacing w:val="-3"/>
        </w:rPr>
        <w:t> </w:t>
      </w:r>
      <w:r>
        <w:rPr/>
        <w:t>de</w:t>
      </w:r>
      <w:r>
        <w:rPr>
          <w:spacing w:val="-5"/>
        </w:rPr>
        <w:t> </w:t>
      </w:r>
      <w:r>
        <w:rPr/>
        <w:t>pesos</w:t>
      </w:r>
      <w:r>
        <w:rPr>
          <w:spacing w:val="-3"/>
        </w:rPr>
        <w:t> </w:t>
      </w:r>
      <w:r>
        <w:rPr/>
        <w:t>34</w:t>
      </w:r>
      <w:r>
        <w:rPr>
          <w:spacing w:val="-1"/>
        </w:rPr>
        <w:t> </w:t>
      </w:r>
      <w:r>
        <w:rPr/>
        <w:t>g/día</w:t>
      </w:r>
      <w:r>
        <w:rPr>
          <w:spacing w:val="-4"/>
        </w:rPr>
        <w:t> </w:t>
      </w:r>
      <w:r>
        <w:rPr/>
        <w:t>menor</w:t>
      </w:r>
      <w:r>
        <w:rPr>
          <w:spacing w:val="-5"/>
        </w:rPr>
        <w:t> </w:t>
      </w:r>
      <w:r>
        <w:rPr/>
        <w:t>al</w:t>
      </w:r>
      <w:r>
        <w:rPr>
          <w:spacing w:val="-3"/>
        </w:rPr>
        <w:t> </w:t>
      </w:r>
      <w:r>
        <w:rPr/>
        <w:t>T2.</w:t>
      </w:r>
      <w:r>
        <w:rPr>
          <w:spacing w:val="-3"/>
        </w:rPr>
        <w:t> </w:t>
      </w:r>
      <w:r>
        <w:rPr/>
        <w:t>Esto</w:t>
      </w:r>
      <w:r>
        <w:rPr>
          <w:spacing w:val="-6"/>
        </w:rPr>
        <w:t> </w:t>
      </w:r>
      <w:r>
        <w:rPr/>
        <w:t>a</w:t>
      </w:r>
      <w:r>
        <w:rPr>
          <w:spacing w:val="-4"/>
        </w:rPr>
        <w:t> </w:t>
      </w:r>
      <w:r>
        <w:rPr/>
        <w:t>su</w:t>
      </w:r>
      <w:r>
        <w:rPr>
          <w:spacing w:val="-3"/>
        </w:rPr>
        <w:t> </w:t>
      </w:r>
      <w:r>
        <w:rPr/>
        <w:t>vez nos</w:t>
      </w:r>
      <w:r>
        <w:rPr>
          <w:spacing w:val="-10"/>
        </w:rPr>
        <w:t> </w:t>
      </w:r>
      <w:r>
        <w:rPr/>
        <w:t>hace</w:t>
      </w:r>
      <w:r>
        <w:rPr>
          <w:spacing w:val="-12"/>
        </w:rPr>
        <w:t> </w:t>
      </w:r>
      <w:r>
        <w:rPr/>
        <w:t>pensar</w:t>
      </w:r>
      <w:r>
        <w:rPr>
          <w:spacing w:val="-11"/>
        </w:rPr>
        <w:t> </w:t>
      </w:r>
      <w:r>
        <w:rPr/>
        <w:t>que,</w:t>
      </w:r>
      <w:r>
        <w:rPr>
          <w:spacing w:val="-11"/>
        </w:rPr>
        <w:t> </w:t>
      </w:r>
      <w:r>
        <w:rPr/>
        <w:t>tras</w:t>
      </w:r>
      <w:r>
        <w:rPr>
          <w:spacing w:val="-8"/>
        </w:rPr>
        <w:t> </w:t>
      </w:r>
      <w:r>
        <w:rPr/>
        <w:t>la</w:t>
      </w:r>
      <w:r>
        <w:rPr>
          <w:spacing w:val="-10"/>
        </w:rPr>
        <w:t> </w:t>
      </w:r>
      <w:r>
        <w:rPr/>
        <w:t>eliminación</w:t>
      </w:r>
      <w:r>
        <w:rPr>
          <w:spacing w:val="-10"/>
        </w:rPr>
        <w:t> </w:t>
      </w:r>
      <w:r>
        <w:rPr/>
        <w:t>de</w:t>
      </w:r>
      <w:r>
        <w:rPr>
          <w:spacing w:val="-12"/>
        </w:rPr>
        <w:t> </w:t>
      </w:r>
      <w:r>
        <w:rPr/>
        <w:t>botón</w:t>
      </w:r>
      <w:r>
        <w:rPr>
          <w:spacing w:val="-10"/>
        </w:rPr>
        <w:t> </w:t>
      </w:r>
      <w:r>
        <w:rPr/>
        <w:t>corneo,</w:t>
      </w:r>
      <w:r>
        <w:rPr>
          <w:spacing w:val="-11"/>
        </w:rPr>
        <w:t> </w:t>
      </w:r>
      <w:r>
        <w:rPr/>
        <w:t>tal</w:t>
      </w:r>
      <w:r>
        <w:rPr>
          <w:spacing w:val="-11"/>
        </w:rPr>
        <w:t> </w:t>
      </w:r>
      <w:r>
        <w:rPr/>
        <w:t>vez</w:t>
      </w:r>
      <w:r>
        <w:rPr>
          <w:spacing w:val="-9"/>
        </w:rPr>
        <w:t> </w:t>
      </w:r>
      <w:r>
        <w:rPr/>
        <w:t>los</w:t>
      </w:r>
      <w:r>
        <w:rPr>
          <w:spacing w:val="-10"/>
        </w:rPr>
        <w:t> </w:t>
      </w:r>
      <w:r>
        <w:rPr/>
        <w:t>animales</w:t>
      </w:r>
      <w:r>
        <w:rPr>
          <w:spacing w:val="-11"/>
        </w:rPr>
        <w:t> </w:t>
      </w:r>
      <w:r>
        <w:rPr/>
        <w:t>de</w:t>
      </w:r>
      <w:r>
        <w:rPr>
          <w:spacing w:val="-12"/>
        </w:rPr>
        <w:t> </w:t>
      </w:r>
      <w:r>
        <w:rPr/>
        <w:t>T1 presentaran</w:t>
      </w:r>
      <w:r>
        <w:rPr>
          <w:spacing w:val="-4"/>
        </w:rPr>
        <w:t> </w:t>
      </w:r>
      <w:r>
        <w:rPr/>
        <w:t>una</w:t>
      </w:r>
      <w:r>
        <w:rPr>
          <w:spacing w:val="-3"/>
        </w:rPr>
        <w:t> </w:t>
      </w:r>
      <w:r>
        <w:rPr/>
        <w:t>afectación</w:t>
      </w:r>
      <w:r>
        <w:rPr>
          <w:spacing w:val="-4"/>
        </w:rPr>
        <w:t> </w:t>
      </w:r>
      <w:r>
        <w:rPr/>
        <w:t>fisiológica</w:t>
      </w:r>
      <w:r>
        <w:rPr>
          <w:spacing w:val="-6"/>
        </w:rPr>
        <w:t> </w:t>
      </w:r>
      <w:r>
        <w:rPr/>
        <w:t>o</w:t>
      </w:r>
      <w:r>
        <w:rPr>
          <w:spacing w:val="-2"/>
        </w:rPr>
        <w:t> </w:t>
      </w:r>
      <w:r>
        <w:rPr/>
        <w:t>conductual</w:t>
      </w:r>
      <w:r>
        <w:rPr>
          <w:spacing w:val="-4"/>
        </w:rPr>
        <w:t> </w:t>
      </w:r>
      <w:r>
        <w:rPr/>
        <w:t>mucho</w:t>
      </w:r>
      <w:r>
        <w:rPr>
          <w:spacing w:val="-4"/>
        </w:rPr>
        <w:t> </w:t>
      </w:r>
      <w:r>
        <w:rPr/>
        <w:t>más</w:t>
      </w:r>
      <w:r>
        <w:rPr>
          <w:spacing w:val="-4"/>
        </w:rPr>
        <w:t> </w:t>
      </w:r>
      <w:r>
        <w:rPr/>
        <w:t>importante</w:t>
      </w:r>
      <w:r>
        <w:rPr>
          <w:spacing w:val="-5"/>
        </w:rPr>
        <w:t> </w:t>
      </w:r>
      <w:r>
        <w:rPr/>
        <w:t>que</w:t>
      </w:r>
      <w:r>
        <w:rPr>
          <w:spacing w:val="-5"/>
        </w:rPr>
        <w:t> </w:t>
      </w:r>
      <w:r>
        <w:rPr/>
        <w:t>los del T2, y esto se tradujo en el comportamiento productivo.</w:t>
      </w:r>
    </w:p>
    <w:p>
      <w:pPr>
        <w:pStyle w:val="Heading3"/>
        <w:spacing w:before="241"/>
        <w:jc w:val="both"/>
      </w:pPr>
      <w:bookmarkStart w:name="_bookmark61" w:id="62"/>
      <w:bookmarkEnd w:id="62"/>
      <w:r>
        <w:rPr>
          <w:b w:val="0"/>
          <w:i w:val="0"/>
        </w:rPr>
      </w:r>
      <w:r>
        <w:rPr/>
        <w:t>Tabla </w:t>
      </w:r>
      <w:r>
        <w:rPr>
          <w:spacing w:val="-5"/>
        </w:rPr>
        <w:t>14</w:t>
      </w:r>
    </w:p>
    <w:p>
      <w:pPr>
        <w:spacing w:before="136"/>
        <w:ind w:left="1135" w:right="0" w:firstLine="0"/>
        <w:jc w:val="both"/>
        <w:rPr>
          <w:i/>
          <w:sz w:val="24"/>
        </w:rPr>
      </w:pPr>
      <w:r>
        <w:rPr>
          <w:i/>
          <w:sz w:val="24"/>
        </w:rPr>
        <w:t>ANOVA</w:t>
      </w:r>
      <w:r>
        <w:rPr>
          <w:i/>
          <w:spacing w:val="-2"/>
          <w:sz w:val="24"/>
        </w:rPr>
        <w:t> </w:t>
      </w:r>
      <w:r>
        <w:rPr>
          <w:i/>
          <w:sz w:val="24"/>
        </w:rPr>
        <w:t>– Ganancia</w:t>
      </w:r>
      <w:r>
        <w:rPr>
          <w:i/>
          <w:spacing w:val="-1"/>
          <w:sz w:val="24"/>
        </w:rPr>
        <w:t> </w:t>
      </w:r>
      <w:r>
        <w:rPr>
          <w:i/>
          <w:sz w:val="24"/>
        </w:rPr>
        <w:t>de </w:t>
      </w:r>
      <w:r>
        <w:rPr>
          <w:i/>
          <w:spacing w:val="-4"/>
          <w:sz w:val="24"/>
        </w:rPr>
        <w:t>peso</w:t>
      </w:r>
    </w:p>
    <w:p>
      <w:pPr>
        <w:pStyle w:val="BodyText"/>
        <w:spacing w:before="11"/>
        <w:ind w:left="0"/>
        <w:rPr>
          <w:i/>
          <w:sz w:val="14"/>
        </w:rPr>
      </w:pPr>
    </w:p>
    <w:tbl>
      <w:tblPr>
        <w:tblW w:w="0" w:type="auto"/>
        <w:jc w:val="left"/>
        <w:tblInd w:w="1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9"/>
        <w:gridCol w:w="1415"/>
        <w:gridCol w:w="589"/>
        <w:gridCol w:w="833"/>
        <w:gridCol w:w="952"/>
        <w:gridCol w:w="1385"/>
      </w:tblGrid>
      <w:tr>
        <w:trPr>
          <w:trHeight w:val="302" w:hRule="atLeast"/>
        </w:trPr>
        <w:tc>
          <w:tcPr>
            <w:tcW w:w="2759" w:type="dxa"/>
            <w:tcBorders>
              <w:top w:val="single" w:sz="4" w:space="0" w:color="000000"/>
              <w:bottom w:val="single" w:sz="4" w:space="0" w:color="000000"/>
            </w:tcBorders>
          </w:tcPr>
          <w:p>
            <w:pPr>
              <w:pStyle w:val="TableParagraph"/>
              <w:spacing w:line="269" w:lineRule="exact" w:before="13"/>
              <w:ind w:left="45"/>
              <w:rPr>
                <w:b/>
                <w:sz w:val="24"/>
              </w:rPr>
            </w:pPr>
            <w:r>
              <w:rPr>
                <w:b/>
                <w:sz w:val="24"/>
              </w:rPr>
              <w:t>Fuente</w:t>
            </w:r>
            <w:r>
              <w:rPr>
                <w:b/>
                <w:spacing w:val="-4"/>
                <w:sz w:val="24"/>
              </w:rPr>
              <w:t> </w:t>
            </w:r>
            <w:r>
              <w:rPr>
                <w:b/>
                <w:sz w:val="24"/>
              </w:rPr>
              <w:t>de</w:t>
            </w:r>
            <w:r>
              <w:rPr>
                <w:b/>
                <w:spacing w:val="-3"/>
                <w:sz w:val="24"/>
              </w:rPr>
              <w:t> </w:t>
            </w:r>
            <w:r>
              <w:rPr>
                <w:b/>
                <w:spacing w:val="-2"/>
                <w:sz w:val="24"/>
              </w:rPr>
              <w:t>variación</w:t>
            </w:r>
          </w:p>
        </w:tc>
        <w:tc>
          <w:tcPr>
            <w:tcW w:w="1415" w:type="dxa"/>
            <w:tcBorders>
              <w:top w:val="single" w:sz="4" w:space="0" w:color="000000"/>
              <w:bottom w:val="single" w:sz="4" w:space="0" w:color="000000"/>
            </w:tcBorders>
          </w:tcPr>
          <w:p>
            <w:pPr>
              <w:pStyle w:val="TableParagraph"/>
              <w:spacing w:line="269" w:lineRule="exact" w:before="13"/>
              <w:ind w:left="690"/>
              <w:rPr>
                <w:b/>
                <w:sz w:val="24"/>
              </w:rPr>
            </w:pPr>
            <w:r>
              <w:rPr>
                <w:b/>
                <w:spacing w:val="-5"/>
                <w:sz w:val="24"/>
              </w:rPr>
              <w:t>SC</w:t>
            </w:r>
          </w:p>
        </w:tc>
        <w:tc>
          <w:tcPr>
            <w:tcW w:w="589" w:type="dxa"/>
            <w:tcBorders>
              <w:top w:val="single" w:sz="4" w:space="0" w:color="000000"/>
              <w:bottom w:val="single" w:sz="4" w:space="0" w:color="000000"/>
            </w:tcBorders>
          </w:tcPr>
          <w:p>
            <w:pPr>
              <w:pStyle w:val="TableParagraph"/>
              <w:spacing w:line="269" w:lineRule="exact" w:before="13"/>
              <w:ind w:left="138" w:right="19"/>
              <w:jc w:val="center"/>
              <w:rPr>
                <w:b/>
                <w:sz w:val="24"/>
              </w:rPr>
            </w:pPr>
            <w:r>
              <w:rPr>
                <w:b/>
                <w:spacing w:val="-5"/>
                <w:sz w:val="24"/>
              </w:rPr>
              <w:t>Gl</w:t>
            </w:r>
          </w:p>
        </w:tc>
        <w:tc>
          <w:tcPr>
            <w:tcW w:w="833" w:type="dxa"/>
            <w:tcBorders>
              <w:top w:val="single" w:sz="4" w:space="0" w:color="000000"/>
              <w:bottom w:val="single" w:sz="4" w:space="0" w:color="000000"/>
            </w:tcBorders>
          </w:tcPr>
          <w:p>
            <w:pPr>
              <w:pStyle w:val="TableParagraph"/>
              <w:spacing w:line="269" w:lineRule="exact" w:before="13"/>
              <w:ind w:left="110"/>
              <w:rPr>
                <w:b/>
                <w:sz w:val="24"/>
              </w:rPr>
            </w:pPr>
            <w:r>
              <w:rPr>
                <w:b/>
                <w:spacing w:val="-5"/>
                <w:sz w:val="24"/>
              </w:rPr>
              <w:t>CM</w:t>
            </w:r>
          </w:p>
        </w:tc>
        <w:tc>
          <w:tcPr>
            <w:tcW w:w="952" w:type="dxa"/>
            <w:tcBorders>
              <w:top w:val="single" w:sz="4" w:space="0" w:color="000000"/>
              <w:bottom w:val="single" w:sz="4" w:space="0" w:color="000000"/>
            </w:tcBorders>
          </w:tcPr>
          <w:p>
            <w:pPr>
              <w:pStyle w:val="TableParagraph"/>
              <w:spacing w:line="269" w:lineRule="exact" w:before="13"/>
              <w:ind w:left="227"/>
              <w:rPr>
                <w:b/>
                <w:sz w:val="24"/>
              </w:rPr>
            </w:pPr>
            <w:r>
              <w:rPr>
                <w:b/>
                <w:spacing w:val="-10"/>
                <w:sz w:val="24"/>
              </w:rPr>
              <w:t>F</w:t>
            </w:r>
          </w:p>
        </w:tc>
        <w:tc>
          <w:tcPr>
            <w:tcW w:w="1385" w:type="dxa"/>
            <w:tcBorders>
              <w:top w:val="single" w:sz="4" w:space="0" w:color="000000"/>
              <w:bottom w:val="single" w:sz="4" w:space="0" w:color="000000"/>
            </w:tcBorders>
          </w:tcPr>
          <w:p>
            <w:pPr>
              <w:pStyle w:val="TableParagraph"/>
              <w:spacing w:line="269" w:lineRule="exact" w:before="13"/>
              <w:ind w:left="228"/>
              <w:rPr>
                <w:b/>
                <w:sz w:val="24"/>
              </w:rPr>
            </w:pPr>
            <w:r>
              <w:rPr>
                <w:b/>
                <w:spacing w:val="-10"/>
                <w:sz w:val="24"/>
              </w:rPr>
              <w:t>p</w:t>
            </w:r>
          </w:p>
        </w:tc>
      </w:tr>
      <w:tr>
        <w:trPr>
          <w:trHeight w:val="333" w:hRule="atLeast"/>
        </w:trPr>
        <w:tc>
          <w:tcPr>
            <w:tcW w:w="2759" w:type="dxa"/>
            <w:tcBorders>
              <w:top w:val="single" w:sz="4" w:space="0" w:color="000000"/>
            </w:tcBorders>
          </w:tcPr>
          <w:p>
            <w:pPr>
              <w:pStyle w:val="TableParagraph"/>
              <w:spacing w:before="47"/>
              <w:ind w:left="45"/>
              <w:rPr>
                <w:b/>
                <w:sz w:val="22"/>
              </w:rPr>
            </w:pPr>
            <w:r>
              <w:rPr>
                <w:b/>
                <w:spacing w:val="-2"/>
                <w:sz w:val="22"/>
              </w:rPr>
              <w:t>Tratamientos</w:t>
            </w:r>
          </w:p>
        </w:tc>
        <w:tc>
          <w:tcPr>
            <w:tcW w:w="1415" w:type="dxa"/>
            <w:tcBorders>
              <w:top w:val="single" w:sz="4" w:space="0" w:color="000000"/>
            </w:tcBorders>
          </w:tcPr>
          <w:p>
            <w:pPr>
              <w:pStyle w:val="TableParagraph"/>
              <w:spacing w:before="47"/>
              <w:ind w:left="690"/>
              <w:rPr>
                <w:sz w:val="22"/>
              </w:rPr>
            </w:pPr>
            <w:r>
              <w:rPr>
                <w:spacing w:val="-2"/>
                <w:sz w:val="22"/>
              </w:rPr>
              <w:t>13.25</w:t>
            </w:r>
          </w:p>
        </w:tc>
        <w:tc>
          <w:tcPr>
            <w:tcW w:w="589" w:type="dxa"/>
            <w:tcBorders>
              <w:top w:val="single" w:sz="4" w:space="0" w:color="000000"/>
            </w:tcBorders>
          </w:tcPr>
          <w:p>
            <w:pPr>
              <w:pStyle w:val="TableParagraph"/>
              <w:spacing w:before="47"/>
              <w:ind w:right="19"/>
              <w:jc w:val="center"/>
              <w:rPr>
                <w:sz w:val="22"/>
              </w:rPr>
            </w:pPr>
            <w:r>
              <w:rPr>
                <w:spacing w:val="-10"/>
                <w:sz w:val="22"/>
              </w:rPr>
              <w:t>3</w:t>
            </w:r>
          </w:p>
        </w:tc>
        <w:tc>
          <w:tcPr>
            <w:tcW w:w="833" w:type="dxa"/>
            <w:tcBorders>
              <w:top w:val="single" w:sz="4" w:space="0" w:color="000000"/>
            </w:tcBorders>
          </w:tcPr>
          <w:p>
            <w:pPr>
              <w:pStyle w:val="TableParagraph"/>
              <w:spacing w:before="47"/>
              <w:ind w:left="110"/>
              <w:rPr>
                <w:sz w:val="22"/>
              </w:rPr>
            </w:pPr>
            <w:r>
              <w:rPr>
                <w:spacing w:val="-4"/>
                <w:sz w:val="22"/>
              </w:rPr>
              <w:t>4.42</w:t>
            </w:r>
          </w:p>
        </w:tc>
        <w:tc>
          <w:tcPr>
            <w:tcW w:w="952" w:type="dxa"/>
            <w:tcBorders>
              <w:top w:val="single" w:sz="4" w:space="0" w:color="000000"/>
            </w:tcBorders>
          </w:tcPr>
          <w:p>
            <w:pPr>
              <w:pStyle w:val="TableParagraph"/>
              <w:spacing w:before="47"/>
              <w:ind w:left="227"/>
              <w:rPr>
                <w:sz w:val="22"/>
              </w:rPr>
            </w:pPr>
            <w:r>
              <w:rPr>
                <w:spacing w:val="-2"/>
                <w:sz w:val="22"/>
              </w:rPr>
              <w:t>176.5</w:t>
            </w:r>
          </w:p>
        </w:tc>
        <w:tc>
          <w:tcPr>
            <w:tcW w:w="1385" w:type="dxa"/>
            <w:tcBorders>
              <w:top w:val="single" w:sz="4" w:space="0" w:color="000000"/>
            </w:tcBorders>
          </w:tcPr>
          <w:p>
            <w:pPr>
              <w:pStyle w:val="TableParagraph"/>
              <w:spacing w:before="47"/>
              <w:ind w:left="228"/>
              <w:rPr>
                <w:sz w:val="22"/>
              </w:rPr>
            </w:pPr>
            <w:r>
              <w:rPr>
                <w:spacing w:val="-2"/>
                <w:sz w:val="22"/>
              </w:rPr>
              <w:t>&lt;0.001</w:t>
            </w:r>
          </w:p>
        </w:tc>
      </w:tr>
      <w:tr>
        <w:trPr>
          <w:trHeight w:val="313" w:hRule="atLeast"/>
        </w:trPr>
        <w:tc>
          <w:tcPr>
            <w:tcW w:w="2759" w:type="dxa"/>
          </w:tcPr>
          <w:p>
            <w:pPr>
              <w:pStyle w:val="TableParagraph"/>
              <w:spacing w:before="25"/>
              <w:ind w:left="45"/>
              <w:rPr>
                <w:b/>
                <w:sz w:val="22"/>
              </w:rPr>
            </w:pPr>
            <w:r>
              <w:rPr>
                <w:b/>
                <w:spacing w:val="-2"/>
                <w:sz w:val="22"/>
              </w:rPr>
              <w:t>Error</w:t>
            </w:r>
          </w:p>
        </w:tc>
        <w:tc>
          <w:tcPr>
            <w:tcW w:w="1415" w:type="dxa"/>
          </w:tcPr>
          <w:p>
            <w:pPr>
              <w:pStyle w:val="TableParagraph"/>
              <w:spacing w:before="25"/>
              <w:ind w:left="690"/>
              <w:rPr>
                <w:sz w:val="22"/>
              </w:rPr>
            </w:pPr>
            <w:r>
              <w:rPr>
                <w:spacing w:val="-4"/>
                <w:sz w:val="22"/>
              </w:rPr>
              <w:t>0.30</w:t>
            </w:r>
          </w:p>
        </w:tc>
        <w:tc>
          <w:tcPr>
            <w:tcW w:w="589" w:type="dxa"/>
          </w:tcPr>
          <w:p>
            <w:pPr>
              <w:pStyle w:val="TableParagraph"/>
              <w:spacing w:before="25"/>
              <w:ind w:left="119" w:right="30"/>
              <w:jc w:val="center"/>
              <w:rPr>
                <w:sz w:val="22"/>
              </w:rPr>
            </w:pPr>
            <w:r>
              <w:rPr>
                <w:spacing w:val="-5"/>
                <w:sz w:val="22"/>
              </w:rPr>
              <w:t>12</w:t>
            </w:r>
          </w:p>
        </w:tc>
        <w:tc>
          <w:tcPr>
            <w:tcW w:w="833" w:type="dxa"/>
          </w:tcPr>
          <w:p>
            <w:pPr>
              <w:pStyle w:val="TableParagraph"/>
              <w:spacing w:before="25"/>
              <w:ind w:left="110"/>
              <w:rPr>
                <w:sz w:val="22"/>
              </w:rPr>
            </w:pPr>
            <w:r>
              <w:rPr>
                <w:spacing w:val="-2"/>
                <w:sz w:val="22"/>
              </w:rPr>
              <w:t>0.025</w:t>
            </w:r>
          </w:p>
        </w:tc>
        <w:tc>
          <w:tcPr>
            <w:tcW w:w="952" w:type="dxa"/>
          </w:tcPr>
          <w:p>
            <w:pPr>
              <w:pStyle w:val="TableParagraph"/>
              <w:rPr>
                <w:sz w:val="22"/>
              </w:rPr>
            </w:pPr>
          </w:p>
        </w:tc>
        <w:tc>
          <w:tcPr>
            <w:tcW w:w="1385" w:type="dxa"/>
          </w:tcPr>
          <w:p>
            <w:pPr>
              <w:pStyle w:val="TableParagraph"/>
              <w:rPr>
                <w:sz w:val="22"/>
              </w:rPr>
            </w:pPr>
          </w:p>
        </w:tc>
      </w:tr>
      <w:tr>
        <w:trPr>
          <w:trHeight w:val="293" w:hRule="atLeast"/>
        </w:trPr>
        <w:tc>
          <w:tcPr>
            <w:tcW w:w="2759" w:type="dxa"/>
            <w:tcBorders>
              <w:bottom w:val="single" w:sz="4" w:space="0" w:color="000000"/>
            </w:tcBorders>
          </w:tcPr>
          <w:p>
            <w:pPr>
              <w:pStyle w:val="TableParagraph"/>
              <w:spacing w:line="248" w:lineRule="exact" w:before="26"/>
              <w:ind w:left="45"/>
              <w:rPr>
                <w:b/>
                <w:sz w:val="22"/>
              </w:rPr>
            </w:pPr>
            <w:r>
              <w:rPr>
                <w:b/>
                <w:spacing w:val="-2"/>
                <w:sz w:val="22"/>
              </w:rPr>
              <w:t>Total</w:t>
            </w:r>
          </w:p>
        </w:tc>
        <w:tc>
          <w:tcPr>
            <w:tcW w:w="1415" w:type="dxa"/>
            <w:tcBorders>
              <w:bottom w:val="single" w:sz="4" w:space="0" w:color="000000"/>
            </w:tcBorders>
          </w:tcPr>
          <w:p>
            <w:pPr>
              <w:pStyle w:val="TableParagraph"/>
              <w:spacing w:line="248" w:lineRule="exact" w:before="26"/>
              <w:ind w:left="690"/>
              <w:rPr>
                <w:sz w:val="22"/>
              </w:rPr>
            </w:pPr>
            <w:r>
              <w:rPr>
                <w:spacing w:val="-2"/>
                <w:sz w:val="22"/>
              </w:rPr>
              <w:t>13.55</w:t>
            </w:r>
          </w:p>
        </w:tc>
        <w:tc>
          <w:tcPr>
            <w:tcW w:w="589" w:type="dxa"/>
            <w:tcBorders>
              <w:bottom w:val="single" w:sz="4" w:space="0" w:color="000000"/>
            </w:tcBorders>
          </w:tcPr>
          <w:p>
            <w:pPr>
              <w:pStyle w:val="TableParagraph"/>
              <w:spacing w:line="248" w:lineRule="exact" w:before="26"/>
              <w:ind w:left="119" w:right="30"/>
              <w:jc w:val="center"/>
              <w:rPr>
                <w:sz w:val="22"/>
              </w:rPr>
            </w:pPr>
            <w:r>
              <w:rPr>
                <w:spacing w:val="-5"/>
                <w:sz w:val="22"/>
              </w:rPr>
              <w:t>15</w:t>
            </w:r>
          </w:p>
        </w:tc>
        <w:tc>
          <w:tcPr>
            <w:tcW w:w="833" w:type="dxa"/>
            <w:tcBorders>
              <w:bottom w:val="single" w:sz="4" w:space="0" w:color="000000"/>
            </w:tcBorders>
          </w:tcPr>
          <w:p>
            <w:pPr>
              <w:pStyle w:val="TableParagraph"/>
              <w:rPr>
                <w:sz w:val="22"/>
              </w:rPr>
            </w:pPr>
          </w:p>
        </w:tc>
        <w:tc>
          <w:tcPr>
            <w:tcW w:w="952" w:type="dxa"/>
            <w:tcBorders>
              <w:bottom w:val="single" w:sz="4" w:space="0" w:color="000000"/>
            </w:tcBorders>
          </w:tcPr>
          <w:p>
            <w:pPr>
              <w:pStyle w:val="TableParagraph"/>
              <w:rPr>
                <w:sz w:val="22"/>
              </w:rPr>
            </w:pPr>
          </w:p>
        </w:tc>
        <w:tc>
          <w:tcPr>
            <w:tcW w:w="1385" w:type="dxa"/>
            <w:tcBorders>
              <w:bottom w:val="single" w:sz="4" w:space="0" w:color="000000"/>
            </w:tcBorders>
          </w:tcPr>
          <w:p>
            <w:pPr>
              <w:pStyle w:val="TableParagraph"/>
              <w:rPr>
                <w:sz w:val="22"/>
              </w:rPr>
            </w:pPr>
          </w:p>
        </w:tc>
      </w:tr>
    </w:tbl>
    <w:p>
      <w:pPr>
        <w:pStyle w:val="BodyText"/>
        <w:spacing w:before="137"/>
        <w:ind w:left="0"/>
        <w:rPr>
          <w:i/>
          <w:sz w:val="20"/>
        </w:rPr>
      </w:pPr>
      <w:r>
        <w:rPr>
          <w:i/>
          <w:sz w:val="20"/>
        </w:rPr>
        <w:drawing>
          <wp:anchor distT="0" distB="0" distL="0" distR="0" allowOverlap="1" layoutInCell="1" locked="0" behindDoc="1" simplePos="0" relativeHeight="487593472">
            <wp:simplePos x="0" y="0"/>
            <wp:positionH relativeFrom="page">
              <wp:posOffset>1440180</wp:posOffset>
            </wp:positionH>
            <wp:positionV relativeFrom="paragraph">
              <wp:posOffset>248666</wp:posOffset>
            </wp:positionV>
            <wp:extent cx="5014943" cy="2578607"/>
            <wp:effectExtent l="0" t="0" r="0" b="0"/>
            <wp:wrapTopAndBottom/>
            <wp:docPr id="33" name="Image 33"/>
            <wp:cNvGraphicFramePr>
              <a:graphicFrameLocks/>
            </wp:cNvGraphicFramePr>
            <a:graphic>
              <a:graphicData uri="http://schemas.openxmlformats.org/drawingml/2006/picture">
                <pic:pic>
                  <pic:nvPicPr>
                    <pic:cNvPr id="33" name="Image 33"/>
                    <pic:cNvPicPr/>
                  </pic:nvPicPr>
                  <pic:blipFill>
                    <a:blip r:embed="rId21" cstate="print"/>
                    <a:stretch>
                      <a:fillRect/>
                    </a:stretch>
                  </pic:blipFill>
                  <pic:spPr>
                    <a:xfrm>
                      <a:off x="0" y="0"/>
                      <a:ext cx="5014943" cy="2578607"/>
                    </a:xfrm>
                    <a:prstGeom prst="rect">
                      <a:avLst/>
                    </a:prstGeom>
                  </pic:spPr>
                </pic:pic>
              </a:graphicData>
            </a:graphic>
          </wp:anchor>
        </w:drawing>
      </w:r>
    </w:p>
    <w:p>
      <w:pPr>
        <w:pStyle w:val="BodyText"/>
        <w:spacing w:before="240"/>
        <w:ind w:left="0"/>
        <w:rPr>
          <w:i/>
        </w:rPr>
      </w:pPr>
    </w:p>
    <w:p>
      <w:pPr>
        <w:pStyle w:val="BodyText"/>
        <w:spacing w:line="360" w:lineRule="auto"/>
        <w:ind w:right="851"/>
        <w:jc w:val="both"/>
      </w:pPr>
      <w:r>
        <w:rPr/>
        <w:t>El ANOVA aplicado sobre la variable ganancia de peso evidenció diferencias altamente</w:t>
      </w:r>
      <w:r>
        <w:rPr>
          <w:spacing w:val="-4"/>
        </w:rPr>
        <w:t> </w:t>
      </w:r>
      <w:r>
        <w:rPr/>
        <w:t>significativas</w:t>
      </w:r>
      <w:r>
        <w:rPr>
          <w:spacing w:val="-3"/>
        </w:rPr>
        <w:t> </w:t>
      </w:r>
      <w:r>
        <w:rPr/>
        <w:t>entre</w:t>
      </w:r>
      <w:r>
        <w:rPr>
          <w:spacing w:val="-5"/>
        </w:rPr>
        <w:t> </w:t>
      </w:r>
      <w:r>
        <w:rPr/>
        <w:t>los</w:t>
      </w:r>
      <w:r>
        <w:rPr>
          <w:spacing w:val="-3"/>
        </w:rPr>
        <w:t> </w:t>
      </w:r>
      <w:r>
        <w:rPr/>
        <w:t>tratamientos</w:t>
      </w:r>
      <w:r>
        <w:rPr>
          <w:spacing w:val="-3"/>
        </w:rPr>
        <w:t> </w:t>
      </w:r>
      <w:r>
        <w:rPr/>
        <w:t>evaluados</w:t>
      </w:r>
      <w:r>
        <w:rPr>
          <w:spacing w:val="-3"/>
        </w:rPr>
        <w:t> </w:t>
      </w:r>
      <w:r>
        <w:rPr/>
        <w:t>(F=176.5;</w:t>
      </w:r>
      <w:r>
        <w:rPr>
          <w:spacing w:val="-3"/>
        </w:rPr>
        <w:t> </w:t>
      </w:r>
      <w:r>
        <w:rPr/>
        <w:t>p&lt;0.001).</w:t>
      </w:r>
      <w:r>
        <w:rPr>
          <w:spacing w:val="-4"/>
        </w:rPr>
        <w:t> </w:t>
      </w:r>
      <w:r>
        <w:rPr/>
        <w:t>Esto fue un reflejo de los diferentes protocolos analgésicos que se han evaluado en terneros que han sido sometidos a procedimiento de descorne para dicha variable. El SC total generado por los tratamientos (13.25), resulta muy superior al SC atribuible</w:t>
      </w:r>
      <w:r>
        <w:rPr>
          <w:spacing w:val="-14"/>
        </w:rPr>
        <w:t> </w:t>
      </w:r>
      <w:r>
        <w:rPr/>
        <w:t>al</w:t>
      </w:r>
      <w:r>
        <w:rPr>
          <w:spacing w:val="-13"/>
        </w:rPr>
        <w:t> </w:t>
      </w:r>
      <w:r>
        <w:rPr/>
        <w:t>error</w:t>
      </w:r>
      <w:r>
        <w:rPr>
          <w:spacing w:val="-11"/>
        </w:rPr>
        <w:t> </w:t>
      </w:r>
      <w:r>
        <w:rPr/>
        <w:t>experimental</w:t>
      </w:r>
      <w:r>
        <w:rPr>
          <w:spacing w:val="-13"/>
        </w:rPr>
        <w:t> </w:t>
      </w:r>
      <w:r>
        <w:rPr/>
        <w:t>(0.30).</w:t>
      </w:r>
      <w:r>
        <w:rPr>
          <w:spacing w:val="-14"/>
        </w:rPr>
        <w:t> </w:t>
      </w:r>
      <w:r>
        <w:rPr/>
        <w:t>Esto</w:t>
      </w:r>
      <w:r>
        <w:rPr>
          <w:spacing w:val="-13"/>
        </w:rPr>
        <w:t> </w:t>
      </w:r>
      <w:r>
        <w:rPr/>
        <w:t>demuestra</w:t>
      </w:r>
      <w:r>
        <w:rPr>
          <w:spacing w:val="-15"/>
        </w:rPr>
        <w:t> </w:t>
      </w:r>
      <w:r>
        <w:rPr/>
        <w:t>que</w:t>
      </w:r>
      <w:r>
        <w:rPr>
          <w:spacing w:val="-12"/>
        </w:rPr>
        <w:t> </w:t>
      </w:r>
      <w:r>
        <w:rPr/>
        <w:t>la</w:t>
      </w:r>
      <w:r>
        <w:rPr>
          <w:spacing w:val="-14"/>
        </w:rPr>
        <w:t> </w:t>
      </w:r>
      <w:r>
        <w:rPr/>
        <w:t>mayor</w:t>
      </w:r>
      <w:r>
        <w:rPr>
          <w:spacing w:val="-14"/>
        </w:rPr>
        <w:t> </w:t>
      </w:r>
      <w:r>
        <w:rPr/>
        <w:t>variabilidad</w:t>
      </w:r>
      <w:r>
        <w:rPr>
          <w:spacing w:val="-14"/>
        </w:rPr>
        <w:t> </w:t>
      </w:r>
      <w:r>
        <w:rPr/>
        <w:t>en ganancia de peso se debió a la aplicación de los diferentes protocolos analgésicos evaluados,</w:t>
      </w:r>
      <w:r>
        <w:rPr>
          <w:spacing w:val="-5"/>
        </w:rPr>
        <w:t> </w:t>
      </w:r>
      <w:r>
        <w:rPr/>
        <w:t>por</w:t>
      </w:r>
      <w:r>
        <w:rPr>
          <w:spacing w:val="-6"/>
        </w:rPr>
        <w:t> </w:t>
      </w:r>
      <w:r>
        <w:rPr/>
        <w:t>lo</w:t>
      </w:r>
      <w:r>
        <w:rPr>
          <w:spacing w:val="-5"/>
        </w:rPr>
        <w:t> </w:t>
      </w:r>
      <w:r>
        <w:rPr/>
        <w:t>cual</w:t>
      </w:r>
      <w:r>
        <w:rPr>
          <w:spacing w:val="-5"/>
        </w:rPr>
        <w:t> </w:t>
      </w:r>
      <w:r>
        <w:rPr/>
        <w:t>los</w:t>
      </w:r>
      <w:r>
        <w:rPr>
          <w:spacing w:val="-5"/>
        </w:rPr>
        <w:t> </w:t>
      </w:r>
      <w:r>
        <w:rPr/>
        <w:t>tratamientos</w:t>
      </w:r>
      <w:r>
        <w:rPr>
          <w:spacing w:val="-5"/>
        </w:rPr>
        <w:t> </w:t>
      </w:r>
      <w:r>
        <w:rPr/>
        <w:t>influyeron</w:t>
      </w:r>
      <w:r>
        <w:rPr>
          <w:spacing w:val="-4"/>
        </w:rPr>
        <w:t> </w:t>
      </w:r>
      <w:r>
        <w:rPr/>
        <w:t>significativamente</w:t>
      </w:r>
      <w:r>
        <w:rPr>
          <w:spacing w:val="-5"/>
        </w:rPr>
        <w:t> </w:t>
      </w:r>
      <w:r>
        <w:rPr/>
        <w:t>en</w:t>
      </w:r>
      <w:r>
        <w:rPr>
          <w:spacing w:val="-5"/>
        </w:rPr>
        <w:t> </w:t>
      </w:r>
      <w:r>
        <w:rPr/>
        <w:t>la</w:t>
      </w:r>
      <w:r>
        <w:rPr>
          <w:spacing w:val="-5"/>
        </w:rPr>
        <w:t> </w:t>
      </w:r>
      <w:r>
        <w:rPr/>
        <w:t>variable ganancia de peso.</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48"/>
        <w:jc w:val="both"/>
      </w:pPr>
      <w:r>
        <w:rPr/>
        <w:t>Los resultados mostraron que los protocolos analgésicos evaluados impactaron significamente</w:t>
      </w:r>
      <w:r>
        <w:rPr>
          <w:spacing w:val="-4"/>
        </w:rPr>
        <w:t> </w:t>
      </w:r>
      <w:r>
        <w:rPr/>
        <w:t>el</w:t>
      </w:r>
      <w:r>
        <w:rPr>
          <w:spacing w:val="-4"/>
        </w:rPr>
        <w:t> </w:t>
      </w:r>
      <w:r>
        <w:rPr/>
        <w:t>desempeño</w:t>
      </w:r>
      <w:r>
        <w:rPr>
          <w:spacing w:val="-4"/>
        </w:rPr>
        <w:t> </w:t>
      </w:r>
      <w:r>
        <w:rPr/>
        <w:t>productivo</w:t>
      </w:r>
      <w:r>
        <w:rPr>
          <w:spacing w:val="-4"/>
        </w:rPr>
        <w:t> </w:t>
      </w:r>
      <w:r>
        <w:rPr/>
        <w:t>de</w:t>
      </w:r>
      <w:r>
        <w:rPr>
          <w:spacing w:val="-5"/>
        </w:rPr>
        <w:t> </w:t>
      </w:r>
      <w:r>
        <w:rPr/>
        <w:t>los</w:t>
      </w:r>
      <w:r>
        <w:rPr>
          <w:spacing w:val="-4"/>
        </w:rPr>
        <w:t> </w:t>
      </w:r>
      <w:r>
        <w:rPr/>
        <w:t>terneros</w:t>
      </w:r>
      <w:r>
        <w:rPr>
          <w:spacing w:val="-4"/>
        </w:rPr>
        <w:t> </w:t>
      </w:r>
      <w:r>
        <w:rPr/>
        <w:t>de</w:t>
      </w:r>
      <w:r>
        <w:rPr>
          <w:spacing w:val="-4"/>
        </w:rPr>
        <w:t> </w:t>
      </w:r>
      <w:r>
        <w:rPr/>
        <w:t>leche.</w:t>
      </w:r>
      <w:r>
        <w:rPr>
          <w:spacing w:val="-2"/>
        </w:rPr>
        <w:t> </w:t>
      </w:r>
      <w:r>
        <w:rPr/>
        <w:t>Los</w:t>
      </w:r>
      <w:r>
        <w:rPr>
          <w:spacing w:val="-4"/>
        </w:rPr>
        <w:t> </w:t>
      </w:r>
      <w:r>
        <w:rPr/>
        <w:t>tratamientos que mejor controlan el dolor y la inflamación postoperatoria favorecieron una mayor</w:t>
      </w:r>
      <w:r>
        <w:rPr>
          <w:spacing w:val="-9"/>
        </w:rPr>
        <w:t> </w:t>
      </w:r>
      <w:r>
        <w:rPr/>
        <w:t>ganancia</w:t>
      </w:r>
      <w:r>
        <w:rPr>
          <w:spacing w:val="-14"/>
        </w:rPr>
        <w:t> </w:t>
      </w:r>
      <w:r>
        <w:rPr/>
        <w:t>de</w:t>
      </w:r>
      <w:r>
        <w:rPr>
          <w:spacing w:val="-14"/>
        </w:rPr>
        <w:t> </w:t>
      </w:r>
      <w:r>
        <w:rPr/>
        <w:t>peso</w:t>
      </w:r>
      <w:r>
        <w:rPr>
          <w:spacing w:val="-13"/>
        </w:rPr>
        <w:t> </w:t>
      </w:r>
      <w:r>
        <w:rPr/>
        <w:t>en</w:t>
      </w:r>
      <w:r>
        <w:rPr>
          <w:spacing w:val="-13"/>
        </w:rPr>
        <w:t> </w:t>
      </w:r>
      <w:r>
        <w:rPr/>
        <w:t>los</w:t>
      </w:r>
      <w:r>
        <w:rPr>
          <w:spacing w:val="-12"/>
        </w:rPr>
        <w:t> </w:t>
      </w:r>
      <w:r>
        <w:rPr/>
        <w:t>terneros.</w:t>
      </w:r>
      <w:r>
        <w:rPr>
          <w:spacing w:val="-8"/>
        </w:rPr>
        <w:t> </w:t>
      </w:r>
      <w:r>
        <w:rPr/>
        <w:t>Según</w:t>
      </w:r>
      <w:r>
        <w:rPr>
          <w:spacing w:val="-13"/>
        </w:rPr>
        <w:t> </w:t>
      </w:r>
      <w:r>
        <w:rPr/>
        <w:t>Qi</w:t>
      </w:r>
      <w:r>
        <w:rPr>
          <w:spacing w:val="-11"/>
        </w:rPr>
        <w:t> </w:t>
      </w:r>
      <w:r>
        <w:rPr/>
        <w:t>et</w:t>
      </w:r>
      <w:r>
        <w:rPr>
          <w:spacing w:val="-13"/>
        </w:rPr>
        <w:t> </w:t>
      </w:r>
      <w:r>
        <w:rPr/>
        <w:t>al.</w:t>
      </w:r>
      <w:r>
        <w:rPr>
          <w:spacing w:val="-13"/>
        </w:rPr>
        <w:t> </w:t>
      </w:r>
      <w:r>
        <w:rPr/>
        <w:t>(2024),</w:t>
      </w:r>
      <w:r>
        <w:rPr>
          <w:spacing w:val="-11"/>
        </w:rPr>
        <w:t> </w:t>
      </w:r>
      <w:r>
        <w:rPr/>
        <w:t>el</w:t>
      </w:r>
      <w:r>
        <w:rPr>
          <w:spacing w:val="-13"/>
        </w:rPr>
        <w:t> </w:t>
      </w:r>
      <w:r>
        <w:rPr/>
        <w:t>uso</w:t>
      </w:r>
      <w:r>
        <w:rPr>
          <w:spacing w:val="-13"/>
        </w:rPr>
        <w:t> </w:t>
      </w:r>
      <w:r>
        <w:rPr/>
        <w:t>de</w:t>
      </w:r>
      <w:r>
        <w:rPr>
          <w:spacing w:val="-14"/>
        </w:rPr>
        <w:t> </w:t>
      </w:r>
      <w:r>
        <w:rPr/>
        <w:t>estrategias analgésicas para el manejo del dolor en la cirugía permite controlar el estrés fisiológico del paciente durante la cirugía. Esto contribuye a optimizar la recuperación, y se obtiene.</w:t>
      </w:r>
    </w:p>
    <w:p>
      <w:pPr>
        <w:pStyle w:val="Heading3"/>
        <w:spacing w:before="240"/>
        <w:jc w:val="both"/>
      </w:pPr>
      <w:bookmarkStart w:name="_bookmark62" w:id="63"/>
      <w:bookmarkEnd w:id="63"/>
      <w:r>
        <w:rPr>
          <w:b w:val="0"/>
          <w:i w:val="0"/>
        </w:rPr>
      </w:r>
      <w:r>
        <w:rPr/>
        <w:t>Tabla </w:t>
      </w:r>
      <w:r>
        <w:rPr>
          <w:spacing w:val="-5"/>
        </w:rPr>
        <w:t>15</w:t>
      </w:r>
    </w:p>
    <w:p>
      <w:pPr>
        <w:spacing w:before="0" w:after="32"/>
        <w:ind w:left="1135" w:right="0" w:firstLine="0"/>
        <w:jc w:val="both"/>
        <w:rPr>
          <w:i/>
          <w:sz w:val="24"/>
        </w:rPr>
      </w:pPr>
      <w:r>
        <w:rPr>
          <w:i/>
          <w:sz w:val="24"/>
        </w:rPr>
        <w:t>Comparación</w:t>
      </w:r>
      <w:r>
        <w:rPr>
          <w:i/>
          <w:spacing w:val="-2"/>
          <w:sz w:val="24"/>
        </w:rPr>
        <w:t> </w:t>
      </w:r>
      <w:r>
        <w:rPr>
          <w:i/>
          <w:sz w:val="24"/>
        </w:rPr>
        <w:t>de</w:t>
      </w:r>
      <w:r>
        <w:rPr>
          <w:i/>
          <w:spacing w:val="-2"/>
          <w:sz w:val="24"/>
        </w:rPr>
        <w:t> </w:t>
      </w:r>
      <w:r>
        <w:rPr>
          <w:i/>
          <w:sz w:val="24"/>
        </w:rPr>
        <w:t>medias</w:t>
      </w:r>
      <w:r>
        <w:rPr>
          <w:i/>
          <w:spacing w:val="1"/>
          <w:sz w:val="24"/>
        </w:rPr>
        <w:t> </w:t>
      </w:r>
      <w:r>
        <w:rPr>
          <w:i/>
          <w:sz w:val="24"/>
        </w:rPr>
        <w:t>Tukey (Ganancia</w:t>
      </w:r>
      <w:r>
        <w:rPr>
          <w:i/>
          <w:spacing w:val="-2"/>
          <w:sz w:val="24"/>
        </w:rPr>
        <w:t> </w:t>
      </w:r>
      <w:r>
        <w:rPr>
          <w:i/>
          <w:sz w:val="24"/>
        </w:rPr>
        <w:t>de</w:t>
      </w:r>
      <w:r>
        <w:rPr>
          <w:i/>
          <w:spacing w:val="-1"/>
          <w:sz w:val="24"/>
        </w:rPr>
        <w:t> </w:t>
      </w:r>
      <w:r>
        <w:rPr>
          <w:i/>
          <w:spacing w:val="-4"/>
          <w:sz w:val="24"/>
        </w:rPr>
        <w:t>peso)</w:t>
      </w:r>
    </w:p>
    <w:tbl>
      <w:tblPr>
        <w:tblW w:w="0" w:type="auto"/>
        <w:jc w:val="left"/>
        <w:tblInd w:w="1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75"/>
        <w:gridCol w:w="2359"/>
      </w:tblGrid>
      <w:tr>
        <w:trPr>
          <w:trHeight w:val="280" w:hRule="atLeast"/>
        </w:trPr>
        <w:tc>
          <w:tcPr>
            <w:tcW w:w="5575" w:type="dxa"/>
            <w:tcBorders>
              <w:top w:val="single" w:sz="4" w:space="0" w:color="000000"/>
              <w:bottom w:val="single" w:sz="4" w:space="0" w:color="000000"/>
            </w:tcBorders>
          </w:tcPr>
          <w:p>
            <w:pPr>
              <w:pStyle w:val="TableParagraph"/>
              <w:spacing w:line="248" w:lineRule="exact" w:before="13"/>
              <w:ind w:left="45"/>
              <w:rPr>
                <w:b/>
                <w:sz w:val="22"/>
              </w:rPr>
            </w:pPr>
            <w:r>
              <w:rPr>
                <w:b/>
                <w:spacing w:val="-2"/>
                <w:sz w:val="22"/>
              </w:rPr>
              <w:t>Tratamiento</w:t>
            </w:r>
          </w:p>
        </w:tc>
        <w:tc>
          <w:tcPr>
            <w:tcW w:w="2359" w:type="dxa"/>
            <w:tcBorders>
              <w:top w:val="single" w:sz="4" w:space="0" w:color="000000"/>
              <w:bottom w:val="single" w:sz="4" w:space="0" w:color="000000"/>
            </w:tcBorders>
          </w:tcPr>
          <w:p>
            <w:pPr>
              <w:pStyle w:val="TableParagraph"/>
              <w:spacing w:line="248" w:lineRule="exact" w:before="13"/>
              <w:ind w:left="30"/>
              <w:rPr>
                <w:b/>
                <w:sz w:val="22"/>
              </w:rPr>
            </w:pPr>
            <w:r>
              <w:rPr>
                <w:b/>
                <w:sz w:val="22"/>
              </w:rPr>
              <w:t>Ganancia</w:t>
            </w:r>
            <w:r>
              <w:rPr>
                <w:b/>
                <w:spacing w:val="-3"/>
                <w:sz w:val="22"/>
              </w:rPr>
              <w:t> </w:t>
            </w:r>
            <w:r>
              <w:rPr>
                <w:b/>
                <w:sz w:val="22"/>
              </w:rPr>
              <w:t>de</w:t>
            </w:r>
            <w:r>
              <w:rPr>
                <w:b/>
                <w:spacing w:val="-4"/>
                <w:sz w:val="22"/>
              </w:rPr>
              <w:t> </w:t>
            </w:r>
            <w:r>
              <w:rPr>
                <w:b/>
                <w:sz w:val="22"/>
              </w:rPr>
              <w:t>peso</w:t>
            </w:r>
            <w:r>
              <w:rPr>
                <w:b/>
                <w:spacing w:val="-2"/>
                <w:sz w:val="22"/>
              </w:rPr>
              <w:t> </w:t>
            </w:r>
            <w:r>
              <w:rPr>
                <w:b/>
                <w:spacing w:val="-4"/>
                <w:sz w:val="22"/>
              </w:rPr>
              <w:t>(kg)</w:t>
            </w:r>
          </w:p>
        </w:tc>
      </w:tr>
      <w:tr>
        <w:trPr>
          <w:trHeight w:val="333" w:hRule="atLeast"/>
        </w:trPr>
        <w:tc>
          <w:tcPr>
            <w:tcW w:w="5575" w:type="dxa"/>
            <w:tcBorders>
              <w:top w:val="single" w:sz="4" w:space="0" w:color="000000"/>
            </w:tcBorders>
          </w:tcPr>
          <w:p>
            <w:pPr>
              <w:pStyle w:val="TableParagraph"/>
              <w:spacing w:before="46"/>
              <w:ind w:left="45"/>
              <w:rPr>
                <w:sz w:val="22"/>
              </w:rPr>
            </w:pPr>
            <w:r>
              <w:rPr>
                <w:sz w:val="22"/>
              </w:rPr>
              <w:t>T0</w:t>
            </w:r>
            <w:r>
              <w:rPr>
                <w:spacing w:val="-4"/>
                <w:sz w:val="22"/>
              </w:rPr>
              <w:t> </w:t>
            </w:r>
            <w:r>
              <w:rPr>
                <w:spacing w:val="-2"/>
                <w:sz w:val="22"/>
              </w:rPr>
              <w:t>(Testigo)</w:t>
            </w:r>
          </w:p>
        </w:tc>
        <w:tc>
          <w:tcPr>
            <w:tcW w:w="2359" w:type="dxa"/>
            <w:tcBorders>
              <w:top w:val="single" w:sz="4" w:space="0" w:color="000000"/>
            </w:tcBorders>
          </w:tcPr>
          <w:p>
            <w:pPr>
              <w:pStyle w:val="TableParagraph"/>
              <w:spacing w:before="46"/>
              <w:ind w:left="30"/>
              <w:rPr>
                <w:sz w:val="22"/>
              </w:rPr>
            </w:pPr>
            <w:r>
              <w:rPr>
                <w:sz w:val="22"/>
              </w:rPr>
              <w:t>3.80 ±</w:t>
            </w:r>
            <w:r>
              <w:rPr>
                <w:spacing w:val="-2"/>
                <w:sz w:val="22"/>
              </w:rPr>
              <w:t> </w:t>
            </w:r>
            <w:r>
              <w:rPr>
                <w:sz w:val="22"/>
              </w:rPr>
              <w:t>0.03 </w:t>
            </w:r>
            <w:r>
              <w:rPr>
                <w:spacing w:val="-10"/>
                <w:sz w:val="22"/>
              </w:rPr>
              <w:t>b</w:t>
            </w:r>
          </w:p>
        </w:tc>
      </w:tr>
      <w:tr>
        <w:trPr>
          <w:trHeight w:val="312" w:hRule="atLeast"/>
        </w:trPr>
        <w:tc>
          <w:tcPr>
            <w:tcW w:w="5575" w:type="dxa"/>
          </w:tcPr>
          <w:p>
            <w:pPr>
              <w:pStyle w:val="TableParagraph"/>
              <w:spacing w:before="25"/>
              <w:ind w:left="45"/>
              <w:rPr>
                <w:sz w:val="22"/>
              </w:rPr>
            </w:pPr>
            <w:r>
              <w:rPr>
                <w:sz w:val="22"/>
              </w:rPr>
              <w:t>T1</w:t>
            </w:r>
            <w:r>
              <w:rPr>
                <w:spacing w:val="-5"/>
                <w:sz w:val="22"/>
              </w:rPr>
              <w:t> </w:t>
            </w:r>
            <w:r>
              <w:rPr>
                <w:sz w:val="22"/>
              </w:rPr>
              <w:t>(Lidocaína</w:t>
            </w:r>
            <w:r>
              <w:rPr>
                <w:spacing w:val="-4"/>
                <w:sz w:val="22"/>
              </w:rPr>
              <w:t> </w:t>
            </w:r>
            <w:r>
              <w:rPr>
                <w:sz w:val="22"/>
              </w:rPr>
              <w:t>+</w:t>
            </w:r>
            <w:r>
              <w:rPr>
                <w:spacing w:val="-1"/>
                <w:sz w:val="22"/>
              </w:rPr>
              <w:t> </w:t>
            </w:r>
            <w:r>
              <w:rPr>
                <w:sz w:val="22"/>
              </w:rPr>
              <w:t>flunixin</w:t>
            </w:r>
            <w:r>
              <w:rPr>
                <w:spacing w:val="-2"/>
                <w:sz w:val="22"/>
              </w:rPr>
              <w:t> meglumine)</w:t>
            </w:r>
          </w:p>
        </w:tc>
        <w:tc>
          <w:tcPr>
            <w:tcW w:w="2359" w:type="dxa"/>
          </w:tcPr>
          <w:p>
            <w:pPr>
              <w:pStyle w:val="TableParagraph"/>
              <w:spacing w:before="25"/>
              <w:ind w:left="30"/>
              <w:rPr>
                <w:sz w:val="22"/>
              </w:rPr>
            </w:pPr>
            <w:r>
              <w:rPr>
                <w:sz w:val="22"/>
              </w:rPr>
              <w:t>1.60 ±</w:t>
            </w:r>
            <w:r>
              <w:rPr>
                <w:spacing w:val="-2"/>
                <w:sz w:val="22"/>
              </w:rPr>
              <w:t> </w:t>
            </w:r>
            <w:r>
              <w:rPr>
                <w:sz w:val="22"/>
              </w:rPr>
              <w:t>0.00 </w:t>
            </w:r>
            <w:r>
              <w:rPr>
                <w:spacing w:val="-10"/>
                <w:sz w:val="22"/>
              </w:rPr>
              <w:t>c</w:t>
            </w:r>
          </w:p>
        </w:tc>
      </w:tr>
      <w:tr>
        <w:trPr>
          <w:trHeight w:val="313" w:hRule="atLeast"/>
        </w:trPr>
        <w:tc>
          <w:tcPr>
            <w:tcW w:w="5575" w:type="dxa"/>
          </w:tcPr>
          <w:p>
            <w:pPr>
              <w:pStyle w:val="TableParagraph"/>
              <w:spacing w:before="25"/>
              <w:ind w:left="45"/>
              <w:rPr>
                <w:sz w:val="22"/>
              </w:rPr>
            </w:pPr>
            <w:r>
              <w:rPr>
                <w:sz w:val="22"/>
              </w:rPr>
              <w:t>T2</w:t>
            </w:r>
            <w:r>
              <w:rPr>
                <w:spacing w:val="-7"/>
                <w:sz w:val="22"/>
              </w:rPr>
              <w:t> </w:t>
            </w:r>
            <w:r>
              <w:rPr>
                <w:sz w:val="22"/>
              </w:rPr>
              <w:t>(Bupivacaína</w:t>
            </w:r>
            <w:r>
              <w:rPr>
                <w:spacing w:val="-4"/>
                <w:sz w:val="22"/>
              </w:rPr>
              <w:t> </w:t>
            </w:r>
            <w:r>
              <w:rPr>
                <w:sz w:val="22"/>
              </w:rPr>
              <w:t>+</w:t>
            </w:r>
            <w:r>
              <w:rPr>
                <w:spacing w:val="-2"/>
                <w:sz w:val="22"/>
              </w:rPr>
              <w:t> </w:t>
            </w:r>
            <w:r>
              <w:rPr>
                <w:sz w:val="22"/>
              </w:rPr>
              <w:t>flunixin</w:t>
            </w:r>
            <w:r>
              <w:rPr>
                <w:spacing w:val="-6"/>
                <w:sz w:val="22"/>
              </w:rPr>
              <w:t> </w:t>
            </w:r>
            <w:r>
              <w:rPr>
                <w:spacing w:val="-2"/>
                <w:sz w:val="22"/>
              </w:rPr>
              <w:t>meglumine)</w:t>
            </w:r>
          </w:p>
        </w:tc>
        <w:tc>
          <w:tcPr>
            <w:tcW w:w="2359" w:type="dxa"/>
          </w:tcPr>
          <w:p>
            <w:pPr>
              <w:pStyle w:val="TableParagraph"/>
              <w:spacing w:before="25"/>
              <w:ind w:left="30"/>
              <w:rPr>
                <w:sz w:val="22"/>
              </w:rPr>
            </w:pPr>
            <w:r>
              <w:rPr>
                <w:sz w:val="22"/>
              </w:rPr>
              <w:t>3.95 ±</w:t>
            </w:r>
            <w:r>
              <w:rPr>
                <w:spacing w:val="-2"/>
                <w:sz w:val="22"/>
              </w:rPr>
              <w:t> </w:t>
            </w:r>
            <w:r>
              <w:rPr>
                <w:sz w:val="22"/>
              </w:rPr>
              <w:t>0.03 </w:t>
            </w:r>
            <w:r>
              <w:rPr>
                <w:spacing w:val="-5"/>
                <w:sz w:val="22"/>
              </w:rPr>
              <w:t>ab</w:t>
            </w:r>
          </w:p>
        </w:tc>
      </w:tr>
      <w:tr>
        <w:trPr>
          <w:trHeight w:val="548" w:hRule="atLeast"/>
        </w:trPr>
        <w:tc>
          <w:tcPr>
            <w:tcW w:w="5575" w:type="dxa"/>
            <w:tcBorders>
              <w:bottom w:val="single" w:sz="4" w:space="0" w:color="000000"/>
            </w:tcBorders>
          </w:tcPr>
          <w:p>
            <w:pPr>
              <w:pStyle w:val="TableParagraph"/>
              <w:spacing w:line="252" w:lineRule="exact" w:before="24"/>
              <w:ind w:left="45"/>
              <w:rPr>
                <w:sz w:val="22"/>
              </w:rPr>
            </w:pPr>
            <w:r>
              <w:rPr>
                <w:sz w:val="22"/>
              </w:rPr>
              <w:t>T3</w:t>
            </w:r>
            <w:r>
              <w:rPr>
                <w:spacing w:val="80"/>
                <w:w w:val="150"/>
                <w:sz w:val="22"/>
              </w:rPr>
              <w:t> </w:t>
            </w:r>
            <w:r>
              <w:rPr>
                <w:sz w:val="22"/>
              </w:rPr>
              <w:t>(50%</w:t>
            </w:r>
            <w:r>
              <w:rPr>
                <w:spacing w:val="80"/>
                <w:w w:val="150"/>
                <w:sz w:val="22"/>
              </w:rPr>
              <w:t> </w:t>
            </w:r>
            <w:r>
              <w:rPr>
                <w:sz w:val="22"/>
              </w:rPr>
              <w:t>Lidocaína</w:t>
            </w:r>
            <w:r>
              <w:rPr>
                <w:spacing w:val="80"/>
                <w:w w:val="150"/>
                <w:sz w:val="22"/>
              </w:rPr>
              <w:t> </w:t>
            </w:r>
            <w:r>
              <w:rPr>
                <w:sz w:val="22"/>
              </w:rPr>
              <w:t>+</w:t>
            </w:r>
            <w:r>
              <w:rPr>
                <w:spacing w:val="80"/>
                <w:w w:val="150"/>
                <w:sz w:val="22"/>
              </w:rPr>
              <w:t> </w:t>
            </w:r>
            <w:r>
              <w:rPr>
                <w:sz w:val="22"/>
              </w:rPr>
              <w:t>50%</w:t>
            </w:r>
            <w:r>
              <w:rPr>
                <w:spacing w:val="80"/>
                <w:w w:val="150"/>
                <w:sz w:val="22"/>
              </w:rPr>
              <w:t> </w:t>
            </w:r>
            <w:r>
              <w:rPr>
                <w:sz w:val="22"/>
              </w:rPr>
              <w:t>Bupivacaína)</w:t>
            </w:r>
            <w:r>
              <w:rPr>
                <w:spacing w:val="80"/>
                <w:w w:val="150"/>
                <w:sz w:val="22"/>
              </w:rPr>
              <w:t> </w:t>
            </w:r>
            <w:r>
              <w:rPr>
                <w:sz w:val="22"/>
              </w:rPr>
              <w:t>+</w:t>
            </w:r>
            <w:r>
              <w:rPr>
                <w:spacing w:val="80"/>
                <w:w w:val="150"/>
                <w:sz w:val="22"/>
              </w:rPr>
              <w:t> </w:t>
            </w:r>
            <w:r>
              <w:rPr>
                <w:sz w:val="22"/>
              </w:rPr>
              <w:t>flunixin</w:t>
            </w:r>
            <w:r>
              <w:rPr>
                <w:spacing w:val="40"/>
                <w:sz w:val="22"/>
              </w:rPr>
              <w:t> </w:t>
            </w:r>
            <w:r>
              <w:rPr>
                <w:spacing w:val="-2"/>
                <w:sz w:val="22"/>
              </w:rPr>
              <w:t>meglumine)</w:t>
            </w:r>
          </w:p>
        </w:tc>
        <w:tc>
          <w:tcPr>
            <w:tcW w:w="2359" w:type="dxa"/>
            <w:tcBorders>
              <w:bottom w:val="single" w:sz="4" w:space="0" w:color="000000"/>
            </w:tcBorders>
          </w:tcPr>
          <w:p>
            <w:pPr>
              <w:pStyle w:val="TableParagraph"/>
              <w:spacing w:before="153"/>
              <w:ind w:left="30"/>
              <w:rPr>
                <w:sz w:val="22"/>
              </w:rPr>
            </w:pPr>
            <w:r>
              <w:rPr>
                <w:sz w:val="22"/>
              </w:rPr>
              <w:t>4.03 ±</w:t>
            </w:r>
            <w:r>
              <w:rPr>
                <w:spacing w:val="-2"/>
                <w:sz w:val="22"/>
              </w:rPr>
              <w:t> </w:t>
            </w:r>
            <w:r>
              <w:rPr>
                <w:sz w:val="22"/>
              </w:rPr>
              <w:t>0.02 </w:t>
            </w:r>
            <w:r>
              <w:rPr>
                <w:spacing w:val="-10"/>
                <w:sz w:val="22"/>
              </w:rPr>
              <w:t>a</w:t>
            </w:r>
          </w:p>
        </w:tc>
      </w:tr>
    </w:tbl>
    <w:p>
      <w:pPr>
        <w:pStyle w:val="BodyText"/>
        <w:spacing w:before="136"/>
        <w:ind w:left="0"/>
        <w:rPr>
          <w:i/>
          <w:sz w:val="20"/>
        </w:rPr>
      </w:pPr>
      <w:r>
        <w:rPr>
          <w:i/>
          <w:sz w:val="20"/>
        </w:rPr>
        <w:drawing>
          <wp:anchor distT="0" distB="0" distL="0" distR="0" allowOverlap="1" layoutInCell="1" locked="0" behindDoc="1" simplePos="0" relativeHeight="487593984">
            <wp:simplePos x="0" y="0"/>
            <wp:positionH relativeFrom="page">
              <wp:posOffset>1440180</wp:posOffset>
            </wp:positionH>
            <wp:positionV relativeFrom="paragraph">
              <wp:posOffset>247650</wp:posOffset>
            </wp:positionV>
            <wp:extent cx="4276569" cy="2424683"/>
            <wp:effectExtent l="0" t="0" r="0" b="0"/>
            <wp:wrapTopAndBottom/>
            <wp:docPr id="34" name="Image 34"/>
            <wp:cNvGraphicFramePr>
              <a:graphicFrameLocks/>
            </wp:cNvGraphicFramePr>
            <a:graphic>
              <a:graphicData uri="http://schemas.openxmlformats.org/drawingml/2006/picture">
                <pic:pic>
                  <pic:nvPicPr>
                    <pic:cNvPr id="34" name="Image 34"/>
                    <pic:cNvPicPr/>
                  </pic:nvPicPr>
                  <pic:blipFill>
                    <a:blip r:embed="rId22" cstate="print"/>
                    <a:stretch>
                      <a:fillRect/>
                    </a:stretch>
                  </pic:blipFill>
                  <pic:spPr>
                    <a:xfrm>
                      <a:off x="0" y="0"/>
                      <a:ext cx="4276569" cy="2424683"/>
                    </a:xfrm>
                    <a:prstGeom prst="rect">
                      <a:avLst/>
                    </a:prstGeom>
                  </pic:spPr>
                </pic:pic>
              </a:graphicData>
            </a:graphic>
          </wp:anchor>
        </w:drawing>
      </w:r>
    </w:p>
    <w:p>
      <w:pPr>
        <w:pStyle w:val="BodyText"/>
        <w:spacing w:before="275"/>
        <w:ind w:left="0"/>
        <w:rPr>
          <w:i/>
        </w:rPr>
      </w:pPr>
    </w:p>
    <w:p>
      <w:pPr>
        <w:pStyle w:val="BodyText"/>
        <w:spacing w:line="360" w:lineRule="auto"/>
        <w:ind w:right="846"/>
        <w:jc w:val="both"/>
      </w:pPr>
      <w:r>
        <w:rPr/>
        <w:t>La prueba de comparación de medias de Tukey, mostró diferencias significativas en la ganancia de peso, entre los tratamientos evaluados. El tratamiento T3 (lidocaína tamponada 50% + bupivacaína tamponada 50% + flunixin meglumine) registró el mayor incremento de peso promedio (4,03 kg), seguido por el tratamiento T2 (bupivacaína tamponada + flunixin meglumine), que obtuvo 3,95 </w:t>
      </w:r>
      <w:r>
        <w:rPr>
          <w:spacing w:val="-4"/>
        </w:rPr>
        <w:t>kg.</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51"/>
        <w:jc w:val="both"/>
      </w:pPr>
      <w:r>
        <w:rPr/>
        <w:t>En</w:t>
      </w:r>
      <w:r>
        <w:rPr>
          <w:spacing w:val="-4"/>
        </w:rPr>
        <w:t> </w:t>
      </w:r>
      <w:r>
        <w:rPr/>
        <w:t>este</w:t>
      </w:r>
      <w:r>
        <w:rPr>
          <w:spacing w:val="-4"/>
        </w:rPr>
        <w:t> </w:t>
      </w:r>
      <w:r>
        <w:rPr/>
        <w:t>sentido,</w:t>
      </w:r>
      <w:r>
        <w:rPr>
          <w:spacing w:val="-4"/>
        </w:rPr>
        <w:t> </w:t>
      </w:r>
      <w:r>
        <w:rPr/>
        <w:t>Viscardi</w:t>
      </w:r>
      <w:r>
        <w:rPr>
          <w:spacing w:val="-4"/>
        </w:rPr>
        <w:t> </w:t>
      </w:r>
      <w:r>
        <w:rPr/>
        <w:t>et</w:t>
      </w:r>
      <w:r>
        <w:rPr>
          <w:spacing w:val="-4"/>
        </w:rPr>
        <w:t> </w:t>
      </w:r>
      <w:r>
        <w:rPr/>
        <w:t>al.</w:t>
      </w:r>
      <w:r>
        <w:rPr>
          <w:spacing w:val="-4"/>
        </w:rPr>
        <w:t> </w:t>
      </w:r>
      <w:r>
        <w:rPr/>
        <w:t>(2022)</w:t>
      </w:r>
      <w:r>
        <w:rPr>
          <w:spacing w:val="-5"/>
        </w:rPr>
        <w:t> </w:t>
      </w:r>
      <w:r>
        <w:rPr/>
        <w:t>reportan</w:t>
      </w:r>
      <w:r>
        <w:rPr>
          <w:spacing w:val="-4"/>
        </w:rPr>
        <w:t> </w:t>
      </w:r>
      <w:r>
        <w:rPr/>
        <w:t>que</w:t>
      </w:r>
      <w:r>
        <w:rPr>
          <w:spacing w:val="-3"/>
        </w:rPr>
        <w:t> </w:t>
      </w:r>
      <w:r>
        <w:rPr/>
        <w:t>el</w:t>
      </w:r>
      <w:r>
        <w:rPr>
          <w:spacing w:val="-4"/>
        </w:rPr>
        <w:t> </w:t>
      </w:r>
      <w:r>
        <w:rPr/>
        <w:t>uso</w:t>
      </w:r>
      <w:r>
        <w:rPr>
          <w:spacing w:val="-4"/>
        </w:rPr>
        <w:t> </w:t>
      </w:r>
      <w:r>
        <w:rPr/>
        <w:t>de</w:t>
      </w:r>
      <w:r>
        <w:rPr>
          <w:spacing w:val="-5"/>
        </w:rPr>
        <w:t> </w:t>
      </w:r>
      <w:r>
        <w:rPr/>
        <w:t>diferentes</w:t>
      </w:r>
      <w:r>
        <w:rPr>
          <w:spacing w:val="-4"/>
        </w:rPr>
        <w:t> </w:t>
      </w:r>
      <w:r>
        <w:rPr/>
        <w:t>anestésicos locales en bovinos puede alargar el efecto analgésico y favorecer una mejor recuperación tras procedimientos dolorosos.</w:t>
      </w:r>
    </w:p>
    <w:p>
      <w:pPr>
        <w:pStyle w:val="BodyText"/>
        <w:spacing w:line="360" w:lineRule="auto" w:before="239"/>
        <w:ind w:right="846"/>
        <w:jc w:val="both"/>
      </w:pPr>
      <w:r>
        <w:rPr/>
        <w:t>El tratamiento T0 (control) tuvo un valor intermedio (3,80 kg) y</w:t>
      </w:r>
      <w:r>
        <w:rPr>
          <w:spacing w:val="-3"/>
        </w:rPr>
        <w:t> </w:t>
      </w:r>
      <w:r>
        <w:rPr/>
        <w:t>el tratamiento T1 (lidocaína tamponada + flunixin meglumine) fue que menos peso presentó, (1,60 kg) existiendo diferencia significativa con respecto a los otros. Los resultados obtenidos en el presente ensayo demuestran que los tratamientos T2 y T3 favorecieron</w:t>
      </w:r>
      <w:r>
        <w:rPr>
          <w:spacing w:val="-13"/>
        </w:rPr>
        <w:t> </w:t>
      </w:r>
      <w:r>
        <w:rPr/>
        <w:t>el</w:t>
      </w:r>
      <w:r>
        <w:rPr>
          <w:spacing w:val="-13"/>
        </w:rPr>
        <w:t> </w:t>
      </w:r>
      <w:r>
        <w:rPr/>
        <w:t>aumento</w:t>
      </w:r>
      <w:r>
        <w:rPr>
          <w:spacing w:val="-13"/>
        </w:rPr>
        <w:t> </w:t>
      </w:r>
      <w:r>
        <w:rPr/>
        <w:t>de</w:t>
      </w:r>
      <w:r>
        <w:rPr>
          <w:spacing w:val="-14"/>
        </w:rPr>
        <w:t> </w:t>
      </w:r>
      <w:r>
        <w:rPr/>
        <w:t>peso</w:t>
      </w:r>
      <w:r>
        <w:rPr>
          <w:spacing w:val="-13"/>
        </w:rPr>
        <w:t> </w:t>
      </w:r>
      <w:r>
        <w:rPr/>
        <w:t>de</w:t>
      </w:r>
      <w:r>
        <w:rPr>
          <w:spacing w:val="-14"/>
        </w:rPr>
        <w:t> </w:t>
      </w:r>
      <w:r>
        <w:rPr/>
        <w:t>los</w:t>
      </w:r>
      <w:r>
        <w:rPr>
          <w:spacing w:val="-12"/>
        </w:rPr>
        <w:t> </w:t>
      </w:r>
      <w:r>
        <w:rPr/>
        <w:t>terneros,</w:t>
      </w:r>
      <w:r>
        <w:rPr>
          <w:spacing w:val="-14"/>
        </w:rPr>
        <w:t> </w:t>
      </w:r>
      <w:r>
        <w:rPr/>
        <w:t>lo</w:t>
      </w:r>
      <w:r>
        <w:rPr>
          <w:spacing w:val="-13"/>
        </w:rPr>
        <w:t> </w:t>
      </w:r>
      <w:r>
        <w:rPr/>
        <w:t>que</w:t>
      </w:r>
      <w:r>
        <w:rPr>
          <w:spacing w:val="-14"/>
        </w:rPr>
        <w:t> </w:t>
      </w:r>
      <w:r>
        <w:rPr/>
        <w:t>podría</w:t>
      </w:r>
      <w:r>
        <w:rPr>
          <w:spacing w:val="-14"/>
        </w:rPr>
        <w:t> </w:t>
      </w:r>
      <w:r>
        <w:rPr/>
        <w:t>estar</w:t>
      </w:r>
      <w:r>
        <w:rPr>
          <w:spacing w:val="-14"/>
        </w:rPr>
        <w:t> </w:t>
      </w:r>
      <w:r>
        <w:rPr/>
        <w:t>relacionado</w:t>
      </w:r>
      <w:r>
        <w:rPr>
          <w:spacing w:val="-13"/>
        </w:rPr>
        <w:t> </w:t>
      </w:r>
      <w:r>
        <w:rPr/>
        <w:t>con un</w:t>
      </w:r>
      <w:r>
        <w:rPr>
          <w:spacing w:val="-7"/>
        </w:rPr>
        <w:t> </w:t>
      </w:r>
      <w:r>
        <w:rPr/>
        <w:t>mejor</w:t>
      </w:r>
      <w:r>
        <w:rPr>
          <w:spacing w:val="-6"/>
        </w:rPr>
        <w:t> </w:t>
      </w:r>
      <w:r>
        <w:rPr/>
        <w:t>control</w:t>
      </w:r>
      <w:r>
        <w:rPr>
          <w:spacing w:val="-7"/>
        </w:rPr>
        <w:t> </w:t>
      </w:r>
      <w:r>
        <w:rPr/>
        <w:t>del</w:t>
      </w:r>
      <w:r>
        <w:rPr>
          <w:spacing w:val="-7"/>
        </w:rPr>
        <w:t> </w:t>
      </w:r>
      <w:r>
        <w:rPr/>
        <w:t>dolor</w:t>
      </w:r>
      <w:r>
        <w:rPr>
          <w:spacing w:val="-8"/>
        </w:rPr>
        <w:t> </w:t>
      </w:r>
      <w:r>
        <w:rPr/>
        <w:t>posoperatorio.</w:t>
      </w:r>
      <w:r>
        <w:rPr>
          <w:spacing w:val="-7"/>
        </w:rPr>
        <w:t> </w:t>
      </w:r>
      <w:r>
        <w:rPr/>
        <w:t>En</w:t>
      </w:r>
      <w:r>
        <w:rPr>
          <w:spacing w:val="-5"/>
        </w:rPr>
        <w:t> </w:t>
      </w:r>
      <w:r>
        <w:rPr/>
        <w:t>cuanto</w:t>
      </w:r>
      <w:r>
        <w:rPr>
          <w:spacing w:val="-7"/>
        </w:rPr>
        <w:t> </w:t>
      </w:r>
      <w:r>
        <w:rPr/>
        <w:t>a</w:t>
      </w:r>
      <w:r>
        <w:rPr>
          <w:spacing w:val="-6"/>
        </w:rPr>
        <w:t> </w:t>
      </w:r>
      <w:r>
        <w:rPr/>
        <w:t>este</w:t>
      </w:r>
      <w:r>
        <w:rPr>
          <w:spacing w:val="-8"/>
        </w:rPr>
        <w:t> </w:t>
      </w:r>
      <w:r>
        <w:rPr/>
        <w:t>sentido,</w:t>
      </w:r>
      <w:r>
        <w:rPr>
          <w:spacing w:val="-7"/>
        </w:rPr>
        <w:t> </w:t>
      </w:r>
      <w:r>
        <w:rPr/>
        <w:t>se</w:t>
      </w:r>
      <w:r>
        <w:rPr>
          <w:spacing w:val="-6"/>
        </w:rPr>
        <w:t> </w:t>
      </w:r>
      <w:r>
        <w:rPr/>
        <w:t>cuenta</w:t>
      </w:r>
      <w:r>
        <w:rPr>
          <w:spacing w:val="-8"/>
        </w:rPr>
        <w:t> </w:t>
      </w:r>
      <w:r>
        <w:rPr/>
        <w:t>que</w:t>
      </w:r>
      <w:r>
        <w:rPr>
          <w:spacing w:val="-2"/>
        </w:rPr>
        <w:t> </w:t>
      </w:r>
      <w:r>
        <w:rPr/>
        <w:t>el tratamiento T3 compuesto por lidocaína tamponada y bupivacaína tamponada, mostró</w:t>
      </w:r>
      <w:r>
        <w:rPr>
          <w:spacing w:val="-11"/>
        </w:rPr>
        <w:t> </w:t>
      </w:r>
      <w:r>
        <w:rPr/>
        <w:t>el</w:t>
      </w:r>
      <w:r>
        <w:rPr>
          <w:spacing w:val="-10"/>
        </w:rPr>
        <w:t> </w:t>
      </w:r>
      <w:r>
        <w:rPr/>
        <w:t>mejor</w:t>
      </w:r>
      <w:r>
        <w:rPr>
          <w:spacing w:val="-11"/>
        </w:rPr>
        <w:t> </w:t>
      </w:r>
      <w:r>
        <w:rPr/>
        <w:t>rendimiento</w:t>
      </w:r>
      <w:r>
        <w:rPr>
          <w:spacing w:val="-11"/>
        </w:rPr>
        <w:t> </w:t>
      </w:r>
      <w:r>
        <w:rPr/>
        <w:t>productivo.</w:t>
      </w:r>
      <w:r>
        <w:rPr>
          <w:spacing w:val="-8"/>
        </w:rPr>
        <w:t> </w:t>
      </w:r>
      <w:r>
        <w:rPr/>
        <w:t>En</w:t>
      </w:r>
      <w:r>
        <w:rPr>
          <w:spacing w:val="-11"/>
        </w:rPr>
        <w:t> </w:t>
      </w:r>
      <w:r>
        <w:rPr/>
        <w:t>el</w:t>
      </w:r>
      <w:r>
        <w:rPr>
          <w:spacing w:val="-8"/>
        </w:rPr>
        <w:t> </w:t>
      </w:r>
      <w:r>
        <w:rPr/>
        <w:t>caso</w:t>
      </w:r>
      <w:r>
        <w:rPr>
          <w:spacing w:val="-11"/>
        </w:rPr>
        <w:t> </w:t>
      </w:r>
      <w:r>
        <w:rPr/>
        <w:t>del</w:t>
      </w:r>
      <w:r>
        <w:rPr>
          <w:spacing w:val="-10"/>
        </w:rPr>
        <w:t> </w:t>
      </w:r>
      <w:r>
        <w:rPr/>
        <w:t>tratamiento</w:t>
      </w:r>
      <w:r>
        <w:rPr>
          <w:spacing w:val="-11"/>
        </w:rPr>
        <w:t> </w:t>
      </w:r>
      <w:r>
        <w:rPr/>
        <w:t>T1,</w:t>
      </w:r>
      <w:r>
        <w:rPr>
          <w:spacing w:val="-9"/>
        </w:rPr>
        <w:t> </w:t>
      </w:r>
      <w:r>
        <w:rPr/>
        <w:t>presento</w:t>
      </w:r>
      <w:r>
        <w:rPr>
          <w:spacing w:val="-10"/>
        </w:rPr>
        <w:t> </w:t>
      </w:r>
      <w:r>
        <w:rPr/>
        <w:t>un aumento de peso significativamente menor, lo que indicaría que los animales sometidos a este protocolo probablemente sufran en mayor grado algún desajuste fisiológico o comportamental tras la descorne.</w:t>
      </w:r>
    </w:p>
    <w:p>
      <w:pPr>
        <w:pStyle w:val="Heading3"/>
        <w:spacing w:before="243"/>
        <w:jc w:val="both"/>
      </w:pPr>
      <w:bookmarkStart w:name="_bookmark63" w:id="64"/>
      <w:bookmarkEnd w:id="64"/>
      <w:r>
        <w:rPr>
          <w:b w:val="0"/>
          <w:i w:val="0"/>
        </w:rPr>
      </w:r>
      <w:r>
        <w:rPr/>
        <w:t>Tabla </w:t>
      </w:r>
      <w:r>
        <w:rPr>
          <w:spacing w:val="-5"/>
        </w:rPr>
        <w:t>16</w:t>
      </w:r>
    </w:p>
    <w:p>
      <w:pPr>
        <w:spacing w:before="137"/>
        <w:ind w:left="1135" w:right="0" w:firstLine="0"/>
        <w:jc w:val="both"/>
        <w:rPr>
          <w:i/>
          <w:sz w:val="24"/>
        </w:rPr>
      </w:pPr>
      <w:r>
        <w:rPr>
          <w:i/>
          <w:sz w:val="24"/>
        </w:rPr>
        <w:t>Puntaje</w:t>
      </w:r>
      <w:r>
        <w:rPr>
          <w:i/>
          <w:spacing w:val="-1"/>
          <w:sz w:val="24"/>
        </w:rPr>
        <w:t> </w:t>
      </w:r>
      <w:r>
        <w:rPr>
          <w:i/>
          <w:sz w:val="24"/>
        </w:rPr>
        <w:t>promedio de dolor por </w:t>
      </w:r>
      <w:r>
        <w:rPr>
          <w:i/>
          <w:spacing w:val="-2"/>
          <w:sz w:val="24"/>
        </w:rPr>
        <w:t>tratamiento</w:t>
      </w:r>
    </w:p>
    <w:p>
      <w:pPr>
        <w:pStyle w:val="BodyText"/>
        <w:spacing w:before="10"/>
        <w:ind w:left="0"/>
        <w:rPr>
          <w:i/>
          <w:sz w:val="14"/>
        </w:rPr>
      </w:pPr>
    </w:p>
    <w:tbl>
      <w:tblPr>
        <w:tblW w:w="0" w:type="auto"/>
        <w:jc w:val="left"/>
        <w:tblInd w:w="1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43"/>
        <w:gridCol w:w="3090"/>
      </w:tblGrid>
      <w:tr>
        <w:trPr>
          <w:trHeight w:val="301" w:hRule="atLeast"/>
        </w:trPr>
        <w:tc>
          <w:tcPr>
            <w:tcW w:w="4843" w:type="dxa"/>
            <w:tcBorders>
              <w:top w:val="single" w:sz="4" w:space="0" w:color="000000"/>
              <w:bottom w:val="single" w:sz="4" w:space="0" w:color="000000"/>
            </w:tcBorders>
          </w:tcPr>
          <w:p>
            <w:pPr>
              <w:pStyle w:val="TableParagraph"/>
              <w:spacing w:line="271" w:lineRule="exact" w:before="11"/>
              <w:ind w:left="45"/>
              <w:rPr>
                <w:b/>
                <w:sz w:val="24"/>
              </w:rPr>
            </w:pPr>
            <w:r>
              <w:rPr>
                <w:b/>
                <w:spacing w:val="-2"/>
                <w:sz w:val="24"/>
              </w:rPr>
              <w:t>Tratamiento</w:t>
            </w:r>
          </w:p>
        </w:tc>
        <w:tc>
          <w:tcPr>
            <w:tcW w:w="3090" w:type="dxa"/>
            <w:tcBorders>
              <w:top w:val="single" w:sz="4" w:space="0" w:color="000000"/>
              <w:bottom w:val="single" w:sz="4" w:space="0" w:color="000000"/>
            </w:tcBorders>
          </w:tcPr>
          <w:p>
            <w:pPr>
              <w:pStyle w:val="TableParagraph"/>
              <w:spacing w:line="271" w:lineRule="exact" w:before="11"/>
              <w:ind w:left="30"/>
              <w:rPr>
                <w:b/>
                <w:sz w:val="24"/>
              </w:rPr>
            </w:pPr>
            <w:r>
              <w:rPr>
                <w:b/>
                <w:sz w:val="24"/>
              </w:rPr>
              <w:t>Puntaje</w:t>
            </w:r>
            <w:r>
              <w:rPr>
                <w:b/>
                <w:spacing w:val="-3"/>
                <w:sz w:val="24"/>
              </w:rPr>
              <w:t> </w:t>
            </w:r>
            <w:r>
              <w:rPr>
                <w:b/>
                <w:sz w:val="24"/>
              </w:rPr>
              <w:t>promedio</w:t>
            </w:r>
            <w:r>
              <w:rPr>
                <w:b/>
                <w:spacing w:val="-2"/>
                <w:sz w:val="24"/>
              </w:rPr>
              <w:t> </w:t>
            </w:r>
            <w:r>
              <w:rPr>
                <w:b/>
                <w:sz w:val="24"/>
              </w:rPr>
              <w:t>de</w:t>
            </w:r>
            <w:r>
              <w:rPr>
                <w:b/>
                <w:spacing w:val="-2"/>
                <w:sz w:val="24"/>
              </w:rPr>
              <w:t> dolor</w:t>
            </w:r>
          </w:p>
        </w:tc>
      </w:tr>
      <w:tr>
        <w:trPr>
          <w:trHeight w:val="333" w:hRule="atLeast"/>
        </w:trPr>
        <w:tc>
          <w:tcPr>
            <w:tcW w:w="4843" w:type="dxa"/>
            <w:tcBorders>
              <w:top w:val="single" w:sz="4" w:space="0" w:color="000000"/>
            </w:tcBorders>
          </w:tcPr>
          <w:p>
            <w:pPr>
              <w:pStyle w:val="TableParagraph"/>
              <w:spacing w:before="46"/>
              <w:ind w:left="45"/>
              <w:rPr>
                <w:sz w:val="22"/>
              </w:rPr>
            </w:pPr>
            <w:r>
              <w:rPr>
                <w:sz w:val="22"/>
              </w:rPr>
              <w:t>T0</w:t>
            </w:r>
            <w:r>
              <w:rPr>
                <w:spacing w:val="-4"/>
                <w:sz w:val="22"/>
              </w:rPr>
              <w:t> </w:t>
            </w:r>
            <w:r>
              <w:rPr>
                <w:spacing w:val="-2"/>
                <w:sz w:val="22"/>
              </w:rPr>
              <w:t>(Testigo)</w:t>
            </w:r>
          </w:p>
        </w:tc>
        <w:tc>
          <w:tcPr>
            <w:tcW w:w="3090" w:type="dxa"/>
            <w:tcBorders>
              <w:top w:val="single" w:sz="4" w:space="0" w:color="000000"/>
            </w:tcBorders>
          </w:tcPr>
          <w:p>
            <w:pPr>
              <w:pStyle w:val="TableParagraph"/>
              <w:spacing w:before="46"/>
              <w:ind w:left="30"/>
              <w:rPr>
                <w:sz w:val="22"/>
              </w:rPr>
            </w:pPr>
            <w:r>
              <w:rPr>
                <w:spacing w:val="-4"/>
                <w:sz w:val="22"/>
              </w:rPr>
              <w:t>5.75</w:t>
            </w:r>
          </w:p>
        </w:tc>
      </w:tr>
      <w:tr>
        <w:trPr>
          <w:trHeight w:val="311" w:hRule="atLeast"/>
        </w:trPr>
        <w:tc>
          <w:tcPr>
            <w:tcW w:w="4843" w:type="dxa"/>
          </w:tcPr>
          <w:p>
            <w:pPr>
              <w:pStyle w:val="TableParagraph"/>
              <w:spacing w:before="25"/>
              <w:ind w:left="45"/>
              <w:rPr>
                <w:sz w:val="22"/>
              </w:rPr>
            </w:pPr>
            <w:r>
              <w:rPr>
                <w:sz w:val="22"/>
              </w:rPr>
              <w:t>T1</w:t>
            </w:r>
            <w:r>
              <w:rPr>
                <w:spacing w:val="-6"/>
                <w:sz w:val="22"/>
              </w:rPr>
              <w:t> </w:t>
            </w:r>
            <w:r>
              <w:rPr>
                <w:sz w:val="22"/>
              </w:rPr>
              <w:t>(Lidocaína</w:t>
            </w:r>
            <w:r>
              <w:rPr>
                <w:spacing w:val="-3"/>
                <w:sz w:val="22"/>
              </w:rPr>
              <w:t> </w:t>
            </w:r>
            <w:r>
              <w:rPr>
                <w:sz w:val="22"/>
              </w:rPr>
              <w:t>tamponda</w:t>
            </w:r>
            <w:r>
              <w:rPr>
                <w:spacing w:val="-3"/>
                <w:sz w:val="22"/>
              </w:rPr>
              <w:t> </w:t>
            </w:r>
            <w:r>
              <w:rPr>
                <w:sz w:val="22"/>
              </w:rPr>
              <w:t>+</w:t>
            </w:r>
            <w:r>
              <w:rPr>
                <w:spacing w:val="-4"/>
                <w:sz w:val="22"/>
              </w:rPr>
              <w:t> </w:t>
            </w:r>
            <w:r>
              <w:rPr>
                <w:sz w:val="22"/>
              </w:rPr>
              <w:t>flunixin</w:t>
            </w:r>
            <w:r>
              <w:rPr>
                <w:spacing w:val="-2"/>
                <w:sz w:val="22"/>
              </w:rPr>
              <w:t> meglumine)</w:t>
            </w:r>
          </w:p>
        </w:tc>
        <w:tc>
          <w:tcPr>
            <w:tcW w:w="3090" w:type="dxa"/>
          </w:tcPr>
          <w:p>
            <w:pPr>
              <w:pStyle w:val="TableParagraph"/>
              <w:spacing w:before="25"/>
              <w:ind w:left="30"/>
              <w:rPr>
                <w:sz w:val="22"/>
              </w:rPr>
            </w:pPr>
            <w:r>
              <w:rPr>
                <w:spacing w:val="-4"/>
                <w:sz w:val="22"/>
              </w:rPr>
              <w:t>6.25</w:t>
            </w:r>
          </w:p>
        </w:tc>
      </w:tr>
      <w:tr>
        <w:trPr>
          <w:trHeight w:val="313" w:hRule="atLeast"/>
        </w:trPr>
        <w:tc>
          <w:tcPr>
            <w:tcW w:w="4843" w:type="dxa"/>
          </w:tcPr>
          <w:p>
            <w:pPr>
              <w:pStyle w:val="TableParagraph"/>
              <w:spacing w:before="25"/>
              <w:ind w:left="45"/>
              <w:rPr>
                <w:sz w:val="22"/>
              </w:rPr>
            </w:pPr>
            <w:r>
              <w:rPr>
                <w:sz w:val="22"/>
              </w:rPr>
              <w:t>T2</w:t>
            </w:r>
            <w:r>
              <w:rPr>
                <w:spacing w:val="-7"/>
                <w:sz w:val="22"/>
              </w:rPr>
              <w:t> </w:t>
            </w:r>
            <w:r>
              <w:rPr>
                <w:sz w:val="22"/>
              </w:rPr>
              <w:t>(Bupivacaína</w:t>
            </w:r>
            <w:r>
              <w:rPr>
                <w:spacing w:val="-2"/>
                <w:sz w:val="22"/>
              </w:rPr>
              <w:t> </w:t>
            </w:r>
            <w:r>
              <w:rPr>
                <w:sz w:val="22"/>
              </w:rPr>
              <w:t>tamponada</w:t>
            </w:r>
            <w:r>
              <w:rPr>
                <w:spacing w:val="-3"/>
                <w:sz w:val="22"/>
              </w:rPr>
              <w:t> </w:t>
            </w:r>
            <w:r>
              <w:rPr>
                <w:sz w:val="22"/>
              </w:rPr>
              <w:t>+</w:t>
            </w:r>
            <w:r>
              <w:rPr>
                <w:spacing w:val="-4"/>
                <w:sz w:val="22"/>
              </w:rPr>
              <w:t> </w:t>
            </w:r>
            <w:r>
              <w:rPr>
                <w:sz w:val="22"/>
              </w:rPr>
              <w:t>flunixin</w:t>
            </w:r>
            <w:r>
              <w:rPr>
                <w:spacing w:val="-6"/>
                <w:sz w:val="22"/>
              </w:rPr>
              <w:t> </w:t>
            </w:r>
            <w:r>
              <w:rPr>
                <w:spacing w:val="-2"/>
                <w:sz w:val="22"/>
              </w:rPr>
              <w:t>meglumine)</w:t>
            </w:r>
          </w:p>
        </w:tc>
        <w:tc>
          <w:tcPr>
            <w:tcW w:w="3090" w:type="dxa"/>
          </w:tcPr>
          <w:p>
            <w:pPr>
              <w:pStyle w:val="TableParagraph"/>
              <w:spacing w:before="25"/>
              <w:ind w:left="30"/>
              <w:rPr>
                <w:sz w:val="22"/>
              </w:rPr>
            </w:pPr>
            <w:r>
              <w:rPr>
                <w:spacing w:val="-4"/>
                <w:sz w:val="22"/>
              </w:rPr>
              <w:t>4.00</w:t>
            </w:r>
          </w:p>
        </w:tc>
      </w:tr>
      <w:tr>
        <w:trPr>
          <w:trHeight w:val="548" w:hRule="atLeast"/>
        </w:trPr>
        <w:tc>
          <w:tcPr>
            <w:tcW w:w="4843" w:type="dxa"/>
            <w:tcBorders>
              <w:bottom w:val="single" w:sz="4" w:space="0" w:color="000000"/>
            </w:tcBorders>
          </w:tcPr>
          <w:p>
            <w:pPr>
              <w:pStyle w:val="TableParagraph"/>
              <w:spacing w:line="252" w:lineRule="exact" w:before="24"/>
              <w:ind w:left="45"/>
              <w:rPr>
                <w:sz w:val="22"/>
              </w:rPr>
            </w:pPr>
            <w:r>
              <w:rPr>
                <w:sz w:val="22"/>
              </w:rPr>
              <w:t>T3</w:t>
            </w:r>
            <w:r>
              <w:rPr>
                <w:spacing w:val="33"/>
                <w:sz w:val="22"/>
              </w:rPr>
              <w:t> </w:t>
            </w:r>
            <w:r>
              <w:rPr>
                <w:sz w:val="22"/>
              </w:rPr>
              <w:t>(50%</w:t>
            </w:r>
            <w:r>
              <w:rPr>
                <w:spacing w:val="35"/>
                <w:sz w:val="22"/>
              </w:rPr>
              <w:t> </w:t>
            </w:r>
            <w:r>
              <w:rPr>
                <w:sz w:val="22"/>
              </w:rPr>
              <w:t>Lidocaína</w:t>
            </w:r>
            <w:r>
              <w:rPr>
                <w:spacing w:val="35"/>
                <w:sz w:val="22"/>
              </w:rPr>
              <w:t> </w:t>
            </w:r>
            <w:r>
              <w:rPr>
                <w:sz w:val="22"/>
              </w:rPr>
              <w:t>tamponada</w:t>
            </w:r>
            <w:r>
              <w:rPr>
                <w:spacing w:val="35"/>
                <w:sz w:val="22"/>
              </w:rPr>
              <w:t> </w:t>
            </w:r>
            <w:r>
              <w:rPr>
                <w:sz w:val="22"/>
              </w:rPr>
              <w:t>+</w:t>
            </w:r>
            <w:r>
              <w:rPr>
                <w:spacing w:val="33"/>
                <w:sz w:val="22"/>
              </w:rPr>
              <w:t> </w:t>
            </w:r>
            <w:r>
              <w:rPr>
                <w:sz w:val="22"/>
              </w:rPr>
              <w:t>50%</w:t>
            </w:r>
            <w:r>
              <w:rPr>
                <w:spacing w:val="34"/>
                <w:sz w:val="22"/>
              </w:rPr>
              <w:t> </w:t>
            </w:r>
            <w:r>
              <w:rPr>
                <w:sz w:val="22"/>
              </w:rPr>
              <w:t>Bupivacaína tamponada) + flunixin meglumine)</w:t>
            </w:r>
          </w:p>
        </w:tc>
        <w:tc>
          <w:tcPr>
            <w:tcW w:w="3090" w:type="dxa"/>
            <w:tcBorders>
              <w:bottom w:val="single" w:sz="4" w:space="0" w:color="000000"/>
            </w:tcBorders>
          </w:tcPr>
          <w:p>
            <w:pPr>
              <w:pStyle w:val="TableParagraph"/>
              <w:spacing w:before="153"/>
              <w:ind w:left="30"/>
              <w:rPr>
                <w:sz w:val="22"/>
              </w:rPr>
            </w:pPr>
            <w:r>
              <w:rPr>
                <w:spacing w:val="-4"/>
                <w:sz w:val="22"/>
              </w:rPr>
              <w:t>3.50</w:t>
            </w:r>
          </w:p>
        </w:tc>
      </w:tr>
    </w:tbl>
    <w:p>
      <w:pPr>
        <w:pStyle w:val="BodyText"/>
        <w:spacing w:before="116"/>
        <w:ind w:left="0"/>
        <w:rPr>
          <w:i/>
        </w:rPr>
      </w:pPr>
    </w:p>
    <w:p>
      <w:pPr>
        <w:spacing w:line="360" w:lineRule="auto" w:before="0"/>
        <w:ind w:left="1135" w:right="849" w:firstLine="0"/>
        <w:jc w:val="both"/>
        <w:rPr>
          <w:i/>
          <w:sz w:val="24"/>
        </w:rPr>
      </w:pPr>
      <w:r>
        <w:rPr>
          <w:b/>
          <w:sz w:val="24"/>
        </w:rPr>
        <w:t>Nota: </w:t>
      </w:r>
      <w:r>
        <w:rPr>
          <w:i/>
          <w:sz w:val="24"/>
        </w:rPr>
        <w:t>Puntaje conductual evaluado mediante la Escala Modificada del Dolor Unesp-Botucatu</w:t>
      </w:r>
      <w:r>
        <w:rPr>
          <w:i/>
          <w:spacing w:val="-6"/>
          <w:sz w:val="24"/>
        </w:rPr>
        <w:t> </w:t>
      </w:r>
      <w:r>
        <w:rPr>
          <w:i/>
          <w:sz w:val="24"/>
        </w:rPr>
        <w:t>(UCAPS)</w:t>
      </w:r>
      <w:r>
        <w:rPr>
          <w:i/>
          <w:spacing w:val="-8"/>
          <w:sz w:val="24"/>
        </w:rPr>
        <w:t> </w:t>
      </w:r>
      <w:r>
        <w:rPr>
          <w:i/>
          <w:sz w:val="24"/>
        </w:rPr>
        <w:t>en</w:t>
      </w:r>
      <w:r>
        <w:rPr>
          <w:i/>
          <w:spacing w:val="-8"/>
          <w:sz w:val="24"/>
        </w:rPr>
        <w:t> </w:t>
      </w:r>
      <w:r>
        <w:rPr>
          <w:i/>
          <w:sz w:val="24"/>
        </w:rPr>
        <w:t>un</w:t>
      </w:r>
      <w:r>
        <w:rPr>
          <w:i/>
          <w:spacing w:val="-6"/>
          <w:sz w:val="24"/>
        </w:rPr>
        <w:t> </w:t>
      </w:r>
      <w:r>
        <w:rPr>
          <w:i/>
          <w:sz w:val="24"/>
        </w:rPr>
        <w:t>rango</w:t>
      </w:r>
      <w:r>
        <w:rPr>
          <w:i/>
          <w:spacing w:val="-8"/>
          <w:sz w:val="24"/>
        </w:rPr>
        <w:t> </w:t>
      </w:r>
      <w:r>
        <w:rPr>
          <w:i/>
          <w:sz w:val="24"/>
        </w:rPr>
        <w:t>de</w:t>
      </w:r>
      <w:r>
        <w:rPr>
          <w:i/>
          <w:spacing w:val="-7"/>
          <w:sz w:val="24"/>
        </w:rPr>
        <w:t> </w:t>
      </w:r>
      <w:r>
        <w:rPr>
          <w:i/>
          <w:sz w:val="24"/>
        </w:rPr>
        <w:t>0</w:t>
      </w:r>
      <w:r>
        <w:rPr>
          <w:i/>
          <w:spacing w:val="-8"/>
          <w:sz w:val="24"/>
        </w:rPr>
        <w:t> </w:t>
      </w:r>
      <w:r>
        <w:rPr>
          <w:i/>
          <w:sz w:val="24"/>
        </w:rPr>
        <w:t>a</w:t>
      </w:r>
      <w:r>
        <w:rPr>
          <w:i/>
          <w:spacing w:val="-8"/>
          <w:sz w:val="24"/>
        </w:rPr>
        <w:t> </w:t>
      </w:r>
      <w:r>
        <w:rPr>
          <w:i/>
          <w:sz w:val="24"/>
        </w:rPr>
        <w:t>15</w:t>
      </w:r>
      <w:r>
        <w:rPr>
          <w:i/>
          <w:spacing w:val="-8"/>
          <w:sz w:val="24"/>
        </w:rPr>
        <w:t> </w:t>
      </w:r>
      <w:r>
        <w:rPr>
          <w:i/>
          <w:sz w:val="24"/>
        </w:rPr>
        <w:t>puntos</w:t>
      </w:r>
      <w:r>
        <w:rPr>
          <w:i/>
          <w:spacing w:val="-8"/>
          <w:sz w:val="24"/>
        </w:rPr>
        <w:t> </w:t>
      </w:r>
      <w:r>
        <w:rPr>
          <w:i/>
          <w:sz w:val="24"/>
        </w:rPr>
        <w:t>(donde:</w:t>
      </w:r>
      <w:r>
        <w:rPr>
          <w:i/>
          <w:spacing w:val="-8"/>
          <w:sz w:val="24"/>
        </w:rPr>
        <w:t> </w:t>
      </w:r>
      <w:r>
        <w:rPr>
          <w:i/>
          <w:sz w:val="24"/>
        </w:rPr>
        <w:t>≤</w:t>
      </w:r>
      <w:r>
        <w:rPr>
          <w:i/>
          <w:spacing w:val="-6"/>
          <w:sz w:val="24"/>
        </w:rPr>
        <w:t> </w:t>
      </w:r>
      <w:r>
        <w:rPr>
          <w:i/>
          <w:sz w:val="24"/>
        </w:rPr>
        <w:t>1</w:t>
      </w:r>
      <w:r>
        <w:rPr>
          <w:i/>
          <w:spacing w:val="-8"/>
          <w:sz w:val="24"/>
        </w:rPr>
        <w:t> </w:t>
      </w:r>
      <w:r>
        <w:rPr>
          <w:i/>
          <w:sz w:val="24"/>
        </w:rPr>
        <w:t>=</w:t>
      </w:r>
      <w:r>
        <w:rPr>
          <w:i/>
          <w:spacing w:val="-7"/>
          <w:sz w:val="24"/>
        </w:rPr>
        <w:t> </w:t>
      </w:r>
      <w:r>
        <w:rPr>
          <w:i/>
          <w:sz w:val="24"/>
        </w:rPr>
        <w:t>ausencia</w:t>
      </w:r>
      <w:r>
        <w:rPr>
          <w:i/>
          <w:spacing w:val="-8"/>
          <w:sz w:val="24"/>
        </w:rPr>
        <w:t> </w:t>
      </w:r>
      <w:r>
        <w:rPr>
          <w:i/>
          <w:sz w:val="24"/>
        </w:rPr>
        <w:t>de dolor o dolor leve; 2 - 4 = dolor moderado; y ≥ 5 = dolor severo/muy fuerte con repercusiones orgánicas y conductuales).</w:t>
      </w:r>
    </w:p>
    <w:p>
      <w:pPr>
        <w:spacing w:after="0" w:line="360" w:lineRule="auto"/>
        <w:jc w:val="both"/>
        <w:rPr>
          <w:i/>
          <w:sz w:val="24"/>
        </w:rPr>
        <w:sectPr>
          <w:pgSz w:w="11900" w:h="16860"/>
          <w:pgMar w:header="0" w:footer="1084" w:top="1620" w:bottom="1280" w:left="1133" w:right="850"/>
        </w:sectPr>
      </w:pPr>
    </w:p>
    <w:p>
      <w:pPr>
        <w:spacing w:line="240" w:lineRule="auto"/>
        <w:ind w:left="1135" w:right="0" w:firstLine="0"/>
        <w:rPr>
          <w:sz w:val="20"/>
        </w:rPr>
      </w:pPr>
      <w:r>
        <w:rPr>
          <w:sz w:val="20"/>
        </w:rPr>
        <w:drawing>
          <wp:inline distT="0" distB="0" distL="0" distR="0">
            <wp:extent cx="4715683" cy="2654046"/>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23" cstate="print"/>
                    <a:stretch>
                      <a:fillRect/>
                    </a:stretch>
                  </pic:blipFill>
                  <pic:spPr>
                    <a:xfrm>
                      <a:off x="0" y="0"/>
                      <a:ext cx="4715683" cy="2654046"/>
                    </a:xfrm>
                    <a:prstGeom prst="rect">
                      <a:avLst/>
                    </a:prstGeom>
                  </pic:spPr>
                </pic:pic>
              </a:graphicData>
            </a:graphic>
          </wp:inline>
        </w:drawing>
      </w:r>
      <w:r>
        <w:rPr>
          <w:sz w:val="20"/>
        </w:rPr>
      </w:r>
    </w:p>
    <w:p>
      <w:pPr>
        <w:pStyle w:val="BodyText"/>
        <w:spacing w:before="263"/>
        <w:ind w:left="0"/>
        <w:rPr>
          <w:i/>
        </w:rPr>
      </w:pPr>
    </w:p>
    <w:p>
      <w:pPr>
        <w:pStyle w:val="BodyText"/>
        <w:spacing w:line="360" w:lineRule="auto"/>
        <w:ind w:right="847"/>
        <w:jc w:val="both"/>
      </w:pPr>
      <w:r>
        <w:rPr/>
        <w:t>El</w:t>
      </w:r>
      <w:r>
        <w:rPr>
          <w:spacing w:val="-2"/>
        </w:rPr>
        <w:t> </w:t>
      </w:r>
      <w:r>
        <w:rPr/>
        <w:t>tratamiento</w:t>
      </w:r>
      <w:r>
        <w:rPr>
          <w:spacing w:val="-2"/>
        </w:rPr>
        <w:t> </w:t>
      </w:r>
      <w:r>
        <w:rPr/>
        <w:t>T0</w:t>
      </w:r>
      <w:r>
        <w:rPr>
          <w:spacing w:val="-1"/>
        </w:rPr>
        <w:t> </w:t>
      </w:r>
      <w:r>
        <w:rPr/>
        <w:t>(Testigo:</w:t>
      </w:r>
      <w:r>
        <w:rPr>
          <w:spacing w:val="-2"/>
        </w:rPr>
        <w:t> </w:t>
      </w:r>
      <w:r>
        <w:rPr/>
        <w:t>5.75)</w:t>
      </w:r>
      <w:r>
        <w:rPr>
          <w:spacing w:val="-2"/>
        </w:rPr>
        <w:t> </w:t>
      </w:r>
      <w:r>
        <w:rPr/>
        <w:t>fue</w:t>
      </w:r>
      <w:r>
        <w:rPr>
          <w:spacing w:val="-3"/>
        </w:rPr>
        <w:t> </w:t>
      </w:r>
      <w:r>
        <w:rPr/>
        <w:t>el</w:t>
      </w:r>
      <w:r>
        <w:rPr>
          <w:spacing w:val="-1"/>
        </w:rPr>
        <w:t> </w:t>
      </w:r>
      <w:r>
        <w:rPr/>
        <w:t>tratamiento</w:t>
      </w:r>
      <w:r>
        <w:rPr>
          <w:spacing w:val="-2"/>
        </w:rPr>
        <w:t> </w:t>
      </w:r>
      <w:r>
        <w:rPr/>
        <w:t>que</w:t>
      </w:r>
      <w:r>
        <w:rPr>
          <w:spacing w:val="-3"/>
        </w:rPr>
        <w:t> </w:t>
      </w:r>
      <w:r>
        <w:rPr/>
        <w:t>ocupó</w:t>
      </w:r>
      <w:r>
        <w:rPr>
          <w:spacing w:val="-2"/>
        </w:rPr>
        <w:t> </w:t>
      </w:r>
      <w:r>
        <w:rPr/>
        <w:t>el</w:t>
      </w:r>
      <w:r>
        <w:rPr>
          <w:spacing w:val="-1"/>
        </w:rPr>
        <w:t> </w:t>
      </w:r>
      <w:r>
        <w:rPr/>
        <w:t>segundo</w:t>
      </w:r>
      <w:r>
        <w:rPr>
          <w:spacing w:val="-2"/>
        </w:rPr>
        <w:t> </w:t>
      </w:r>
      <w:r>
        <w:rPr/>
        <w:t>lugar</w:t>
      </w:r>
      <w:r>
        <w:rPr>
          <w:spacing w:val="-2"/>
        </w:rPr>
        <w:t> </w:t>
      </w:r>
      <w:r>
        <w:rPr/>
        <w:t>de acuerdo</w:t>
      </w:r>
      <w:r>
        <w:rPr>
          <w:spacing w:val="-3"/>
        </w:rPr>
        <w:t> </w:t>
      </w:r>
      <w:r>
        <w:rPr/>
        <w:t>a</w:t>
      </w:r>
      <w:r>
        <w:rPr>
          <w:spacing w:val="-5"/>
        </w:rPr>
        <w:t> </w:t>
      </w:r>
      <w:r>
        <w:rPr/>
        <w:t>la</w:t>
      </w:r>
      <w:r>
        <w:rPr>
          <w:spacing w:val="-4"/>
        </w:rPr>
        <w:t> </w:t>
      </w:r>
      <w:r>
        <w:rPr/>
        <w:t>puntuación</w:t>
      </w:r>
      <w:r>
        <w:rPr>
          <w:spacing w:val="-4"/>
        </w:rPr>
        <w:t> </w:t>
      </w:r>
      <w:r>
        <w:rPr/>
        <w:t>del</w:t>
      </w:r>
      <w:r>
        <w:rPr>
          <w:spacing w:val="-4"/>
        </w:rPr>
        <w:t> </w:t>
      </w:r>
      <w:r>
        <w:rPr/>
        <w:t>promedio</w:t>
      </w:r>
      <w:r>
        <w:rPr>
          <w:spacing w:val="-4"/>
        </w:rPr>
        <w:t> </w:t>
      </w:r>
      <w:r>
        <w:rPr/>
        <w:t>del</w:t>
      </w:r>
      <w:r>
        <w:rPr>
          <w:spacing w:val="-4"/>
        </w:rPr>
        <w:t> </w:t>
      </w:r>
      <w:r>
        <w:rPr/>
        <w:t>dolor.</w:t>
      </w:r>
      <w:r>
        <w:rPr>
          <w:spacing w:val="-3"/>
        </w:rPr>
        <w:t> </w:t>
      </w:r>
      <w:r>
        <w:rPr/>
        <w:t>Los</w:t>
      </w:r>
      <w:r>
        <w:rPr>
          <w:spacing w:val="-4"/>
        </w:rPr>
        <w:t> </w:t>
      </w:r>
      <w:r>
        <w:rPr/>
        <w:t>tratamientos</w:t>
      </w:r>
      <w:r>
        <w:rPr>
          <w:spacing w:val="-4"/>
        </w:rPr>
        <w:t> </w:t>
      </w:r>
      <w:r>
        <w:rPr/>
        <w:t>T2</w:t>
      </w:r>
      <w:r>
        <w:rPr>
          <w:spacing w:val="-4"/>
        </w:rPr>
        <w:t> </w:t>
      </w:r>
      <w:r>
        <w:rPr/>
        <w:t>(Bupivacaína Tamponada + Flunixin Meglumine) y T3 (50% Lidocaína Tamponada + 50% Bupivacaína Tamponada + Flunixin Meglumine) también dieron lugar a los menores puntajes de dolor (4.00; 3,50 respectivamente). En este sentido, se puede mencionar que las muestras bajo tratamiento T2 y T3 presentaron puntuaciones menores</w:t>
      </w:r>
      <w:r>
        <w:rPr>
          <w:spacing w:val="-3"/>
        </w:rPr>
        <w:t> </w:t>
      </w:r>
      <w:r>
        <w:rPr/>
        <w:t>que</w:t>
      </w:r>
      <w:r>
        <w:rPr>
          <w:spacing w:val="-4"/>
        </w:rPr>
        <w:t> </w:t>
      </w:r>
      <w:r>
        <w:rPr/>
        <w:t>las</w:t>
      </w:r>
      <w:r>
        <w:rPr>
          <w:spacing w:val="-3"/>
        </w:rPr>
        <w:t> </w:t>
      </w:r>
      <w:r>
        <w:rPr/>
        <w:t>de</w:t>
      </w:r>
      <w:r>
        <w:rPr>
          <w:spacing w:val="-4"/>
        </w:rPr>
        <w:t> </w:t>
      </w:r>
      <w:r>
        <w:rPr/>
        <w:t>los</w:t>
      </w:r>
      <w:r>
        <w:rPr>
          <w:spacing w:val="-3"/>
        </w:rPr>
        <w:t> </w:t>
      </w:r>
      <w:r>
        <w:rPr/>
        <w:t>demás</w:t>
      </w:r>
      <w:r>
        <w:rPr>
          <w:spacing w:val="-3"/>
        </w:rPr>
        <w:t> </w:t>
      </w:r>
      <w:r>
        <w:rPr/>
        <w:t>tratamientos.</w:t>
      </w:r>
      <w:r>
        <w:rPr>
          <w:spacing w:val="-3"/>
        </w:rPr>
        <w:t> </w:t>
      </w:r>
      <w:r>
        <w:rPr/>
        <w:t>Además,</w:t>
      </w:r>
      <w:r>
        <w:rPr>
          <w:spacing w:val="-3"/>
        </w:rPr>
        <w:t> </w:t>
      </w:r>
      <w:r>
        <w:rPr/>
        <w:t>se</w:t>
      </w:r>
      <w:r>
        <w:rPr>
          <w:spacing w:val="-3"/>
        </w:rPr>
        <w:t> </w:t>
      </w:r>
      <w:r>
        <w:rPr/>
        <w:t>concluye</w:t>
      </w:r>
      <w:r>
        <w:rPr>
          <w:spacing w:val="-2"/>
        </w:rPr>
        <w:t> </w:t>
      </w:r>
      <w:r>
        <w:rPr/>
        <w:t>que</w:t>
      </w:r>
      <w:r>
        <w:rPr>
          <w:spacing w:val="-4"/>
        </w:rPr>
        <w:t> </w:t>
      </w:r>
      <w:r>
        <w:rPr/>
        <w:t>la</w:t>
      </w:r>
      <w:r>
        <w:rPr>
          <w:spacing w:val="-2"/>
        </w:rPr>
        <w:t> </w:t>
      </w:r>
      <w:r>
        <w:rPr/>
        <w:t>aplicación de estos protocolos analgésicos permitió disminuir las manifestaciones conductuales de dolor posterior a la intervención de descorne. Asimismo, el tratamiento con menor puntuación promedio fue</w:t>
      </w:r>
      <w:r>
        <w:rPr>
          <w:spacing w:val="-1"/>
        </w:rPr>
        <w:t> </w:t>
      </w:r>
      <w:r>
        <w:rPr/>
        <w:t>el T3, que se puede indicar como el más eficaz. Según Cui et al. 2024, en los bovinos, las disconfortantes pruebas o procedimientos producen alteraciones en el comportamiento de los animales que son útiles para valorar la efectividad de los analgesicos usados.</w:t>
      </w:r>
    </w:p>
    <w:p>
      <w:pPr>
        <w:pStyle w:val="BodyText"/>
        <w:spacing w:line="360" w:lineRule="auto" w:before="240"/>
        <w:ind w:right="847"/>
        <w:jc w:val="both"/>
      </w:pPr>
      <w:r>
        <w:rPr/>
        <w:t>A diferencia de lo anterior, el tratamiento T1 presentó el dolor más alto, lo que se corresponde con lo presentado por las variables fisiológicas evaluadas en primera instancia, donde también se presentaron valores mayores de frecuencia cardiaca, respiratoria y temperatura.</w:t>
      </w:r>
    </w:p>
    <w:p>
      <w:pPr>
        <w:pStyle w:val="BodyText"/>
        <w:spacing w:after="0" w:line="360" w:lineRule="auto"/>
        <w:jc w:val="both"/>
        <w:sectPr>
          <w:pgSz w:w="11900" w:h="16860"/>
          <w:pgMar w:header="0" w:footer="1084" w:top="1700" w:bottom="1280" w:left="1133" w:right="850"/>
        </w:sectPr>
      </w:pPr>
    </w:p>
    <w:p>
      <w:pPr>
        <w:pStyle w:val="Heading3"/>
      </w:pPr>
      <w:bookmarkStart w:name="_bookmark64" w:id="65"/>
      <w:bookmarkEnd w:id="65"/>
      <w:r>
        <w:rPr>
          <w:b w:val="0"/>
          <w:i w:val="0"/>
        </w:rPr>
      </w:r>
      <w:r>
        <w:rPr/>
        <w:t>Tabla </w:t>
      </w:r>
      <w:r>
        <w:rPr>
          <w:spacing w:val="-5"/>
        </w:rPr>
        <w:t>17</w:t>
      </w:r>
    </w:p>
    <w:p>
      <w:pPr>
        <w:spacing w:before="137"/>
        <w:ind w:left="1135" w:right="0" w:firstLine="0"/>
        <w:jc w:val="left"/>
        <w:rPr>
          <w:i/>
          <w:sz w:val="24"/>
        </w:rPr>
      </w:pPr>
      <w:r>
        <w:rPr>
          <w:i/>
          <w:sz w:val="24"/>
        </w:rPr>
        <w:t>ANOVA</w:t>
      </w:r>
      <w:r>
        <w:rPr>
          <w:i/>
          <w:spacing w:val="-1"/>
          <w:sz w:val="24"/>
        </w:rPr>
        <w:t> </w:t>
      </w:r>
      <w:r>
        <w:rPr>
          <w:i/>
          <w:sz w:val="24"/>
        </w:rPr>
        <w:t>– Puntaje</w:t>
      </w:r>
      <w:r>
        <w:rPr>
          <w:i/>
          <w:spacing w:val="-1"/>
          <w:sz w:val="24"/>
        </w:rPr>
        <w:t> </w:t>
      </w:r>
      <w:r>
        <w:rPr>
          <w:i/>
          <w:sz w:val="24"/>
        </w:rPr>
        <w:t>conductual de</w:t>
      </w:r>
      <w:r>
        <w:rPr>
          <w:i/>
          <w:spacing w:val="-1"/>
          <w:sz w:val="24"/>
        </w:rPr>
        <w:t> </w:t>
      </w:r>
      <w:r>
        <w:rPr>
          <w:i/>
          <w:spacing w:val="-2"/>
          <w:sz w:val="24"/>
        </w:rPr>
        <w:t>dolor</w:t>
      </w:r>
    </w:p>
    <w:p>
      <w:pPr>
        <w:pStyle w:val="BodyText"/>
        <w:spacing w:before="10" w:after="1"/>
        <w:ind w:left="0"/>
        <w:rPr>
          <w:i/>
          <w:sz w:val="14"/>
        </w:rPr>
      </w:pPr>
    </w:p>
    <w:tbl>
      <w:tblPr>
        <w:tblW w:w="0" w:type="auto"/>
        <w:jc w:val="left"/>
        <w:tblInd w:w="1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1"/>
        <w:gridCol w:w="1492"/>
        <w:gridCol w:w="623"/>
        <w:gridCol w:w="756"/>
        <w:gridCol w:w="825"/>
        <w:gridCol w:w="1467"/>
      </w:tblGrid>
      <w:tr>
        <w:trPr>
          <w:trHeight w:val="302" w:hRule="atLeast"/>
        </w:trPr>
        <w:tc>
          <w:tcPr>
            <w:tcW w:w="2771" w:type="dxa"/>
            <w:tcBorders>
              <w:top w:val="single" w:sz="4" w:space="0" w:color="000000"/>
              <w:bottom w:val="single" w:sz="4" w:space="0" w:color="000000"/>
            </w:tcBorders>
          </w:tcPr>
          <w:p>
            <w:pPr>
              <w:pStyle w:val="TableParagraph"/>
              <w:spacing w:line="269" w:lineRule="exact" w:before="13"/>
              <w:ind w:left="45"/>
              <w:rPr>
                <w:b/>
                <w:sz w:val="24"/>
              </w:rPr>
            </w:pPr>
            <w:r>
              <w:rPr>
                <w:b/>
                <w:sz w:val="24"/>
              </w:rPr>
              <w:t>Fuente</w:t>
            </w:r>
            <w:r>
              <w:rPr>
                <w:b/>
                <w:spacing w:val="-4"/>
                <w:sz w:val="24"/>
              </w:rPr>
              <w:t> </w:t>
            </w:r>
            <w:r>
              <w:rPr>
                <w:b/>
                <w:sz w:val="24"/>
              </w:rPr>
              <w:t>de</w:t>
            </w:r>
            <w:r>
              <w:rPr>
                <w:b/>
                <w:spacing w:val="-3"/>
                <w:sz w:val="24"/>
              </w:rPr>
              <w:t> </w:t>
            </w:r>
            <w:r>
              <w:rPr>
                <w:b/>
                <w:spacing w:val="-2"/>
                <w:sz w:val="24"/>
              </w:rPr>
              <w:t>variación</w:t>
            </w:r>
          </w:p>
        </w:tc>
        <w:tc>
          <w:tcPr>
            <w:tcW w:w="1492" w:type="dxa"/>
            <w:tcBorders>
              <w:top w:val="single" w:sz="4" w:space="0" w:color="000000"/>
              <w:bottom w:val="single" w:sz="4" w:space="0" w:color="000000"/>
            </w:tcBorders>
          </w:tcPr>
          <w:p>
            <w:pPr>
              <w:pStyle w:val="TableParagraph"/>
              <w:spacing w:line="269" w:lineRule="exact" w:before="13"/>
              <w:ind w:left="702"/>
              <w:rPr>
                <w:b/>
                <w:sz w:val="24"/>
              </w:rPr>
            </w:pPr>
            <w:r>
              <w:rPr>
                <w:b/>
                <w:spacing w:val="-5"/>
                <w:sz w:val="24"/>
              </w:rPr>
              <w:t>SC</w:t>
            </w:r>
          </w:p>
        </w:tc>
        <w:tc>
          <w:tcPr>
            <w:tcW w:w="623" w:type="dxa"/>
            <w:tcBorders>
              <w:top w:val="single" w:sz="4" w:space="0" w:color="000000"/>
              <w:bottom w:val="single" w:sz="4" w:space="0" w:color="000000"/>
            </w:tcBorders>
          </w:tcPr>
          <w:p>
            <w:pPr>
              <w:pStyle w:val="TableParagraph"/>
              <w:spacing w:line="269" w:lineRule="exact" w:before="13"/>
              <w:ind w:left="117" w:right="54"/>
              <w:jc w:val="center"/>
              <w:rPr>
                <w:b/>
                <w:sz w:val="24"/>
              </w:rPr>
            </w:pPr>
            <w:r>
              <w:rPr>
                <w:b/>
                <w:spacing w:val="-5"/>
                <w:sz w:val="24"/>
              </w:rPr>
              <w:t>gl</w:t>
            </w:r>
          </w:p>
        </w:tc>
        <w:tc>
          <w:tcPr>
            <w:tcW w:w="756" w:type="dxa"/>
            <w:tcBorders>
              <w:top w:val="single" w:sz="4" w:space="0" w:color="000000"/>
              <w:bottom w:val="single" w:sz="4" w:space="0" w:color="000000"/>
            </w:tcBorders>
          </w:tcPr>
          <w:p>
            <w:pPr>
              <w:pStyle w:val="TableParagraph"/>
              <w:spacing w:line="269" w:lineRule="exact" w:before="13"/>
              <w:ind w:right="88"/>
              <w:jc w:val="center"/>
              <w:rPr>
                <w:b/>
                <w:sz w:val="24"/>
              </w:rPr>
            </w:pPr>
            <w:r>
              <w:rPr>
                <w:b/>
                <w:spacing w:val="-5"/>
                <w:sz w:val="24"/>
              </w:rPr>
              <w:t>CM</w:t>
            </w:r>
          </w:p>
        </w:tc>
        <w:tc>
          <w:tcPr>
            <w:tcW w:w="825" w:type="dxa"/>
            <w:tcBorders>
              <w:top w:val="single" w:sz="4" w:space="0" w:color="000000"/>
              <w:bottom w:val="single" w:sz="4" w:space="0" w:color="000000"/>
            </w:tcBorders>
          </w:tcPr>
          <w:p>
            <w:pPr>
              <w:pStyle w:val="TableParagraph"/>
              <w:spacing w:line="269" w:lineRule="exact" w:before="13"/>
              <w:ind w:left="202"/>
              <w:rPr>
                <w:b/>
                <w:sz w:val="24"/>
              </w:rPr>
            </w:pPr>
            <w:r>
              <w:rPr>
                <w:b/>
                <w:spacing w:val="-10"/>
                <w:sz w:val="24"/>
              </w:rPr>
              <w:t>F</w:t>
            </w:r>
          </w:p>
        </w:tc>
        <w:tc>
          <w:tcPr>
            <w:tcW w:w="1467" w:type="dxa"/>
            <w:tcBorders>
              <w:top w:val="single" w:sz="4" w:space="0" w:color="000000"/>
              <w:bottom w:val="single" w:sz="4" w:space="0" w:color="000000"/>
            </w:tcBorders>
          </w:tcPr>
          <w:p>
            <w:pPr>
              <w:pStyle w:val="TableParagraph"/>
              <w:spacing w:line="269" w:lineRule="exact" w:before="13"/>
              <w:ind w:left="201"/>
              <w:rPr>
                <w:b/>
                <w:sz w:val="24"/>
              </w:rPr>
            </w:pPr>
            <w:r>
              <w:rPr>
                <w:b/>
                <w:spacing w:val="-10"/>
                <w:sz w:val="24"/>
              </w:rPr>
              <w:t>P</w:t>
            </w:r>
          </w:p>
        </w:tc>
      </w:tr>
      <w:tr>
        <w:trPr>
          <w:trHeight w:val="358" w:hRule="atLeast"/>
        </w:trPr>
        <w:tc>
          <w:tcPr>
            <w:tcW w:w="2771" w:type="dxa"/>
            <w:tcBorders>
              <w:top w:val="single" w:sz="4" w:space="0" w:color="000000"/>
            </w:tcBorders>
          </w:tcPr>
          <w:p>
            <w:pPr>
              <w:pStyle w:val="TableParagraph"/>
              <w:spacing w:before="47"/>
              <w:ind w:left="45"/>
              <w:rPr>
                <w:b/>
                <w:sz w:val="24"/>
              </w:rPr>
            </w:pPr>
            <w:r>
              <w:rPr>
                <w:b/>
                <w:spacing w:val="-2"/>
                <w:sz w:val="24"/>
              </w:rPr>
              <w:t>Tratamientos</w:t>
            </w:r>
          </w:p>
        </w:tc>
        <w:tc>
          <w:tcPr>
            <w:tcW w:w="1492" w:type="dxa"/>
            <w:tcBorders>
              <w:top w:val="single" w:sz="4" w:space="0" w:color="000000"/>
            </w:tcBorders>
          </w:tcPr>
          <w:p>
            <w:pPr>
              <w:pStyle w:val="TableParagraph"/>
              <w:spacing w:before="47"/>
              <w:ind w:left="702"/>
              <w:rPr>
                <w:sz w:val="24"/>
              </w:rPr>
            </w:pPr>
            <w:r>
              <w:rPr>
                <w:spacing w:val="-2"/>
                <w:sz w:val="24"/>
              </w:rPr>
              <w:t>15.28</w:t>
            </w:r>
          </w:p>
        </w:tc>
        <w:tc>
          <w:tcPr>
            <w:tcW w:w="623" w:type="dxa"/>
            <w:tcBorders>
              <w:top w:val="single" w:sz="4" w:space="0" w:color="000000"/>
            </w:tcBorders>
          </w:tcPr>
          <w:p>
            <w:pPr>
              <w:pStyle w:val="TableParagraph"/>
              <w:spacing w:before="47"/>
              <w:ind w:right="2"/>
              <w:jc w:val="center"/>
              <w:rPr>
                <w:sz w:val="24"/>
              </w:rPr>
            </w:pPr>
            <w:r>
              <w:rPr>
                <w:spacing w:val="-10"/>
                <w:sz w:val="24"/>
              </w:rPr>
              <w:t>3</w:t>
            </w:r>
          </w:p>
        </w:tc>
        <w:tc>
          <w:tcPr>
            <w:tcW w:w="756" w:type="dxa"/>
            <w:tcBorders>
              <w:top w:val="single" w:sz="4" w:space="0" w:color="000000"/>
            </w:tcBorders>
          </w:tcPr>
          <w:p>
            <w:pPr>
              <w:pStyle w:val="TableParagraph"/>
              <w:spacing w:before="47"/>
              <w:ind w:left="21" w:right="88"/>
              <w:jc w:val="center"/>
              <w:rPr>
                <w:sz w:val="24"/>
              </w:rPr>
            </w:pPr>
            <w:r>
              <w:rPr>
                <w:spacing w:val="-4"/>
                <w:sz w:val="24"/>
              </w:rPr>
              <w:t>5.09</w:t>
            </w:r>
          </w:p>
        </w:tc>
        <w:tc>
          <w:tcPr>
            <w:tcW w:w="825" w:type="dxa"/>
            <w:tcBorders>
              <w:top w:val="single" w:sz="4" w:space="0" w:color="000000"/>
            </w:tcBorders>
          </w:tcPr>
          <w:p>
            <w:pPr>
              <w:pStyle w:val="TableParagraph"/>
              <w:spacing w:before="47"/>
              <w:ind w:left="202"/>
              <w:rPr>
                <w:sz w:val="24"/>
              </w:rPr>
            </w:pPr>
            <w:r>
              <w:rPr>
                <w:spacing w:val="-4"/>
                <w:sz w:val="24"/>
              </w:rPr>
              <w:t>18.7</w:t>
            </w:r>
          </w:p>
        </w:tc>
        <w:tc>
          <w:tcPr>
            <w:tcW w:w="1467" w:type="dxa"/>
            <w:tcBorders>
              <w:top w:val="single" w:sz="4" w:space="0" w:color="000000"/>
            </w:tcBorders>
          </w:tcPr>
          <w:p>
            <w:pPr>
              <w:pStyle w:val="TableParagraph"/>
              <w:spacing w:before="47"/>
              <w:ind w:left="201"/>
              <w:rPr>
                <w:sz w:val="24"/>
              </w:rPr>
            </w:pPr>
            <w:r>
              <w:rPr>
                <w:spacing w:val="-2"/>
                <w:sz w:val="24"/>
              </w:rPr>
              <w:t>&lt;0.001</w:t>
            </w:r>
          </w:p>
        </w:tc>
      </w:tr>
      <w:tr>
        <w:trPr>
          <w:trHeight w:val="336" w:hRule="atLeast"/>
        </w:trPr>
        <w:tc>
          <w:tcPr>
            <w:tcW w:w="2771" w:type="dxa"/>
          </w:tcPr>
          <w:p>
            <w:pPr>
              <w:pStyle w:val="TableParagraph"/>
              <w:spacing w:before="25"/>
              <w:ind w:left="45"/>
              <w:rPr>
                <w:b/>
                <w:sz w:val="24"/>
              </w:rPr>
            </w:pPr>
            <w:r>
              <w:rPr>
                <w:b/>
                <w:spacing w:val="-4"/>
                <w:sz w:val="24"/>
              </w:rPr>
              <w:t>Error</w:t>
            </w:r>
          </w:p>
        </w:tc>
        <w:tc>
          <w:tcPr>
            <w:tcW w:w="1492" w:type="dxa"/>
          </w:tcPr>
          <w:p>
            <w:pPr>
              <w:pStyle w:val="TableParagraph"/>
              <w:spacing w:before="25"/>
              <w:ind w:left="702"/>
              <w:rPr>
                <w:sz w:val="24"/>
              </w:rPr>
            </w:pPr>
            <w:r>
              <w:rPr>
                <w:spacing w:val="-4"/>
                <w:sz w:val="24"/>
              </w:rPr>
              <w:t>3.27</w:t>
            </w:r>
          </w:p>
        </w:tc>
        <w:tc>
          <w:tcPr>
            <w:tcW w:w="623" w:type="dxa"/>
          </w:tcPr>
          <w:p>
            <w:pPr>
              <w:pStyle w:val="TableParagraph"/>
              <w:spacing w:before="25"/>
              <w:ind w:left="119" w:right="2"/>
              <w:jc w:val="center"/>
              <w:rPr>
                <w:sz w:val="24"/>
              </w:rPr>
            </w:pPr>
            <w:r>
              <w:rPr>
                <w:spacing w:val="-5"/>
                <w:sz w:val="24"/>
              </w:rPr>
              <w:t>12</w:t>
            </w:r>
          </w:p>
        </w:tc>
        <w:tc>
          <w:tcPr>
            <w:tcW w:w="756" w:type="dxa"/>
          </w:tcPr>
          <w:p>
            <w:pPr>
              <w:pStyle w:val="TableParagraph"/>
              <w:spacing w:before="25"/>
              <w:ind w:left="21" w:right="88"/>
              <w:jc w:val="center"/>
              <w:rPr>
                <w:sz w:val="24"/>
              </w:rPr>
            </w:pPr>
            <w:r>
              <w:rPr>
                <w:spacing w:val="-4"/>
                <w:sz w:val="24"/>
              </w:rPr>
              <w:t>0.27</w:t>
            </w:r>
          </w:p>
        </w:tc>
        <w:tc>
          <w:tcPr>
            <w:tcW w:w="825" w:type="dxa"/>
          </w:tcPr>
          <w:p>
            <w:pPr>
              <w:pStyle w:val="TableParagraph"/>
              <w:rPr>
                <w:sz w:val="24"/>
              </w:rPr>
            </w:pPr>
          </w:p>
        </w:tc>
        <w:tc>
          <w:tcPr>
            <w:tcW w:w="1467" w:type="dxa"/>
          </w:tcPr>
          <w:p>
            <w:pPr>
              <w:pStyle w:val="TableParagraph"/>
              <w:rPr>
                <w:sz w:val="24"/>
              </w:rPr>
            </w:pPr>
          </w:p>
        </w:tc>
      </w:tr>
      <w:tr>
        <w:trPr>
          <w:trHeight w:val="315" w:hRule="atLeast"/>
        </w:trPr>
        <w:tc>
          <w:tcPr>
            <w:tcW w:w="2771" w:type="dxa"/>
            <w:tcBorders>
              <w:bottom w:val="single" w:sz="4" w:space="0" w:color="000000"/>
            </w:tcBorders>
          </w:tcPr>
          <w:p>
            <w:pPr>
              <w:pStyle w:val="TableParagraph"/>
              <w:spacing w:line="271" w:lineRule="exact" w:before="25"/>
              <w:ind w:left="45"/>
              <w:rPr>
                <w:b/>
                <w:sz w:val="24"/>
              </w:rPr>
            </w:pPr>
            <w:r>
              <w:rPr>
                <w:b/>
                <w:spacing w:val="-2"/>
                <w:sz w:val="24"/>
              </w:rPr>
              <w:t>Total</w:t>
            </w:r>
          </w:p>
        </w:tc>
        <w:tc>
          <w:tcPr>
            <w:tcW w:w="1492" w:type="dxa"/>
            <w:tcBorders>
              <w:bottom w:val="single" w:sz="4" w:space="0" w:color="000000"/>
            </w:tcBorders>
          </w:tcPr>
          <w:p>
            <w:pPr>
              <w:pStyle w:val="TableParagraph"/>
              <w:spacing w:line="271" w:lineRule="exact" w:before="25"/>
              <w:ind w:left="702"/>
              <w:rPr>
                <w:sz w:val="24"/>
              </w:rPr>
            </w:pPr>
            <w:r>
              <w:rPr>
                <w:spacing w:val="-2"/>
                <w:sz w:val="24"/>
              </w:rPr>
              <w:t>18.55</w:t>
            </w:r>
          </w:p>
        </w:tc>
        <w:tc>
          <w:tcPr>
            <w:tcW w:w="623" w:type="dxa"/>
            <w:tcBorders>
              <w:bottom w:val="single" w:sz="4" w:space="0" w:color="000000"/>
            </w:tcBorders>
          </w:tcPr>
          <w:p>
            <w:pPr>
              <w:pStyle w:val="TableParagraph"/>
              <w:spacing w:line="271" w:lineRule="exact" w:before="25"/>
              <w:ind w:left="119" w:right="2"/>
              <w:jc w:val="center"/>
              <w:rPr>
                <w:sz w:val="24"/>
              </w:rPr>
            </w:pPr>
            <w:r>
              <w:rPr>
                <w:spacing w:val="-5"/>
                <w:sz w:val="24"/>
              </w:rPr>
              <w:t>15</w:t>
            </w:r>
          </w:p>
        </w:tc>
        <w:tc>
          <w:tcPr>
            <w:tcW w:w="756" w:type="dxa"/>
            <w:tcBorders>
              <w:bottom w:val="single" w:sz="4" w:space="0" w:color="000000"/>
            </w:tcBorders>
          </w:tcPr>
          <w:p>
            <w:pPr>
              <w:pStyle w:val="TableParagraph"/>
              <w:rPr>
                <w:sz w:val="24"/>
              </w:rPr>
            </w:pPr>
          </w:p>
        </w:tc>
        <w:tc>
          <w:tcPr>
            <w:tcW w:w="825" w:type="dxa"/>
            <w:tcBorders>
              <w:bottom w:val="single" w:sz="4" w:space="0" w:color="000000"/>
            </w:tcBorders>
          </w:tcPr>
          <w:p>
            <w:pPr>
              <w:pStyle w:val="TableParagraph"/>
              <w:rPr>
                <w:sz w:val="24"/>
              </w:rPr>
            </w:pPr>
          </w:p>
        </w:tc>
        <w:tc>
          <w:tcPr>
            <w:tcW w:w="1467" w:type="dxa"/>
            <w:tcBorders>
              <w:bottom w:val="single" w:sz="4" w:space="0" w:color="000000"/>
            </w:tcBorders>
          </w:tcPr>
          <w:p>
            <w:pPr>
              <w:pStyle w:val="TableParagraph"/>
              <w:rPr>
                <w:sz w:val="24"/>
              </w:rPr>
            </w:pPr>
          </w:p>
        </w:tc>
      </w:tr>
    </w:tbl>
    <w:p>
      <w:pPr>
        <w:pStyle w:val="BodyText"/>
        <w:spacing w:before="136"/>
        <w:ind w:left="0"/>
        <w:rPr>
          <w:i/>
          <w:sz w:val="20"/>
        </w:rPr>
      </w:pPr>
      <w:r>
        <w:rPr>
          <w:i/>
          <w:sz w:val="20"/>
        </w:rPr>
        <w:drawing>
          <wp:anchor distT="0" distB="0" distL="0" distR="0" allowOverlap="1" layoutInCell="1" locked="0" behindDoc="1" simplePos="0" relativeHeight="487594496">
            <wp:simplePos x="0" y="0"/>
            <wp:positionH relativeFrom="page">
              <wp:posOffset>1440180</wp:posOffset>
            </wp:positionH>
            <wp:positionV relativeFrom="paragraph">
              <wp:posOffset>248031</wp:posOffset>
            </wp:positionV>
            <wp:extent cx="5068121" cy="3058382"/>
            <wp:effectExtent l="0" t="0" r="0" b="0"/>
            <wp:wrapTopAndBottom/>
            <wp:docPr id="36" name="Image 36"/>
            <wp:cNvGraphicFramePr>
              <a:graphicFrameLocks/>
            </wp:cNvGraphicFramePr>
            <a:graphic>
              <a:graphicData uri="http://schemas.openxmlformats.org/drawingml/2006/picture">
                <pic:pic>
                  <pic:nvPicPr>
                    <pic:cNvPr id="36" name="Image 36"/>
                    <pic:cNvPicPr/>
                  </pic:nvPicPr>
                  <pic:blipFill>
                    <a:blip r:embed="rId24" cstate="print"/>
                    <a:stretch>
                      <a:fillRect/>
                    </a:stretch>
                  </pic:blipFill>
                  <pic:spPr>
                    <a:xfrm>
                      <a:off x="0" y="0"/>
                      <a:ext cx="5068121" cy="3058382"/>
                    </a:xfrm>
                    <a:prstGeom prst="rect">
                      <a:avLst/>
                    </a:prstGeom>
                  </pic:spPr>
                </pic:pic>
              </a:graphicData>
            </a:graphic>
          </wp:anchor>
        </w:drawing>
      </w:r>
    </w:p>
    <w:p>
      <w:pPr>
        <w:pStyle w:val="BodyText"/>
        <w:spacing w:before="205"/>
        <w:ind w:left="0"/>
        <w:rPr>
          <w:i/>
        </w:rPr>
      </w:pPr>
    </w:p>
    <w:p>
      <w:pPr>
        <w:pStyle w:val="BodyText"/>
        <w:spacing w:line="360" w:lineRule="auto" w:before="1"/>
        <w:ind w:right="842"/>
        <w:jc w:val="both"/>
      </w:pPr>
      <w:r>
        <w:rPr/>
        <w:t>Los efectos de los tratamientos frente al dolor fueron evaluados usando el análisis de</w:t>
      </w:r>
      <w:r>
        <w:rPr>
          <w:spacing w:val="-15"/>
        </w:rPr>
        <w:t> </w:t>
      </w:r>
      <w:r>
        <w:rPr/>
        <w:t>varianza.</w:t>
      </w:r>
      <w:r>
        <w:rPr>
          <w:spacing w:val="-14"/>
        </w:rPr>
        <w:t> </w:t>
      </w:r>
      <w:r>
        <w:rPr/>
        <w:t>El</w:t>
      </w:r>
      <w:r>
        <w:rPr>
          <w:spacing w:val="-14"/>
        </w:rPr>
        <w:t> </w:t>
      </w:r>
      <w:r>
        <w:rPr/>
        <w:t>análisis</w:t>
      </w:r>
      <w:r>
        <w:rPr>
          <w:spacing w:val="-14"/>
        </w:rPr>
        <w:t> </w:t>
      </w:r>
      <w:r>
        <w:rPr/>
        <w:t>de</w:t>
      </w:r>
      <w:r>
        <w:rPr>
          <w:spacing w:val="-13"/>
        </w:rPr>
        <w:t> </w:t>
      </w:r>
      <w:r>
        <w:rPr/>
        <w:t>varianza</w:t>
      </w:r>
      <w:r>
        <w:rPr>
          <w:spacing w:val="-15"/>
        </w:rPr>
        <w:t> </w:t>
      </w:r>
      <w:r>
        <w:rPr/>
        <w:t>del</w:t>
      </w:r>
      <w:r>
        <w:rPr>
          <w:spacing w:val="-14"/>
        </w:rPr>
        <w:t> </w:t>
      </w:r>
      <w:r>
        <w:rPr/>
        <w:t>puntaje</w:t>
      </w:r>
      <w:r>
        <w:rPr>
          <w:spacing w:val="-15"/>
        </w:rPr>
        <w:t> </w:t>
      </w:r>
      <w:r>
        <w:rPr/>
        <w:t>de</w:t>
      </w:r>
      <w:r>
        <w:rPr>
          <w:spacing w:val="-11"/>
        </w:rPr>
        <w:t> </w:t>
      </w:r>
      <w:r>
        <w:rPr/>
        <w:t>dolor</w:t>
      </w:r>
      <w:r>
        <w:rPr>
          <w:spacing w:val="-15"/>
        </w:rPr>
        <w:t> </w:t>
      </w:r>
      <w:r>
        <w:rPr/>
        <w:t>conductual</w:t>
      </w:r>
      <w:r>
        <w:rPr>
          <w:spacing w:val="-14"/>
        </w:rPr>
        <w:t> </w:t>
      </w:r>
      <w:r>
        <w:rPr/>
        <w:t>mostró</w:t>
      </w:r>
      <w:r>
        <w:rPr>
          <w:spacing w:val="-13"/>
        </w:rPr>
        <w:t> </w:t>
      </w:r>
      <w:r>
        <w:rPr/>
        <w:t>una</w:t>
      </w:r>
      <w:r>
        <w:rPr>
          <w:spacing w:val="-15"/>
        </w:rPr>
        <w:t> </w:t>
      </w:r>
      <w:r>
        <w:rPr/>
        <w:t>muy significativa</w:t>
      </w:r>
      <w:r>
        <w:rPr>
          <w:spacing w:val="-15"/>
        </w:rPr>
        <w:t> </w:t>
      </w:r>
      <w:r>
        <w:rPr/>
        <w:t>diferencia</w:t>
      </w:r>
      <w:r>
        <w:rPr>
          <w:spacing w:val="-15"/>
        </w:rPr>
        <w:t> </w:t>
      </w:r>
      <w:r>
        <w:rPr/>
        <w:t>(F=</w:t>
      </w:r>
      <w:r>
        <w:rPr>
          <w:spacing w:val="-15"/>
        </w:rPr>
        <w:t> </w:t>
      </w:r>
      <w:r>
        <w:rPr/>
        <w:t>18.7;</w:t>
      </w:r>
      <w:r>
        <w:rPr>
          <w:spacing w:val="-15"/>
        </w:rPr>
        <w:t> </w:t>
      </w:r>
      <w:r>
        <w:rPr/>
        <w:t>p&lt;</w:t>
      </w:r>
      <w:r>
        <w:rPr>
          <w:spacing w:val="-15"/>
        </w:rPr>
        <w:t> </w:t>
      </w:r>
      <w:r>
        <w:rPr/>
        <w:t>0.001).</w:t>
      </w:r>
      <w:r>
        <w:rPr>
          <w:spacing w:val="-15"/>
        </w:rPr>
        <w:t> </w:t>
      </w:r>
      <w:r>
        <w:rPr/>
        <w:t>Los</w:t>
      </w:r>
      <w:r>
        <w:rPr>
          <w:spacing w:val="-15"/>
        </w:rPr>
        <w:t> </w:t>
      </w:r>
      <w:r>
        <w:rPr/>
        <w:t>esquemas</w:t>
      </w:r>
      <w:r>
        <w:rPr>
          <w:spacing w:val="-15"/>
        </w:rPr>
        <w:t> </w:t>
      </w:r>
      <w:r>
        <w:rPr/>
        <w:t>de</w:t>
      </w:r>
      <w:r>
        <w:rPr>
          <w:spacing w:val="-15"/>
        </w:rPr>
        <w:t> </w:t>
      </w:r>
      <w:r>
        <w:rPr/>
        <w:t>analgésicos</w:t>
      </w:r>
      <w:r>
        <w:rPr>
          <w:spacing w:val="-15"/>
        </w:rPr>
        <w:t> </w:t>
      </w:r>
      <w:r>
        <w:rPr/>
        <w:t>utilizados durante el descorne provocaron un efecto notable en las manifestaciones conductuales relacionadas al dolor. La suma de los cuadrados de los tratamientos (SC=15.28) fue mayor a la suma de los cuadrados del error experimental (SC=3.27). Esto nos dice que una porción importante de la variabilidad observada en el puntaje de dolor fue debida a efecto de tratamientos.</w:t>
      </w:r>
    </w:p>
    <w:p>
      <w:pPr>
        <w:pStyle w:val="BodyText"/>
        <w:spacing w:line="360" w:lineRule="auto" w:before="240"/>
        <w:ind w:right="849"/>
        <w:jc w:val="both"/>
      </w:pPr>
      <w:r>
        <w:rPr/>
        <w:t>Adam et al. (2025) indica que el uso de anestésicos locales reduce las respuestas comportamentales dolorosas de los terneros que necesitan un procedimiento quirúrgico. Por eso, los protocolos analgésicos que se usaron durante el descorne, impactaron</w:t>
      </w:r>
      <w:r>
        <w:rPr>
          <w:spacing w:val="-15"/>
        </w:rPr>
        <w:t> </w:t>
      </w:r>
      <w:r>
        <w:rPr/>
        <w:t>significativamente</w:t>
      </w:r>
      <w:r>
        <w:rPr>
          <w:spacing w:val="-15"/>
        </w:rPr>
        <w:t> </w:t>
      </w:r>
      <w:r>
        <w:rPr/>
        <w:t>en</w:t>
      </w:r>
      <w:r>
        <w:rPr>
          <w:spacing w:val="-15"/>
        </w:rPr>
        <w:t> </w:t>
      </w:r>
      <w:r>
        <w:rPr/>
        <w:t>la</w:t>
      </w:r>
      <w:r>
        <w:rPr>
          <w:spacing w:val="-15"/>
        </w:rPr>
        <w:t> </w:t>
      </w:r>
      <w:r>
        <w:rPr/>
        <w:t>intensidad</w:t>
      </w:r>
      <w:r>
        <w:rPr>
          <w:spacing w:val="-14"/>
        </w:rPr>
        <w:t> </w:t>
      </w:r>
      <w:r>
        <w:rPr/>
        <w:t>de</w:t>
      </w:r>
      <w:r>
        <w:rPr>
          <w:spacing w:val="-14"/>
        </w:rPr>
        <w:t> </w:t>
      </w:r>
      <w:r>
        <w:rPr/>
        <w:t>las</w:t>
      </w:r>
      <w:r>
        <w:rPr>
          <w:spacing w:val="-15"/>
        </w:rPr>
        <w:t> </w:t>
      </w:r>
      <w:r>
        <w:rPr/>
        <w:t>manifestaciones</w:t>
      </w:r>
      <w:r>
        <w:rPr>
          <w:spacing w:val="-15"/>
        </w:rPr>
        <w:t> </w:t>
      </w:r>
      <w:r>
        <w:rPr/>
        <w:t>conductuales vistas en los terneros tras el procedimiento.</w:t>
      </w:r>
    </w:p>
    <w:p>
      <w:pPr>
        <w:pStyle w:val="BodyText"/>
        <w:spacing w:after="0" w:line="360" w:lineRule="auto"/>
        <w:jc w:val="both"/>
        <w:sectPr>
          <w:pgSz w:w="11900" w:h="16860"/>
          <w:pgMar w:header="0" w:footer="1084" w:top="1620" w:bottom="1280" w:left="1133" w:right="850"/>
        </w:sectPr>
      </w:pPr>
    </w:p>
    <w:p>
      <w:pPr>
        <w:pStyle w:val="Heading3"/>
      </w:pPr>
      <w:bookmarkStart w:name="_bookmark65" w:id="66"/>
      <w:bookmarkEnd w:id="66"/>
      <w:r>
        <w:rPr>
          <w:b w:val="0"/>
          <w:i w:val="0"/>
        </w:rPr>
      </w:r>
      <w:r>
        <w:rPr/>
        <w:t>Tabla </w:t>
      </w:r>
      <w:r>
        <w:rPr>
          <w:spacing w:val="-5"/>
        </w:rPr>
        <w:t>18</w:t>
      </w:r>
    </w:p>
    <w:p>
      <w:pPr>
        <w:spacing w:before="137"/>
        <w:ind w:left="1135" w:right="0" w:firstLine="0"/>
        <w:jc w:val="left"/>
        <w:rPr>
          <w:i/>
          <w:sz w:val="24"/>
        </w:rPr>
      </w:pPr>
      <w:r>
        <w:rPr>
          <w:i/>
          <w:sz w:val="24"/>
        </w:rPr>
        <w:t>Comparación</w:t>
      </w:r>
      <w:r>
        <w:rPr>
          <w:i/>
          <w:spacing w:val="-4"/>
          <w:sz w:val="24"/>
        </w:rPr>
        <w:t> </w:t>
      </w:r>
      <w:r>
        <w:rPr>
          <w:i/>
          <w:sz w:val="24"/>
        </w:rPr>
        <w:t>de</w:t>
      </w:r>
      <w:r>
        <w:rPr>
          <w:i/>
          <w:spacing w:val="-1"/>
          <w:sz w:val="24"/>
        </w:rPr>
        <w:t> </w:t>
      </w:r>
      <w:r>
        <w:rPr>
          <w:i/>
          <w:sz w:val="24"/>
        </w:rPr>
        <w:t>medias Tukey</w:t>
      </w:r>
      <w:r>
        <w:rPr>
          <w:i/>
          <w:spacing w:val="1"/>
          <w:sz w:val="24"/>
        </w:rPr>
        <w:t> </w:t>
      </w:r>
      <w:r>
        <w:rPr>
          <w:i/>
          <w:spacing w:val="-2"/>
          <w:sz w:val="24"/>
        </w:rPr>
        <w:t>(dolor)</w:t>
      </w:r>
    </w:p>
    <w:p>
      <w:pPr>
        <w:pStyle w:val="BodyText"/>
        <w:spacing w:before="10" w:after="1"/>
        <w:ind w:left="0"/>
        <w:rPr>
          <w:i/>
          <w:sz w:val="14"/>
        </w:rPr>
      </w:pPr>
    </w:p>
    <w:tbl>
      <w:tblPr>
        <w:tblW w:w="0" w:type="auto"/>
        <w:jc w:val="left"/>
        <w:tblInd w:w="1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29"/>
        <w:gridCol w:w="3205"/>
      </w:tblGrid>
      <w:tr>
        <w:trPr>
          <w:trHeight w:val="302" w:hRule="atLeast"/>
        </w:trPr>
        <w:tc>
          <w:tcPr>
            <w:tcW w:w="4729" w:type="dxa"/>
            <w:tcBorders>
              <w:top w:val="single" w:sz="4" w:space="0" w:color="000000"/>
              <w:bottom w:val="single" w:sz="4" w:space="0" w:color="000000"/>
            </w:tcBorders>
          </w:tcPr>
          <w:p>
            <w:pPr>
              <w:pStyle w:val="TableParagraph"/>
              <w:spacing w:line="269" w:lineRule="exact" w:before="13"/>
              <w:ind w:left="45"/>
              <w:rPr>
                <w:b/>
                <w:sz w:val="24"/>
              </w:rPr>
            </w:pPr>
            <w:r>
              <w:rPr>
                <w:b/>
                <w:spacing w:val="-2"/>
                <w:sz w:val="24"/>
              </w:rPr>
              <w:t>Tratamiento</w:t>
            </w:r>
          </w:p>
        </w:tc>
        <w:tc>
          <w:tcPr>
            <w:tcW w:w="3205" w:type="dxa"/>
            <w:tcBorders>
              <w:top w:val="single" w:sz="4" w:space="0" w:color="000000"/>
              <w:bottom w:val="single" w:sz="4" w:space="0" w:color="000000"/>
            </w:tcBorders>
          </w:tcPr>
          <w:p>
            <w:pPr>
              <w:pStyle w:val="TableParagraph"/>
              <w:spacing w:line="269" w:lineRule="exact" w:before="13"/>
              <w:ind w:left="28"/>
              <w:rPr>
                <w:b/>
                <w:sz w:val="24"/>
              </w:rPr>
            </w:pPr>
            <w:r>
              <w:rPr>
                <w:b/>
                <w:sz w:val="24"/>
              </w:rPr>
              <w:t>Puntaje</w:t>
            </w:r>
            <w:r>
              <w:rPr>
                <w:b/>
                <w:spacing w:val="-2"/>
                <w:sz w:val="24"/>
              </w:rPr>
              <w:t> </w:t>
            </w:r>
            <w:r>
              <w:rPr>
                <w:b/>
                <w:sz w:val="24"/>
              </w:rPr>
              <w:t>conductual</w:t>
            </w:r>
            <w:r>
              <w:rPr>
                <w:b/>
                <w:spacing w:val="-2"/>
                <w:sz w:val="24"/>
              </w:rPr>
              <w:t> </w:t>
            </w:r>
            <w:r>
              <w:rPr>
                <w:b/>
                <w:sz w:val="24"/>
              </w:rPr>
              <w:t>de</w:t>
            </w:r>
            <w:r>
              <w:rPr>
                <w:b/>
                <w:spacing w:val="-3"/>
                <w:sz w:val="24"/>
              </w:rPr>
              <w:t> </w:t>
            </w:r>
            <w:r>
              <w:rPr>
                <w:b/>
                <w:spacing w:val="-2"/>
                <w:sz w:val="24"/>
              </w:rPr>
              <w:t>dolor</w:t>
            </w:r>
          </w:p>
        </w:tc>
      </w:tr>
      <w:tr>
        <w:trPr>
          <w:trHeight w:val="334" w:hRule="atLeast"/>
        </w:trPr>
        <w:tc>
          <w:tcPr>
            <w:tcW w:w="4729" w:type="dxa"/>
            <w:tcBorders>
              <w:top w:val="single" w:sz="4" w:space="0" w:color="000000"/>
            </w:tcBorders>
          </w:tcPr>
          <w:p>
            <w:pPr>
              <w:pStyle w:val="TableParagraph"/>
              <w:spacing w:before="46"/>
              <w:ind w:left="45"/>
              <w:rPr>
                <w:sz w:val="22"/>
              </w:rPr>
            </w:pPr>
            <w:r>
              <w:rPr>
                <w:sz w:val="22"/>
              </w:rPr>
              <w:t>T0</w:t>
            </w:r>
            <w:r>
              <w:rPr>
                <w:spacing w:val="-4"/>
                <w:sz w:val="22"/>
              </w:rPr>
              <w:t> </w:t>
            </w:r>
            <w:r>
              <w:rPr>
                <w:spacing w:val="-2"/>
                <w:sz w:val="22"/>
              </w:rPr>
              <w:t>(Testigo)</w:t>
            </w:r>
          </w:p>
        </w:tc>
        <w:tc>
          <w:tcPr>
            <w:tcW w:w="3205" w:type="dxa"/>
            <w:tcBorders>
              <w:top w:val="single" w:sz="4" w:space="0" w:color="000000"/>
            </w:tcBorders>
          </w:tcPr>
          <w:p>
            <w:pPr>
              <w:pStyle w:val="TableParagraph"/>
              <w:spacing w:before="46"/>
              <w:ind w:left="28"/>
              <w:rPr>
                <w:sz w:val="22"/>
              </w:rPr>
            </w:pPr>
            <w:r>
              <w:rPr>
                <w:sz w:val="22"/>
              </w:rPr>
              <w:t>5.75 ±</w:t>
            </w:r>
            <w:r>
              <w:rPr>
                <w:spacing w:val="-2"/>
                <w:sz w:val="22"/>
              </w:rPr>
              <w:t> </w:t>
            </w:r>
            <w:r>
              <w:rPr>
                <w:sz w:val="22"/>
              </w:rPr>
              <w:t>0.96 </w:t>
            </w:r>
            <w:r>
              <w:rPr>
                <w:spacing w:val="-10"/>
                <w:sz w:val="22"/>
              </w:rPr>
              <w:t>b</w:t>
            </w:r>
          </w:p>
        </w:tc>
      </w:tr>
      <w:tr>
        <w:trPr>
          <w:trHeight w:val="334" w:hRule="atLeast"/>
        </w:trPr>
        <w:tc>
          <w:tcPr>
            <w:tcW w:w="4729" w:type="dxa"/>
          </w:tcPr>
          <w:p>
            <w:pPr>
              <w:pStyle w:val="TableParagraph"/>
              <w:spacing w:before="24"/>
              <w:ind w:left="45"/>
              <w:rPr>
                <w:sz w:val="22"/>
              </w:rPr>
            </w:pPr>
            <w:r>
              <w:rPr>
                <w:sz w:val="22"/>
              </w:rPr>
              <w:t>T1</w:t>
            </w:r>
            <w:r>
              <w:rPr>
                <w:spacing w:val="-5"/>
                <w:sz w:val="22"/>
              </w:rPr>
              <w:t> </w:t>
            </w:r>
            <w:r>
              <w:rPr>
                <w:sz w:val="22"/>
              </w:rPr>
              <w:t>(Lidocaína</w:t>
            </w:r>
            <w:r>
              <w:rPr>
                <w:spacing w:val="-2"/>
                <w:sz w:val="22"/>
              </w:rPr>
              <w:t> </w:t>
            </w:r>
            <w:r>
              <w:rPr>
                <w:sz w:val="22"/>
              </w:rPr>
              <w:t>Tamponada</w:t>
            </w:r>
            <w:r>
              <w:rPr>
                <w:spacing w:val="-4"/>
                <w:sz w:val="22"/>
              </w:rPr>
              <w:t> </w:t>
            </w:r>
            <w:r>
              <w:rPr>
                <w:sz w:val="22"/>
              </w:rPr>
              <w:t>+</w:t>
            </w:r>
            <w:r>
              <w:rPr>
                <w:spacing w:val="-1"/>
                <w:sz w:val="22"/>
              </w:rPr>
              <w:t> </w:t>
            </w:r>
            <w:r>
              <w:rPr>
                <w:sz w:val="24"/>
              </w:rPr>
              <w:t>Flunixin </w:t>
            </w:r>
            <w:r>
              <w:rPr>
                <w:spacing w:val="-2"/>
                <w:sz w:val="24"/>
              </w:rPr>
              <w:t>Meglumine</w:t>
            </w:r>
            <w:r>
              <w:rPr>
                <w:spacing w:val="-2"/>
                <w:sz w:val="22"/>
              </w:rPr>
              <w:t>)</w:t>
            </w:r>
          </w:p>
        </w:tc>
        <w:tc>
          <w:tcPr>
            <w:tcW w:w="3205" w:type="dxa"/>
          </w:tcPr>
          <w:p>
            <w:pPr>
              <w:pStyle w:val="TableParagraph"/>
              <w:spacing w:before="36"/>
              <w:ind w:left="28"/>
              <w:rPr>
                <w:sz w:val="22"/>
              </w:rPr>
            </w:pPr>
            <w:r>
              <w:rPr>
                <w:sz w:val="22"/>
              </w:rPr>
              <w:t>6.25 ±</w:t>
            </w:r>
            <w:r>
              <w:rPr>
                <w:spacing w:val="-2"/>
                <w:sz w:val="22"/>
              </w:rPr>
              <w:t> </w:t>
            </w:r>
            <w:r>
              <w:rPr>
                <w:sz w:val="22"/>
              </w:rPr>
              <w:t>0.50 </w:t>
            </w:r>
            <w:r>
              <w:rPr>
                <w:spacing w:val="-10"/>
                <w:sz w:val="22"/>
              </w:rPr>
              <w:t>a</w:t>
            </w:r>
          </w:p>
        </w:tc>
      </w:tr>
      <w:tr>
        <w:trPr>
          <w:trHeight w:val="313" w:hRule="atLeast"/>
        </w:trPr>
        <w:tc>
          <w:tcPr>
            <w:tcW w:w="4729" w:type="dxa"/>
          </w:tcPr>
          <w:p>
            <w:pPr>
              <w:pStyle w:val="TableParagraph"/>
              <w:spacing w:before="25"/>
              <w:ind w:left="45"/>
              <w:rPr>
                <w:sz w:val="22"/>
              </w:rPr>
            </w:pPr>
            <w:r>
              <w:rPr>
                <w:sz w:val="22"/>
              </w:rPr>
              <w:t>T2</w:t>
            </w:r>
            <w:r>
              <w:rPr>
                <w:spacing w:val="-14"/>
                <w:sz w:val="22"/>
              </w:rPr>
              <w:t> </w:t>
            </w:r>
            <w:r>
              <w:rPr>
                <w:sz w:val="22"/>
              </w:rPr>
              <w:t>(Bupivacaína</w:t>
            </w:r>
            <w:r>
              <w:rPr>
                <w:spacing w:val="-11"/>
                <w:sz w:val="22"/>
              </w:rPr>
              <w:t> </w:t>
            </w:r>
            <w:r>
              <w:rPr>
                <w:sz w:val="22"/>
              </w:rPr>
              <w:t>Tamponada</w:t>
            </w:r>
            <w:r>
              <w:rPr>
                <w:spacing w:val="-11"/>
                <w:sz w:val="22"/>
              </w:rPr>
              <w:t> </w:t>
            </w:r>
            <w:r>
              <w:rPr>
                <w:sz w:val="22"/>
              </w:rPr>
              <w:t>+</w:t>
            </w:r>
            <w:r>
              <w:rPr>
                <w:spacing w:val="-10"/>
                <w:sz w:val="22"/>
              </w:rPr>
              <w:t> </w:t>
            </w:r>
            <w:r>
              <w:rPr>
                <w:sz w:val="22"/>
              </w:rPr>
              <w:t>Flunixin</w:t>
            </w:r>
            <w:r>
              <w:rPr>
                <w:spacing w:val="-13"/>
                <w:sz w:val="22"/>
              </w:rPr>
              <w:t> </w:t>
            </w:r>
            <w:r>
              <w:rPr>
                <w:spacing w:val="-2"/>
                <w:sz w:val="22"/>
              </w:rPr>
              <w:t>Meglumine)</w:t>
            </w:r>
          </w:p>
        </w:tc>
        <w:tc>
          <w:tcPr>
            <w:tcW w:w="3205" w:type="dxa"/>
          </w:tcPr>
          <w:p>
            <w:pPr>
              <w:pStyle w:val="TableParagraph"/>
              <w:spacing w:before="25"/>
              <w:ind w:left="28"/>
              <w:rPr>
                <w:sz w:val="22"/>
              </w:rPr>
            </w:pPr>
            <w:r>
              <w:rPr>
                <w:sz w:val="22"/>
              </w:rPr>
              <w:t>4.00 ±</w:t>
            </w:r>
            <w:r>
              <w:rPr>
                <w:spacing w:val="-2"/>
                <w:sz w:val="22"/>
              </w:rPr>
              <w:t> </w:t>
            </w:r>
            <w:r>
              <w:rPr>
                <w:sz w:val="22"/>
              </w:rPr>
              <w:t>0.82 </w:t>
            </w:r>
            <w:r>
              <w:rPr>
                <w:spacing w:val="-10"/>
                <w:sz w:val="22"/>
              </w:rPr>
              <w:t>c</w:t>
            </w:r>
          </w:p>
        </w:tc>
      </w:tr>
      <w:tr>
        <w:trPr>
          <w:trHeight w:val="554" w:hRule="atLeast"/>
        </w:trPr>
        <w:tc>
          <w:tcPr>
            <w:tcW w:w="4729" w:type="dxa"/>
          </w:tcPr>
          <w:p>
            <w:pPr>
              <w:pStyle w:val="TableParagraph"/>
              <w:spacing w:line="253" w:lineRule="exact" w:before="26"/>
              <w:ind w:left="45"/>
              <w:rPr>
                <w:sz w:val="22"/>
              </w:rPr>
            </w:pPr>
            <w:r>
              <w:rPr>
                <w:sz w:val="22"/>
              </w:rPr>
              <w:t>T3</w:t>
            </w:r>
            <w:r>
              <w:rPr>
                <w:spacing w:val="4"/>
                <w:sz w:val="22"/>
              </w:rPr>
              <w:t> </w:t>
            </w:r>
            <w:r>
              <w:rPr>
                <w:sz w:val="22"/>
              </w:rPr>
              <w:t>(50%</w:t>
            </w:r>
            <w:r>
              <w:rPr>
                <w:spacing w:val="8"/>
                <w:sz w:val="22"/>
              </w:rPr>
              <w:t> </w:t>
            </w:r>
            <w:r>
              <w:rPr>
                <w:sz w:val="22"/>
              </w:rPr>
              <w:t>Lidocaína</w:t>
            </w:r>
            <w:r>
              <w:rPr>
                <w:spacing w:val="7"/>
                <w:sz w:val="22"/>
              </w:rPr>
              <w:t> </w:t>
            </w:r>
            <w:r>
              <w:rPr>
                <w:sz w:val="22"/>
              </w:rPr>
              <w:t>Tamponada</w:t>
            </w:r>
            <w:r>
              <w:rPr>
                <w:spacing w:val="7"/>
                <w:sz w:val="22"/>
              </w:rPr>
              <w:t> </w:t>
            </w:r>
            <w:r>
              <w:rPr>
                <w:sz w:val="22"/>
              </w:rPr>
              <w:t>+</w:t>
            </w:r>
            <w:r>
              <w:rPr>
                <w:spacing w:val="5"/>
                <w:sz w:val="22"/>
              </w:rPr>
              <w:t> </w:t>
            </w:r>
            <w:r>
              <w:rPr>
                <w:sz w:val="22"/>
              </w:rPr>
              <w:t>50%</w:t>
            </w:r>
            <w:r>
              <w:rPr>
                <w:spacing w:val="8"/>
                <w:sz w:val="22"/>
              </w:rPr>
              <w:t> </w:t>
            </w:r>
            <w:r>
              <w:rPr>
                <w:spacing w:val="-2"/>
                <w:sz w:val="22"/>
              </w:rPr>
              <w:t>Bupivacaína</w:t>
            </w:r>
          </w:p>
          <w:p>
            <w:pPr>
              <w:pStyle w:val="TableParagraph"/>
              <w:tabs>
                <w:tab w:pos="7933" w:val="left" w:leader="none"/>
              </w:tabs>
              <w:spacing w:line="256" w:lineRule="exact"/>
              <w:ind w:right="-3212"/>
              <w:rPr>
                <w:sz w:val="22"/>
              </w:rPr>
            </w:pPr>
            <w:r>
              <w:rPr>
                <w:spacing w:val="-12"/>
                <w:sz w:val="22"/>
                <w:u w:val="single"/>
              </w:rPr>
              <w:t> </w:t>
            </w:r>
            <w:r>
              <w:rPr>
                <w:sz w:val="22"/>
                <w:u w:val="single"/>
              </w:rPr>
              <w:t>Tamponada)</w:t>
            </w:r>
            <w:r>
              <w:rPr>
                <w:spacing w:val="-2"/>
                <w:sz w:val="22"/>
                <w:u w:val="single"/>
              </w:rPr>
              <w:t> </w:t>
            </w:r>
            <w:r>
              <w:rPr>
                <w:sz w:val="22"/>
                <w:u w:val="single"/>
              </w:rPr>
              <w:t>+</w:t>
            </w:r>
            <w:r>
              <w:rPr>
                <w:spacing w:val="-1"/>
                <w:sz w:val="22"/>
                <w:u w:val="single"/>
              </w:rPr>
              <w:t> </w:t>
            </w:r>
            <w:r>
              <w:rPr>
                <w:sz w:val="24"/>
                <w:u w:val="single"/>
              </w:rPr>
              <w:t>Flunixin</w:t>
            </w:r>
            <w:r>
              <w:rPr>
                <w:spacing w:val="-1"/>
                <w:sz w:val="24"/>
                <w:u w:val="single"/>
              </w:rPr>
              <w:t> </w:t>
            </w:r>
            <w:r>
              <w:rPr>
                <w:spacing w:val="-2"/>
                <w:sz w:val="24"/>
                <w:u w:val="single"/>
              </w:rPr>
              <w:t>Meglumine</w:t>
            </w:r>
            <w:r>
              <w:rPr>
                <w:spacing w:val="-2"/>
                <w:sz w:val="22"/>
                <w:u w:val="single"/>
              </w:rPr>
              <w:t>)</w:t>
            </w:r>
            <w:r>
              <w:rPr>
                <w:sz w:val="22"/>
                <w:u w:val="single"/>
              </w:rPr>
              <w:tab/>
            </w:r>
          </w:p>
        </w:tc>
        <w:tc>
          <w:tcPr>
            <w:tcW w:w="3205" w:type="dxa"/>
          </w:tcPr>
          <w:p>
            <w:pPr>
              <w:pStyle w:val="TableParagraph"/>
              <w:spacing w:before="163"/>
              <w:ind w:left="28"/>
              <w:rPr>
                <w:sz w:val="22"/>
              </w:rPr>
            </w:pPr>
            <w:r>
              <w:rPr>
                <w:sz w:val="22"/>
              </w:rPr>
              <w:t>3.50 ±</w:t>
            </w:r>
            <w:r>
              <w:rPr>
                <w:spacing w:val="-2"/>
                <w:sz w:val="22"/>
              </w:rPr>
              <w:t> </w:t>
            </w:r>
            <w:r>
              <w:rPr>
                <w:sz w:val="22"/>
              </w:rPr>
              <w:t>0.58 </w:t>
            </w:r>
            <w:r>
              <w:rPr>
                <w:spacing w:val="-10"/>
                <w:sz w:val="22"/>
              </w:rPr>
              <w:t>c</w:t>
            </w:r>
          </w:p>
        </w:tc>
      </w:tr>
    </w:tbl>
    <w:p>
      <w:pPr>
        <w:pStyle w:val="BodyText"/>
        <w:spacing w:before="141"/>
        <w:ind w:left="0"/>
        <w:rPr>
          <w:i/>
        </w:rPr>
      </w:pPr>
    </w:p>
    <w:p>
      <w:pPr>
        <w:spacing w:line="360" w:lineRule="auto" w:before="1"/>
        <w:ind w:left="1135" w:right="843" w:firstLine="0"/>
        <w:jc w:val="both"/>
        <w:rPr>
          <w:i/>
          <w:sz w:val="24"/>
        </w:rPr>
      </w:pPr>
      <w:r>
        <w:rPr>
          <w:b/>
          <w:sz w:val="24"/>
        </w:rPr>
        <w:t>Nota: </w:t>
      </w:r>
      <w:r>
        <w:rPr>
          <w:i/>
          <w:sz w:val="24"/>
        </w:rPr>
        <w:t>Puntaje conductual evaluado mediante la Escala Modificada del Dolor Unesp-Botucatu</w:t>
      </w:r>
      <w:r>
        <w:rPr>
          <w:i/>
          <w:spacing w:val="-4"/>
          <w:sz w:val="24"/>
        </w:rPr>
        <w:t> </w:t>
      </w:r>
      <w:r>
        <w:rPr>
          <w:i/>
          <w:sz w:val="24"/>
        </w:rPr>
        <w:t>(UCAPS)</w:t>
      </w:r>
      <w:r>
        <w:rPr>
          <w:i/>
          <w:spacing w:val="-8"/>
          <w:sz w:val="24"/>
        </w:rPr>
        <w:t> </w:t>
      </w:r>
      <w:r>
        <w:rPr>
          <w:i/>
          <w:sz w:val="24"/>
        </w:rPr>
        <w:t>en</w:t>
      </w:r>
      <w:r>
        <w:rPr>
          <w:i/>
          <w:spacing w:val="-7"/>
          <w:sz w:val="24"/>
        </w:rPr>
        <w:t> </w:t>
      </w:r>
      <w:r>
        <w:rPr>
          <w:i/>
          <w:sz w:val="24"/>
        </w:rPr>
        <w:t>un</w:t>
      </w:r>
      <w:r>
        <w:rPr>
          <w:i/>
          <w:spacing w:val="-5"/>
          <w:sz w:val="24"/>
        </w:rPr>
        <w:t> </w:t>
      </w:r>
      <w:r>
        <w:rPr>
          <w:i/>
          <w:sz w:val="24"/>
        </w:rPr>
        <w:t>rango</w:t>
      </w:r>
      <w:r>
        <w:rPr>
          <w:i/>
          <w:spacing w:val="-7"/>
          <w:sz w:val="24"/>
        </w:rPr>
        <w:t> </w:t>
      </w:r>
      <w:r>
        <w:rPr>
          <w:i/>
          <w:sz w:val="24"/>
        </w:rPr>
        <w:t>de</w:t>
      </w:r>
      <w:r>
        <w:rPr>
          <w:i/>
          <w:spacing w:val="-6"/>
          <w:sz w:val="24"/>
        </w:rPr>
        <w:t> </w:t>
      </w:r>
      <w:r>
        <w:rPr>
          <w:i/>
          <w:sz w:val="24"/>
        </w:rPr>
        <w:t>0</w:t>
      </w:r>
      <w:r>
        <w:rPr>
          <w:i/>
          <w:spacing w:val="-7"/>
          <w:sz w:val="24"/>
        </w:rPr>
        <w:t> </w:t>
      </w:r>
      <w:r>
        <w:rPr>
          <w:i/>
          <w:sz w:val="24"/>
        </w:rPr>
        <w:t>a</w:t>
      </w:r>
      <w:r>
        <w:rPr>
          <w:i/>
          <w:spacing w:val="-7"/>
          <w:sz w:val="24"/>
        </w:rPr>
        <w:t> </w:t>
      </w:r>
      <w:r>
        <w:rPr>
          <w:i/>
          <w:sz w:val="24"/>
        </w:rPr>
        <w:t>15</w:t>
      </w:r>
      <w:r>
        <w:rPr>
          <w:i/>
          <w:spacing w:val="-7"/>
          <w:sz w:val="24"/>
        </w:rPr>
        <w:t> </w:t>
      </w:r>
      <w:r>
        <w:rPr>
          <w:i/>
          <w:sz w:val="24"/>
        </w:rPr>
        <w:t>puntos</w:t>
      </w:r>
      <w:r>
        <w:rPr>
          <w:i/>
          <w:spacing w:val="-7"/>
          <w:sz w:val="24"/>
        </w:rPr>
        <w:t> </w:t>
      </w:r>
      <w:r>
        <w:rPr>
          <w:i/>
          <w:sz w:val="24"/>
        </w:rPr>
        <w:t>(donde:</w:t>
      </w:r>
      <w:r>
        <w:rPr>
          <w:i/>
          <w:spacing w:val="-8"/>
          <w:sz w:val="24"/>
        </w:rPr>
        <w:t> </w:t>
      </w:r>
      <w:r>
        <w:rPr>
          <w:i/>
          <w:sz w:val="24"/>
        </w:rPr>
        <w:t>≤</w:t>
      </w:r>
      <w:r>
        <w:rPr>
          <w:i/>
          <w:spacing w:val="-5"/>
          <w:sz w:val="24"/>
        </w:rPr>
        <w:t> </w:t>
      </w:r>
      <w:r>
        <w:rPr>
          <w:i/>
          <w:sz w:val="24"/>
        </w:rPr>
        <w:t>1</w:t>
      </w:r>
      <w:r>
        <w:rPr>
          <w:i/>
          <w:spacing w:val="-7"/>
          <w:sz w:val="24"/>
        </w:rPr>
        <w:t> </w:t>
      </w:r>
      <w:r>
        <w:rPr>
          <w:i/>
          <w:sz w:val="24"/>
        </w:rPr>
        <w:t>=</w:t>
      </w:r>
      <w:r>
        <w:rPr>
          <w:i/>
          <w:spacing w:val="-6"/>
          <w:sz w:val="24"/>
        </w:rPr>
        <w:t> </w:t>
      </w:r>
      <w:r>
        <w:rPr>
          <w:i/>
          <w:sz w:val="24"/>
        </w:rPr>
        <w:t>ausencia</w:t>
      </w:r>
      <w:r>
        <w:rPr>
          <w:i/>
          <w:spacing w:val="-7"/>
          <w:sz w:val="24"/>
        </w:rPr>
        <w:t> </w:t>
      </w:r>
      <w:r>
        <w:rPr>
          <w:i/>
          <w:sz w:val="24"/>
        </w:rPr>
        <w:t>de dolor o dolor leve; 2 - 4 = dolor moderado; y ≥ 5 = dolor severo/muy fuerte con repercusiones orgánicas y conductuales).</w:t>
      </w:r>
    </w:p>
    <w:p>
      <w:pPr>
        <w:pStyle w:val="BodyText"/>
        <w:spacing w:before="105"/>
        <w:ind w:left="0"/>
        <w:rPr>
          <w:i/>
          <w:sz w:val="20"/>
        </w:rPr>
      </w:pPr>
      <w:r>
        <w:rPr>
          <w:i/>
          <w:sz w:val="20"/>
        </w:rPr>
        <w:drawing>
          <wp:anchor distT="0" distB="0" distL="0" distR="0" allowOverlap="1" layoutInCell="1" locked="0" behindDoc="1" simplePos="0" relativeHeight="487595008">
            <wp:simplePos x="0" y="0"/>
            <wp:positionH relativeFrom="page">
              <wp:posOffset>1440180</wp:posOffset>
            </wp:positionH>
            <wp:positionV relativeFrom="paragraph">
              <wp:posOffset>228323</wp:posOffset>
            </wp:positionV>
            <wp:extent cx="4217645" cy="2511075"/>
            <wp:effectExtent l="0" t="0" r="0" b="0"/>
            <wp:wrapTopAndBottom/>
            <wp:docPr id="37" name="Image 37"/>
            <wp:cNvGraphicFramePr>
              <a:graphicFrameLocks/>
            </wp:cNvGraphicFramePr>
            <a:graphic>
              <a:graphicData uri="http://schemas.openxmlformats.org/drawingml/2006/picture">
                <pic:pic>
                  <pic:nvPicPr>
                    <pic:cNvPr id="37" name="Image 37"/>
                    <pic:cNvPicPr/>
                  </pic:nvPicPr>
                  <pic:blipFill>
                    <a:blip r:embed="rId25" cstate="print"/>
                    <a:stretch>
                      <a:fillRect/>
                    </a:stretch>
                  </pic:blipFill>
                  <pic:spPr>
                    <a:xfrm>
                      <a:off x="0" y="0"/>
                      <a:ext cx="4217645" cy="2511075"/>
                    </a:xfrm>
                    <a:prstGeom prst="rect">
                      <a:avLst/>
                    </a:prstGeom>
                  </pic:spPr>
                </pic:pic>
              </a:graphicData>
            </a:graphic>
          </wp:anchor>
        </w:drawing>
      </w:r>
    </w:p>
    <w:p>
      <w:pPr>
        <w:pStyle w:val="BodyText"/>
        <w:spacing w:before="236"/>
        <w:ind w:left="0"/>
        <w:rPr>
          <w:i/>
        </w:rPr>
      </w:pPr>
    </w:p>
    <w:p>
      <w:pPr>
        <w:pStyle w:val="BodyText"/>
        <w:spacing w:line="360" w:lineRule="auto" w:before="1"/>
        <w:ind w:right="847"/>
        <w:jc w:val="both"/>
      </w:pPr>
      <w:r>
        <w:rPr/>
        <w:t>El test de comparación de medias de Tukey nos permitió encontrar diferencias significativas</w:t>
      </w:r>
      <w:r>
        <w:rPr>
          <w:spacing w:val="-3"/>
        </w:rPr>
        <w:t> </w:t>
      </w:r>
      <w:r>
        <w:rPr/>
        <w:t>en</w:t>
      </w:r>
      <w:r>
        <w:rPr>
          <w:spacing w:val="-5"/>
        </w:rPr>
        <w:t> </w:t>
      </w:r>
      <w:r>
        <w:rPr/>
        <w:t>la</w:t>
      </w:r>
      <w:r>
        <w:rPr>
          <w:spacing w:val="-5"/>
        </w:rPr>
        <w:t> </w:t>
      </w:r>
      <w:r>
        <w:rPr/>
        <w:t>puntuación</w:t>
      </w:r>
      <w:r>
        <w:rPr>
          <w:spacing w:val="-5"/>
        </w:rPr>
        <w:t> </w:t>
      </w:r>
      <w:r>
        <w:rPr/>
        <w:t>del</w:t>
      </w:r>
      <w:r>
        <w:rPr>
          <w:spacing w:val="-5"/>
        </w:rPr>
        <w:t> </w:t>
      </w:r>
      <w:r>
        <w:rPr/>
        <w:t>comportamiento</w:t>
      </w:r>
      <w:r>
        <w:rPr>
          <w:spacing w:val="-5"/>
        </w:rPr>
        <w:t> </w:t>
      </w:r>
      <w:r>
        <w:rPr/>
        <w:t>doloroso</w:t>
      </w:r>
      <w:r>
        <w:rPr>
          <w:spacing w:val="-5"/>
        </w:rPr>
        <w:t> </w:t>
      </w:r>
      <w:r>
        <w:rPr/>
        <w:t>entre</w:t>
      </w:r>
      <w:r>
        <w:rPr>
          <w:spacing w:val="-6"/>
        </w:rPr>
        <w:t> </w:t>
      </w:r>
      <w:r>
        <w:rPr/>
        <w:t>tratamientos.</w:t>
      </w:r>
      <w:r>
        <w:rPr>
          <w:spacing w:val="-5"/>
        </w:rPr>
        <w:t> </w:t>
      </w:r>
      <w:r>
        <w:rPr/>
        <w:t>El tratamiento T1 (lidocaína tamponada + flunixin meglumine) tuvo el promedio de puntaje de dolor más alto 6,25 seguido por el tratamiento T0 (testigo) que tuvo un valor de 5,75.</w:t>
      </w:r>
    </w:p>
    <w:p>
      <w:pPr>
        <w:pStyle w:val="BodyText"/>
        <w:spacing w:line="360" w:lineRule="auto" w:before="242"/>
        <w:ind w:right="847"/>
        <w:jc w:val="both"/>
      </w:pPr>
      <w:r>
        <w:rPr/>
        <w:t>Por el contrario, presentaron las menores calificaciones de dolor los tratamientos T2 (Bupivacaína Tamponada + Flunixin Meglumine) y T3 (50% Lidocaína Tamponada + 50% Bupivacaína Tamponada + Flunixin Meglumine), cuyo valor fue</w:t>
      </w:r>
      <w:r>
        <w:rPr>
          <w:spacing w:val="-17"/>
        </w:rPr>
        <w:t> </w:t>
      </w:r>
      <w:r>
        <w:rPr/>
        <w:t>de</w:t>
      </w:r>
      <w:r>
        <w:rPr>
          <w:spacing w:val="-15"/>
        </w:rPr>
        <w:t> </w:t>
      </w:r>
      <w:r>
        <w:rPr/>
        <w:t>4.00</w:t>
      </w:r>
      <w:r>
        <w:rPr>
          <w:spacing w:val="-11"/>
        </w:rPr>
        <w:t> </w:t>
      </w:r>
      <w:r>
        <w:rPr/>
        <w:t>y</w:t>
      </w:r>
      <w:r>
        <w:rPr>
          <w:spacing w:val="-17"/>
        </w:rPr>
        <w:t> </w:t>
      </w:r>
      <w:r>
        <w:rPr/>
        <w:t>3.50,</w:t>
      </w:r>
      <w:r>
        <w:rPr>
          <w:spacing w:val="-13"/>
        </w:rPr>
        <w:t> </w:t>
      </w:r>
      <w:r>
        <w:rPr/>
        <w:t>respectivamente.</w:t>
      </w:r>
      <w:r>
        <w:rPr>
          <w:spacing w:val="-12"/>
        </w:rPr>
        <w:t> </w:t>
      </w:r>
      <w:r>
        <w:rPr/>
        <w:t>Ambos</w:t>
      </w:r>
      <w:r>
        <w:rPr>
          <w:spacing w:val="-13"/>
        </w:rPr>
        <w:t> </w:t>
      </w:r>
      <w:r>
        <w:rPr/>
        <w:t>tratamientos</w:t>
      </w:r>
      <w:r>
        <w:rPr>
          <w:spacing w:val="-13"/>
        </w:rPr>
        <w:t> </w:t>
      </w:r>
      <w:r>
        <w:rPr/>
        <w:t>presentaron</w:t>
      </w:r>
      <w:r>
        <w:rPr>
          <w:spacing w:val="-13"/>
        </w:rPr>
        <w:t> </w:t>
      </w:r>
      <w:r>
        <w:rPr/>
        <w:t>la</w:t>
      </w:r>
      <w:r>
        <w:rPr>
          <w:spacing w:val="-14"/>
        </w:rPr>
        <w:t> </w:t>
      </w:r>
      <w:r>
        <w:rPr/>
        <w:t>misma</w:t>
      </w:r>
      <w:r>
        <w:rPr>
          <w:spacing w:val="-13"/>
        </w:rPr>
        <w:t> </w:t>
      </w:r>
      <w:r>
        <w:rPr>
          <w:spacing w:val="-2"/>
        </w:rPr>
        <w:t>letra</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right="852"/>
        <w:jc w:val="both"/>
      </w:pPr>
      <w:r>
        <w:rPr/>
        <w:t>estadística, lo que indica que no presentan diferencias entre sí. Mediante la evaluación del comportamiento se pudieron observar marcadas diferencias en la intensidad de dolor que manifestaron los terneros tras la descorne.</w:t>
      </w:r>
    </w:p>
    <w:p>
      <w:pPr>
        <w:pStyle w:val="BodyText"/>
        <w:spacing w:line="360" w:lineRule="auto" w:before="239"/>
        <w:ind w:right="846"/>
        <w:jc w:val="both"/>
      </w:pPr>
      <w:r>
        <w:rPr/>
        <w:t>Los animales que recibieron lidocaína tamponada + Flunixin Meglumine (T1) presentaron una mayor frecuencia de conductas asociadas al dolor, lo que indica que este protocolo es menos efectivo para aliviar el dolor. De acuerdo con Bacon et al. (2025), con estrategias adecuadas de manejo del dolor, existe una gran reducción de los indicadores fisiológicos y de conducta relacionados con el estrés y</w:t>
      </w:r>
      <w:r>
        <w:rPr>
          <w:spacing w:val="-14"/>
        </w:rPr>
        <w:t> </w:t>
      </w:r>
      <w:r>
        <w:rPr/>
        <w:t>el</w:t>
      </w:r>
      <w:r>
        <w:rPr>
          <w:spacing w:val="-12"/>
        </w:rPr>
        <w:t> </w:t>
      </w:r>
      <w:r>
        <w:rPr/>
        <w:t>malestar</w:t>
      </w:r>
      <w:r>
        <w:rPr>
          <w:spacing w:val="-10"/>
        </w:rPr>
        <w:t> </w:t>
      </w:r>
      <w:r>
        <w:rPr/>
        <w:t>en</w:t>
      </w:r>
      <w:r>
        <w:rPr>
          <w:spacing w:val="-12"/>
        </w:rPr>
        <w:t> </w:t>
      </w:r>
      <w:r>
        <w:rPr/>
        <w:t>los</w:t>
      </w:r>
      <w:r>
        <w:rPr>
          <w:spacing w:val="-11"/>
        </w:rPr>
        <w:t> </w:t>
      </w:r>
      <w:r>
        <w:rPr/>
        <w:t>bovinos.</w:t>
      </w:r>
      <w:r>
        <w:rPr>
          <w:spacing w:val="-12"/>
        </w:rPr>
        <w:t> </w:t>
      </w:r>
      <w:r>
        <w:rPr/>
        <w:t>Por</w:t>
      </w:r>
      <w:r>
        <w:rPr>
          <w:spacing w:val="-13"/>
        </w:rPr>
        <w:t> </w:t>
      </w:r>
      <w:r>
        <w:rPr/>
        <w:t>el</w:t>
      </w:r>
      <w:r>
        <w:rPr>
          <w:spacing w:val="-9"/>
        </w:rPr>
        <w:t> </w:t>
      </w:r>
      <w:r>
        <w:rPr/>
        <w:t>contrario,</w:t>
      </w:r>
      <w:r>
        <w:rPr>
          <w:spacing w:val="-12"/>
        </w:rPr>
        <w:t> </w:t>
      </w:r>
      <w:r>
        <w:rPr/>
        <w:t>los</w:t>
      </w:r>
      <w:r>
        <w:rPr>
          <w:spacing w:val="-11"/>
        </w:rPr>
        <w:t> </w:t>
      </w:r>
      <w:r>
        <w:rPr/>
        <w:t>tratamientos</w:t>
      </w:r>
      <w:r>
        <w:rPr>
          <w:spacing w:val="-12"/>
        </w:rPr>
        <w:t> </w:t>
      </w:r>
      <w:r>
        <w:rPr/>
        <w:t>T2</w:t>
      </w:r>
      <w:r>
        <w:rPr>
          <w:spacing w:val="-7"/>
        </w:rPr>
        <w:t> </w:t>
      </w:r>
      <w:r>
        <w:rPr/>
        <w:t>y</w:t>
      </w:r>
      <w:r>
        <w:rPr>
          <w:spacing w:val="-14"/>
        </w:rPr>
        <w:t> </w:t>
      </w:r>
      <w:r>
        <w:rPr/>
        <w:t>T3</w:t>
      </w:r>
      <w:r>
        <w:rPr>
          <w:spacing w:val="-12"/>
        </w:rPr>
        <w:t> </w:t>
      </w:r>
      <w:r>
        <w:rPr/>
        <w:t>que</w:t>
      </w:r>
      <w:r>
        <w:rPr>
          <w:spacing w:val="-13"/>
        </w:rPr>
        <w:t> </w:t>
      </w:r>
      <w:r>
        <w:rPr/>
        <w:t>incluyen uso de bupivacaína tamponada presentaron menos manifestaciones de dolor. Esto podría explicarse porque el efecto de la Bupivacaína es más largo y permite un mayor control posterior del dolor.</w:t>
      </w:r>
    </w:p>
    <w:p>
      <w:pPr>
        <w:spacing w:before="242"/>
        <w:ind w:left="1135" w:right="0" w:firstLine="0"/>
        <w:jc w:val="both"/>
        <w:rPr>
          <w:b/>
          <w:sz w:val="24"/>
        </w:rPr>
      </w:pPr>
      <w:r>
        <w:rPr>
          <w:b/>
          <w:sz w:val="24"/>
        </w:rPr>
        <w:t>COMPROBACIÓN</w:t>
      </w:r>
      <w:r>
        <w:rPr>
          <w:b/>
          <w:spacing w:val="-2"/>
          <w:sz w:val="24"/>
        </w:rPr>
        <w:t> </w:t>
      </w:r>
      <w:r>
        <w:rPr>
          <w:b/>
          <w:sz w:val="24"/>
        </w:rPr>
        <w:t>DE</w:t>
      </w:r>
      <w:r>
        <w:rPr>
          <w:b/>
          <w:spacing w:val="1"/>
          <w:sz w:val="24"/>
        </w:rPr>
        <w:t> </w:t>
      </w:r>
      <w:r>
        <w:rPr>
          <w:b/>
          <w:spacing w:val="-2"/>
          <w:sz w:val="24"/>
        </w:rPr>
        <w:t>HIPÓTESIS.</w:t>
      </w:r>
    </w:p>
    <w:p>
      <w:pPr>
        <w:pStyle w:val="BodyText"/>
        <w:spacing w:before="101"/>
        <w:ind w:left="0"/>
        <w:rPr>
          <w:b/>
        </w:rPr>
      </w:pPr>
    </w:p>
    <w:p>
      <w:pPr>
        <w:pStyle w:val="BodyText"/>
        <w:jc w:val="both"/>
      </w:pPr>
      <w:r>
        <w:rPr/>
        <w:t>H0: µ1 =</w:t>
      </w:r>
      <w:r>
        <w:rPr>
          <w:spacing w:val="-1"/>
        </w:rPr>
        <w:t> </w:t>
      </w:r>
      <w:r>
        <w:rPr/>
        <w:t>µ2 =</w:t>
      </w:r>
      <w:r>
        <w:rPr>
          <w:spacing w:val="-1"/>
        </w:rPr>
        <w:t> </w:t>
      </w:r>
      <w:r>
        <w:rPr/>
        <w:t>µ3 =</w:t>
      </w:r>
      <w:r>
        <w:rPr>
          <w:spacing w:val="-1"/>
        </w:rPr>
        <w:t> </w:t>
      </w:r>
      <w:r>
        <w:rPr>
          <w:spacing w:val="-5"/>
        </w:rPr>
        <w:t>µ4</w:t>
      </w:r>
    </w:p>
    <w:p>
      <w:pPr>
        <w:pStyle w:val="BodyText"/>
        <w:spacing w:before="104"/>
        <w:ind w:left="0"/>
      </w:pPr>
    </w:p>
    <w:p>
      <w:pPr>
        <w:pStyle w:val="BodyText"/>
        <w:jc w:val="both"/>
      </w:pPr>
      <w:r>
        <w:rPr/>
        <w:t>H1: µ1</w:t>
      </w:r>
      <w:r>
        <w:rPr>
          <w:spacing w:val="2"/>
        </w:rPr>
        <w:t> </w:t>
      </w:r>
      <w:r>
        <w:rPr/>
        <w:t>≠</w:t>
      </w:r>
      <w:r>
        <w:rPr>
          <w:spacing w:val="-5"/>
        </w:rPr>
        <w:t> </w:t>
      </w:r>
      <w:r>
        <w:rPr/>
        <w:t>µ2</w:t>
      </w:r>
      <w:r>
        <w:rPr>
          <w:spacing w:val="2"/>
        </w:rPr>
        <w:t> </w:t>
      </w:r>
      <w:r>
        <w:rPr/>
        <w:t>≠</w:t>
      </w:r>
      <w:r>
        <w:rPr>
          <w:spacing w:val="-5"/>
        </w:rPr>
        <w:t> </w:t>
      </w:r>
      <w:r>
        <w:rPr/>
        <w:t>µ3</w:t>
      </w:r>
      <w:r>
        <w:rPr>
          <w:spacing w:val="2"/>
        </w:rPr>
        <w:t> </w:t>
      </w:r>
      <w:r>
        <w:rPr/>
        <w:t>≠</w:t>
      </w:r>
      <w:r>
        <w:rPr>
          <w:spacing w:val="-3"/>
        </w:rPr>
        <w:t> </w:t>
      </w:r>
      <w:r>
        <w:rPr/>
        <w:t>µ4 </w:t>
      </w:r>
      <w:r>
        <w:rPr>
          <w:spacing w:val="-10"/>
        </w:rPr>
        <w:t>*</w:t>
      </w:r>
    </w:p>
    <w:p>
      <w:pPr>
        <w:pStyle w:val="BodyText"/>
        <w:spacing w:before="101"/>
        <w:ind w:left="0"/>
      </w:pPr>
    </w:p>
    <w:p>
      <w:pPr>
        <w:pStyle w:val="BodyText"/>
        <w:spacing w:line="360" w:lineRule="auto"/>
        <w:ind w:right="846"/>
        <w:jc w:val="both"/>
      </w:pPr>
      <w:r>
        <w:rPr/>
        <w:t>De acuerdo con los resultados estadísticos obtenidos en la presente investigación, se rechaza la hipótesis nula (</w:t>
      </w:r>
      <w:r>
        <w:rPr>
          <w:rFonts w:ascii="Cambria Math" w:hAnsi="Cambria Math" w:eastAsia="Cambria Math"/>
        </w:rPr>
        <w:t>𝐻</w:t>
      </w:r>
      <w:r>
        <w:rPr>
          <w:rFonts w:ascii="Cambria Math" w:hAnsi="Cambria Math" w:eastAsia="Cambria Math"/>
          <w:vertAlign w:val="subscript"/>
        </w:rPr>
        <w:t>0</w:t>
      </w:r>
      <w:r>
        <w:rPr>
          <w:vertAlign w:val="baseline"/>
        </w:rPr>
        <w:t>) y se acepta la hipótesis alternativa (</w:t>
      </w:r>
      <w:r>
        <w:rPr>
          <w:rFonts w:ascii="Cambria Math" w:hAnsi="Cambria Math" w:eastAsia="Cambria Math"/>
          <w:vertAlign w:val="baseline"/>
        </w:rPr>
        <w:t>𝐻</w:t>
      </w:r>
      <w:r>
        <w:rPr>
          <w:rFonts w:ascii="Cambria Math" w:hAnsi="Cambria Math" w:eastAsia="Cambria Math"/>
          <w:vertAlign w:val="subscript"/>
        </w:rPr>
        <w:t>𝑖</w:t>
      </w:r>
      <w:r>
        <w:rPr>
          <w:vertAlign w:val="baseline"/>
        </w:rPr>
        <w:t>), confirmando que la aplicación de los protocolos de analgesia multimodal influye de manera estadísticamente significativa sobre las respuestas fisiológicas y conductuales en terneros sometidos a descorne.</w:t>
      </w:r>
    </w:p>
    <w:p>
      <w:pPr>
        <w:pStyle w:val="ListParagraph"/>
        <w:numPr>
          <w:ilvl w:val="0"/>
          <w:numId w:val="14"/>
        </w:numPr>
        <w:tabs>
          <w:tab w:pos="1855" w:val="left" w:leader="none"/>
        </w:tabs>
        <w:spacing w:line="357" w:lineRule="auto" w:before="242" w:after="0"/>
        <w:ind w:left="1855" w:right="846" w:hanging="360"/>
        <w:jc w:val="both"/>
        <w:rPr>
          <w:sz w:val="24"/>
        </w:rPr>
      </w:pPr>
      <w:r>
        <w:rPr>
          <w:b/>
          <w:sz w:val="24"/>
        </w:rPr>
        <w:t>En las variables fisiológicas: </w:t>
      </w:r>
      <w:r>
        <w:rPr>
          <w:sz w:val="24"/>
        </w:rPr>
        <w:t>El análisis de varianza (ANOVA) demostró diferencias altamente significativas entre los tratamientos tanto para la frecuencia cardíaca (</w:t>
      </w:r>
      <w:r>
        <w:rPr>
          <w:rFonts w:ascii="Cambria Math" w:hAnsi="Cambria Math" w:eastAsia="Cambria Math"/>
          <w:sz w:val="24"/>
        </w:rPr>
        <w:t>𝐹 = 268.39;</w:t>
      </w:r>
      <w:r>
        <w:rPr>
          <w:rFonts w:ascii="Cambria Math" w:hAnsi="Cambria Math" w:eastAsia="Cambria Math"/>
          <w:spacing w:val="-14"/>
          <w:sz w:val="24"/>
        </w:rPr>
        <w:t> </w:t>
      </w:r>
      <w:r>
        <w:rPr>
          <w:rFonts w:ascii="Cambria Math" w:hAnsi="Cambria Math" w:eastAsia="Cambria Math"/>
          <w:sz w:val="24"/>
        </w:rPr>
        <w:t>𝑝 &lt; 0.001</w:t>
      </w:r>
      <w:r>
        <w:rPr>
          <w:sz w:val="24"/>
        </w:rPr>
        <w:t>) como para la frecuencia respiratoria</w:t>
      </w:r>
      <w:r>
        <w:rPr>
          <w:spacing w:val="-15"/>
          <w:sz w:val="24"/>
        </w:rPr>
        <w:t> </w:t>
      </w:r>
      <w:r>
        <w:rPr>
          <w:sz w:val="24"/>
        </w:rPr>
        <w:t>(</w:t>
      </w:r>
      <w:r>
        <w:rPr>
          <w:rFonts w:ascii="Cambria Math" w:hAnsi="Cambria Math" w:eastAsia="Cambria Math"/>
          <w:sz w:val="24"/>
        </w:rPr>
        <w:t>𝐹</w:t>
      </w:r>
      <w:r>
        <w:rPr>
          <w:rFonts w:ascii="Cambria Math" w:hAnsi="Cambria Math" w:eastAsia="Cambria Math"/>
          <w:spacing w:val="15"/>
          <w:sz w:val="24"/>
        </w:rPr>
        <w:t> </w:t>
      </w:r>
      <w:r>
        <w:rPr>
          <w:rFonts w:ascii="Cambria Math" w:hAnsi="Cambria Math" w:eastAsia="Cambria Math"/>
          <w:sz w:val="24"/>
        </w:rPr>
        <w:t>=</w:t>
      </w:r>
      <w:r>
        <w:rPr>
          <w:rFonts w:ascii="Cambria Math" w:hAnsi="Cambria Math" w:eastAsia="Cambria Math"/>
          <w:spacing w:val="11"/>
          <w:sz w:val="24"/>
        </w:rPr>
        <w:t> </w:t>
      </w:r>
      <w:r>
        <w:rPr>
          <w:rFonts w:ascii="Cambria Math" w:hAnsi="Cambria Math" w:eastAsia="Cambria Math"/>
          <w:sz w:val="24"/>
        </w:rPr>
        <w:t>56.90;</w:t>
      </w:r>
      <w:r>
        <w:rPr>
          <w:rFonts w:ascii="Cambria Math" w:hAnsi="Cambria Math" w:eastAsia="Cambria Math"/>
          <w:spacing w:val="-14"/>
          <w:sz w:val="24"/>
        </w:rPr>
        <w:t> </w:t>
      </w:r>
      <w:r>
        <w:rPr>
          <w:rFonts w:ascii="Cambria Math" w:hAnsi="Cambria Math" w:eastAsia="Cambria Math"/>
          <w:sz w:val="24"/>
        </w:rPr>
        <w:t>𝑝</w:t>
      </w:r>
      <w:r>
        <w:rPr>
          <w:rFonts w:ascii="Cambria Math" w:hAnsi="Cambria Math" w:eastAsia="Cambria Math"/>
          <w:spacing w:val="14"/>
          <w:sz w:val="24"/>
        </w:rPr>
        <w:t> </w:t>
      </w:r>
      <w:r>
        <w:rPr>
          <w:rFonts w:ascii="Cambria Math" w:hAnsi="Cambria Math" w:eastAsia="Cambria Math"/>
          <w:sz w:val="24"/>
        </w:rPr>
        <w:t>&lt; 0.001</w:t>
      </w:r>
      <w:r>
        <w:rPr>
          <w:sz w:val="24"/>
        </w:rPr>
        <w:t>).</w:t>
      </w:r>
      <w:r>
        <w:rPr>
          <w:spacing w:val="-15"/>
          <w:sz w:val="24"/>
        </w:rPr>
        <w:t> </w:t>
      </w:r>
      <w:r>
        <w:rPr>
          <w:sz w:val="24"/>
        </w:rPr>
        <w:t>En</w:t>
      </w:r>
      <w:r>
        <w:rPr>
          <w:spacing w:val="-15"/>
          <w:sz w:val="24"/>
        </w:rPr>
        <w:t> </w:t>
      </w:r>
      <w:r>
        <w:rPr>
          <w:sz w:val="24"/>
        </w:rPr>
        <w:t>ambos</w:t>
      </w:r>
      <w:r>
        <w:rPr>
          <w:spacing w:val="-15"/>
          <w:sz w:val="24"/>
        </w:rPr>
        <w:t> </w:t>
      </w:r>
      <w:r>
        <w:rPr>
          <w:sz w:val="24"/>
        </w:rPr>
        <w:t>parámetros,</w:t>
      </w:r>
      <w:r>
        <w:rPr>
          <w:spacing w:val="-13"/>
          <w:sz w:val="24"/>
        </w:rPr>
        <w:t> </w:t>
      </w:r>
      <w:r>
        <w:rPr>
          <w:sz w:val="24"/>
        </w:rPr>
        <w:t>el</w:t>
      </w:r>
      <w:r>
        <w:rPr>
          <w:spacing w:val="-15"/>
          <w:sz w:val="24"/>
        </w:rPr>
        <w:t> </w:t>
      </w:r>
      <w:r>
        <w:rPr>
          <w:sz w:val="24"/>
        </w:rPr>
        <w:t>protocolo</w:t>
      </w:r>
      <w:r>
        <w:rPr>
          <w:spacing w:val="-13"/>
          <w:sz w:val="24"/>
        </w:rPr>
        <w:t> </w:t>
      </w:r>
      <w:r>
        <w:rPr>
          <w:sz w:val="24"/>
        </w:rPr>
        <w:t>T3 (50% Lidocaína Tamponada + 50% Bupivacaína Tamponada + Flunixin Meglumine) redujo significativamente la hiperactividad autonómica posquirúrgica en comparación con los demás grupos.</w:t>
      </w:r>
    </w:p>
    <w:p>
      <w:pPr>
        <w:pStyle w:val="ListParagraph"/>
        <w:spacing w:after="0" w:line="357" w:lineRule="auto"/>
        <w:jc w:val="both"/>
        <w:rPr>
          <w:sz w:val="24"/>
        </w:rPr>
        <w:sectPr>
          <w:pgSz w:w="11900" w:h="16860"/>
          <w:pgMar w:header="0" w:footer="1084" w:top="1620" w:bottom="1280" w:left="1133" w:right="850"/>
        </w:sectPr>
      </w:pPr>
    </w:p>
    <w:p>
      <w:pPr>
        <w:pStyle w:val="ListParagraph"/>
        <w:numPr>
          <w:ilvl w:val="0"/>
          <w:numId w:val="14"/>
        </w:numPr>
        <w:tabs>
          <w:tab w:pos="1855" w:val="left" w:leader="none"/>
        </w:tabs>
        <w:spacing w:line="357" w:lineRule="auto" w:before="72" w:after="0"/>
        <w:ind w:left="1855" w:right="844" w:hanging="360"/>
        <w:jc w:val="both"/>
        <w:rPr>
          <w:sz w:val="24"/>
        </w:rPr>
      </w:pPr>
      <w:r>
        <w:rPr>
          <w:b/>
          <w:sz w:val="24"/>
        </w:rPr>
        <w:t>En las</w:t>
      </w:r>
      <w:r>
        <w:rPr>
          <w:b/>
          <w:spacing w:val="-2"/>
          <w:sz w:val="24"/>
        </w:rPr>
        <w:t> </w:t>
      </w:r>
      <w:r>
        <w:rPr>
          <w:b/>
          <w:sz w:val="24"/>
        </w:rPr>
        <w:t>variables conductuales: </w:t>
      </w:r>
      <w:r>
        <w:rPr>
          <w:sz w:val="24"/>
        </w:rPr>
        <w:t>El ANOVA para el puntaje</w:t>
      </w:r>
      <w:r>
        <w:rPr>
          <w:spacing w:val="-1"/>
          <w:sz w:val="24"/>
        </w:rPr>
        <w:t> </w:t>
      </w:r>
      <w:r>
        <w:rPr>
          <w:sz w:val="24"/>
        </w:rPr>
        <w:t>conductual de dolor confirmó diferencias altamente significativas entre los grupos evaluados (</w:t>
      </w:r>
      <w:r>
        <w:rPr>
          <w:rFonts w:ascii="Cambria Math" w:hAnsi="Cambria Math" w:eastAsia="Cambria Math"/>
          <w:sz w:val="24"/>
        </w:rPr>
        <w:t>𝐹 = 18.70;</w:t>
      </w:r>
      <w:r>
        <w:rPr>
          <w:rFonts w:ascii="Cambria Math" w:hAnsi="Cambria Math" w:eastAsia="Cambria Math"/>
          <w:spacing w:val="-14"/>
          <w:sz w:val="24"/>
        </w:rPr>
        <w:t> </w:t>
      </w:r>
      <w:r>
        <w:rPr>
          <w:rFonts w:ascii="Cambria Math" w:hAnsi="Cambria Math" w:eastAsia="Cambria Math"/>
          <w:sz w:val="24"/>
        </w:rPr>
        <w:t>𝑝 &lt; 0.001</w:t>
      </w:r>
      <w:r>
        <w:rPr>
          <w:sz w:val="24"/>
        </w:rPr>
        <w:t>). La prueba de Tukey evidenció que el grupo T3 registró el menor puntaje medio de dolor (</w:t>
      </w:r>
      <w:r>
        <w:rPr>
          <w:rFonts w:ascii="Cambria Math" w:hAnsi="Cambria Math" w:eastAsia="Cambria Math"/>
          <w:sz w:val="24"/>
        </w:rPr>
        <w:t>3.50</w:t>
      </w:r>
      <w:r>
        <w:rPr>
          <w:rFonts w:ascii="Cambria Math" w:hAnsi="Cambria Math" w:eastAsia="Cambria Math"/>
          <w:spacing w:val="-3"/>
          <w:sz w:val="24"/>
        </w:rPr>
        <w:t> </w:t>
      </w:r>
      <w:r>
        <w:rPr>
          <w:rFonts w:ascii="Cambria Math" w:hAnsi="Cambria Math" w:eastAsia="Cambria Math"/>
          <w:sz w:val="24"/>
        </w:rPr>
        <w:t>±</w:t>
      </w:r>
      <w:r>
        <w:rPr>
          <w:rFonts w:ascii="Cambria Math" w:hAnsi="Cambria Math" w:eastAsia="Cambria Math"/>
          <w:spacing w:val="-2"/>
          <w:sz w:val="24"/>
        </w:rPr>
        <w:t> </w:t>
      </w:r>
      <w:r>
        <w:rPr>
          <w:rFonts w:ascii="Cambria Math" w:hAnsi="Cambria Math" w:eastAsia="Cambria Math"/>
          <w:sz w:val="24"/>
        </w:rPr>
        <w:t>0.58</w:t>
      </w:r>
      <w:r>
        <w:rPr>
          <w:sz w:val="24"/>
        </w:rPr>
        <w:t>), ubicándose</w:t>
      </w:r>
      <w:r>
        <w:rPr>
          <w:spacing w:val="-6"/>
          <w:sz w:val="24"/>
        </w:rPr>
        <w:t> </w:t>
      </w:r>
      <w:r>
        <w:rPr>
          <w:sz w:val="24"/>
        </w:rPr>
        <w:t>en</w:t>
      </w:r>
      <w:r>
        <w:rPr>
          <w:spacing w:val="-7"/>
          <w:sz w:val="24"/>
        </w:rPr>
        <w:t> </w:t>
      </w:r>
      <w:r>
        <w:rPr>
          <w:sz w:val="24"/>
        </w:rPr>
        <w:t>la</w:t>
      </w:r>
      <w:r>
        <w:rPr>
          <w:spacing w:val="-6"/>
          <w:sz w:val="24"/>
        </w:rPr>
        <w:t> </w:t>
      </w:r>
      <w:r>
        <w:rPr>
          <w:sz w:val="24"/>
        </w:rPr>
        <w:t>categoría</w:t>
      </w:r>
      <w:r>
        <w:rPr>
          <w:spacing w:val="-8"/>
          <w:sz w:val="24"/>
        </w:rPr>
        <w:t> </w:t>
      </w:r>
      <w:r>
        <w:rPr>
          <w:sz w:val="24"/>
        </w:rPr>
        <w:t>de</w:t>
      </w:r>
      <w:r>
        <w:rPr>
          <w:spacing w:val="-6"/>
          <w:sz w:val="24"/>
        </w:rPr>
        <w:t> </w:t>
      </w:r>
      <w:r>
        <w:rPr>
          <w:sz w:val="24"/>
        </w:rPr>
        <w:t>dolor</w:t>
      </w:r>
      <w:r>
        <w:rPr>
          <w:spacing w:val="-8"/>
          <w:sz w:val="24"/>
        </w:rPr>
        <w:t> </w:t>
      </w:r>
      <w:r>
        <w:rPr>
          <w:sz w:val="24"/>
        </w:rPr>
        <w:t>leve</w:t>
      </w:r>
      <w:r>
        <w:rPr>
          <w:spacing w:val="-8"/>
          <w:sz w:val="24"/>
        </w:rPr>
        <w:t> </w:t>
      </w:r>
      <w:r>
        <w:rPr>
          <w:sz w:val="24"/>
        </w:rPr>
        <w:t>a</w:t>
      </w:r>
      <w:r>
        <w:rPr>
          <w:spacing w:val="-6"/>
          <w:sz w:val="24"/>
        </w:rPr>
        <w:t> </w:t>
      </w:r>
      <w:r>
        <w:rPr>
          <w:sz w:val="24"/>
        </w:rPr>
        <w:t>moderado,</w:t>
      </w:r>
      <w:r>
        <w:rPr>
          <w:spacing w:val="-7"/>
          <w:sz w:val="24"/>
        </w:rPr>
        <w:t> </w:t>
      </w:r>
      <w:r>
        <w:rPr>
          <w:sz w:val="24"/>
        </w:rPr>
        <w:t>a</w:t>
      </w:r>
      <w:r>
        <w:rPr>
          <w:spacing w:val="-8"/>
          <w:sz w:val="24"/>
        </w:rPr>
        <w:t> </w:t>
      </w:r>
      <w:r>
        <w:rPr>
          <w:sz w:val="24"/>
        </w:rPr>
        <w:t>diferencia</w:t>
      </w:r>
      <w:r>
        <w:rPr>
          <w:spacing w:val="-8"/>
          <w:sz w:val="24"/>
        </w:rPr>
        <w:t> </w:t>
      </w:r>
      <w:r>
        <w:rPr>
          <w:sz w:val="24"/>
        </w:rPr>
        <w:t>del</w:t>
      </w:r>
      <w:r>
        <w:rPr>
          <w:spacing w:val="-4"/>
          <w:sz w:val="24"/>
        </w:rPr>
        <w:t> </w:t>
      </w:r>
      <w:r>
        <w:rPr>
          <w:sz w:val="24"/>
        </w:rPr>
        <w:t>grupo testigo (T0: </w:t>
      </w:r>
      <w:r>
        <w:rPr>
          <w:rFonts w:ascii="Cambria Math" w:hAnsi="Cambria Math" w:eastAsia="Cambria Math"/>
          <w:sz w:val="24"/>
        </w:rPr>
        <w:t>5.75</w:t>
      </w:r>
      <w:r>
        <w:rPr>
          <w:rFonts w:ascii="Cambria Math" w:hAnsi="Cambria Math" w:eastAsia="Cambria Math"/>
          <w:spacing w:val="-1"/>
          <w:sz w:val="24"/>
        </w:rPr>
        <w:t> </w:t>
      </w:r>
      <w:r>
        <w:rPr>
          <w:rFonts w:ascii="Cambria Math" w:hAnsi="Cambria Math" w:eastAsia="Cambria Math"/>
          <w:sz w:val="24"/>
        </w:rPr>
        <w:t>±</w:t>
      </w:r>
      <w:r>
        <w:rPr>
          <w:rFonts w:ascii="Cambria Math" w:hAnsi="Cambria Math" w:eastAsia="Cambria Math"/>
          <w:spacing w:val="-2"/>
          <w:sz w:val="24"/>
        </w:rPr>
        <w:t> </w:t>
      </w:r>
      <w:r>
        <w:rPr>
          <w:rFonts w:ascii="Cambria Math" w:hAnsi="Cambria Math" w:eastAsia="Cambria Math"/>
          <w:sz w:val="24"/>
        </w:rPr>
        <w:t>0.96</w:t>
      </w:r>
      <w:r>
        <w:rPr>
          <w:sz w:val="24"/>
        </w:rPr>
        <w:t>) y del grupo T1 (</w:t>
      </w:r>
      <w:r>
        <w:rPr>
          <w:rFonts w:ascii="Cambria Math" w:hAnsi="Cambria Math" w:eastAsia="Cambria Math"/>
          <w:sz w:val="24"/>
        </w:rPr>
        <w:t>6.25</w:t>
      </w:r>
      <w:r>
        <w:rPr>
          <w:rFonts w:ascii="Cambria Math" w:hAnsi="Cambria Math" w:eastAsia="Cambria Math"/>
          <w:spacing w:val="-3"/>
          <w:sz w:val="24"/>
        </w:rPr>
        <w:t> </w:t>
      </w:r>
      <w:r>
        <w:rPr>
          <w:rFonts w:ascii="Cambria Math" w:hAnsi="Cambria Math" w:eastAsia="Cambria Math"/>
          <w:sz w:val="24"/>
        </w:rPr>
        <w:t>±</w:t>
      </w:r>
      <w:r>
        <w:rPr>
          <w:rFonts w:ascii="Cambria Math" w:hAnsi="Cambria Math" w:eastAsia="Cambria Math"/>
          <w:spacing w:val="-2"/>
          <w:sz w:val="24"/>
        </w:rPr>
        <w:t> </w:t>
      </w:r>
      <w:r>
        <w:rPr>
          <w:rFonts w:ascii="Cambria Math" w:hAnsi="Cambria Math" w:eastAsia="Cambria Math"/>
          <w:sz w:val="24"/>
        </w:rPr>
        <w:t>0.50</w:t>
      </w:r>
      <w:r>
        <w:rPr>
          <w:sz w:val="24"/>
        </w:rPr>
        <w:t>), los cuales superaron el umbral de dolor severo (</w:t>
      </w:r>
      <w:r>
        <w:rPr>
          <w:rFonts w:ascii="Cambria Math" w:hAnsi="Cambria Math" w:eastAsia="Cambria Math"/>
          <w:sz w:val="24"/>
        </w:rPr>
        <w:t>≥ 5</w:t>
      </w:r>
      <w:r>
        <w:rPr>
          <w:sz w:val="24"/>
        </w:rPr>
        <w:t>).</w:t>
      </w:r>
    </w:p>
    <w:p>
      <w:pPr>
        <w:pStyle w:val="BodyText"/>
        <w:spacing w:line="360" w:lineRule="auto" w:before="249"/>
        <w:ind w:right="849"/>
        <w:jc w:val="both"/>
      </w:pPr>
      <w:r>
        <w:rPr/>
        <w:t>Por tanto, queda demostrado estadísticamente que el uso de combinaciones anestésicas</w:t>
      </w:r>
      <w:r>
        <w:rPr>
          <w:spacing w:val="-2"/>
        </w:rPr>
        <w:t> </w:t>
      </w:r>
      <w:r>
        <w:rPr/>
        <w:t>de</w:t>
      </w:r>
      <w:r>
        <w:rPr>
          <w:spacing w:val="-3"/>
        </w:rPr>
        <w:t> </w:t>
      </w:r>
      <w:r>
        <w:rPr/>
        <w:t>corta</w:t>
      </w:r>
      <w:r>
        <w:rPr>
          <w:spacing w:val="-1"/>
        </w:rPr>
        <w:t> </w:t>
      </w:r>
      <w:r>
        <w:rPr/>
        <w:t>y</w:t>
      </w:r>
      <w:r>
        <w:rPr>
          <w:spacing w:val="-8"/>
        </w:rPr>
        <w:t> </w:t>
      </w:r>
      <w:r>
        <w:rPr/>
        <w:t>larga</w:t>
      </w:r>
      <w:r>
        <w:rPr>
          <w:spacing w:val="-3"/>
        </w:rPr>
        <w:t> </w:t>
      </w:r>
      <w:r>
        <w:rPr/>
        <w:t>duración</w:t>
      </w:r>
      <w:r>
        <w:rPr>
          <w:spacing w:val="-4"/>
        </w:rPr>
        <w:t> </w:t>
      </w:r>
      <w:r>
        <w:rPr/>
        <w:t>junto</w:t>
      </w:r>
      <w:r>
        <w:rPr>
          <w:spacing w:val="-4"/>
        </w:rPr>
        <w:t> </w:t>
      </w:r>
      <w:r>
        <w:rPr/>
        <w:t>con</w:t>
      </w:r>
      <w:r>
        <w:rPr>
          <w:spacing w:val="-4"/>
        </w:rPr>
        <w:t> </w:t>
      </w:r>
      <w:r>
        <w:rPr/>
        <w:t>un</w:t>
      </w:r>
      <w:r>
        <w:rPr>
          <w:spacing w:val="-1"/>
        </w:rPr>
        <w:t> </w:t>
      </w:r>
      <w:r>
        <w:rPr/>
        <w:t>AINE</w:t>
      </w:r>
      <w:r>
        <w:rPr>
          <w:spacing w:val="-3"/>
        </w:rPr>
        <w:t> </w:t>
      </w:r>
      <w:r>
        <w:rPr/>
        <w:t>atenúa</w:t>
      </w:r>
      <w:r>
        <w:rPr>
          <w:spacing w:val="-6"/>
        </w:rPr>
        <w:t> </w:t>
      </w:r>
      <w:r>
        <w:rPr/>
        <w:t>significativamente tanto</w:t>
      </w:r>
      <w:r>
        <w:rPr>
          <w:spacing w:val="-15"/>
        </w:rPr>
        <w:t> </w:t>
      </w:r>
      <w:r>
        <w:rPr/>
        <w:t>la</w:t>
      </w:r>
      <w:r>
        <w:rPr>
          <w:spacing w:val="-15"/>
        </w:rPr>
        <w:t> </w:t>
      </w:r>
      <w:r>
        <w:rPr/>
        <w:t>respuesta</w:t>
      </w:r>
      <w:r>
        <w:rPr>
          <w:spacing w:val="-15"/>
        </w:rPr>
        <w:t> </w:t>
      </w:r>
      <w:r>
        <w:rPr/>
        <w:t>metabólico-fisiológica</w:t>
      </w:r>
      <w:r>
        <w:rPr>
          <w:spacing w:val="-14"/>
        </w:rPr>
        <w:t> </w:t>
      </w:r>
      <w:r>
        <w:rPr/>
        <w:t>como</w:t>
      </w:r>
      <w:r>
        <w:rPr>
          <w:spacing w:val="-15"/>
        </w:rPr>
        <w:t> </w:t>
      </w:r>
      <w:r>
        <w:rPr/>
        <w:t>las</w:t>
      </w:r>
      <w:r>
        <w:rPr>
          <w:spacing w:val="-15"/>
        </w:rPr>
        <w:t> </w:t>
      </w:r>
      <w:r>
        <w:rPr/>
        <w:t>manifestaciones</w:t>
      </w:r>
      <w:r>
        <w:rPr>
          <w:spacing w:val="-15"/>
        </w:rPr>
        <w:t> </w:t>
      </w:r>
      <w:r>
        <w:rPr/>
        <w:t>conductuales</w:t>
      </w:r>
      <w:r>
        <w:rPr>
          <w:spacing w:val="-15"/>
        </w:rPr>
        <w:t> </w:t>
      </w:r>
      <w:r>
        <w:rPr/>
        <w:t>de dolor asociadas al descorne.</w:t>
      </w:r>
    </w:p>
    <w:p>
      <w:pPr>
        <w:pStyle w:val="Heading1"/>
        <w:spacing w:before="240"/>
        <w:jc w:val="both"/>
      </w:pPr>
      <w:bookmarkStart w:name="_bookmark66" w:id="67"/>
      <w:bookmarkEnd w:id="67"/>
      <w:r>
        <w:rPr>
          <w:b w:val="0"/>
        </w:rPr>
      </w:r>
      <w:r>
        <w:rPr/>
        <w:t>CAPÍTULO</w:t>
      </w:r>
      <w:r>
        <w:rPr>
          <w:spacing w:val="-2"/>
        </w:rPr>
        <w:t> </w:t>
      </w:r>
      <w:r>
        <w:rPr>
          <w:spacing w:val="-10"/>
        </w:rPr>
        <w:t>V</w:t>
      </w:r>
    </w:p>
    <w:p>
      <w:pPr>
        <w:pStyle w:val="BodyText"/>
        <w:spacing w:before="101"/>
        <w:ind w:left="0"/>
        <w:rPr>
          <w:b/>
        </w:rPr>
      </w:pPr>
    </w:p>
    <w:p>
      <w:pPr>
        <w:pStyle w:val="Heading1"/>
        <w:numPr>
          <w:ilvl w:val="1"/>
          <w:numId w:val="15"/>
        </w:numPr>
        <w:tabs>
          <w:tab w:pos="1843" w:val="left" w:leader="none"/>
        </w:tabs>
        <w:spacing w:line="240" w:lineRule="auto" w:before="0" w:after="0"/>
        <w:ind w:left="1843" w:right="0" w:hanging="708"/>
        <w:jc w:val="left"/>
      </w:pPr>
      <w:bookmarkStart w:name="_bookmark67" w:id="68"/>
      <w:bookmarkEnd w:id="68"/>
      <w:r>
        <w:rPr>
          <w:b w:val="0"/>
        </w:rPr>
      </w:r>
      <w:r>
        <w:rPr>
          <w:spacing w:val="-2"/>
        </w:rPr>
        <w:t>CONCLUSIONES.</w:t>
      </w:r>
    </w:p>
    <w:p>
      <w:pPr>
        <w:pStyle w:val="BodyText"/>
        <w:spacing w:before="103"/>
        <w:ind w:left="0"/>
        <w:rPr>
          <w:b/>
        </w:rPr>
      </w:pPr>
    </w:p>
    <w:p>
      <w:pPr>
        <w:pStyle w:val="BodyText"/>
        <w:spacing w:line="360" w:lineRule="auto"/>
        <w:ind w:right="852"/>
        <w:jc w:val="both"/>
      </w:pPr>
      <w:r>
        <w:rPr/>
        <w:t>En</w:t>
      </w:r>
      <w:r>
        <w:rPr>
          <w:spacing w:val="-6"/>
        </w:rPr>
        <w:t> </w:t>
      </w:r>
      <w:r>
        <w:rPr/>
        <w:t>base</w:t>
      </w:r>
      <w:r>
        <w:rPr>
          <w:spacing w:val="-4"/>
        </w:rPr>
        <w:t> </w:t>
      </w:r>
      <w:r>
        <w:rPr/>
        <w:t>a</w:t>
      </w:r>
      <w:r>
        <w:rPr>
          <w:spacing w:val="-7"/>
        </w:rPr>
        <w:t> </w:t>
      </w:r>
      <w:r>
        <w:rPr/>
        <w:t>los</w:t>
      </w:r>
      <w:r>
        <w:rPr>
          <w:spacing w:val="-5"/>
        </w:rPr>
        <w:t> </w:t>
      </w:r>
      <w:r>
        <w:rPr/>
        <w:t>resultados</w:t>
      </w:r>
      <w:r>
        <w:rPr>
          <w:spacing w:val="-3"/>
        </w:rPr>
        <w:t> </w:t>
      </w:r>
      <w:r>
        <w:rPr/>
        <w:t>obtenidos</w:t>
      </w:r>
      <w:r>
        <w:rPr>
          <w:spacing w:val="-3"/>
        </w:rPr>
        <w:t> </w:t>
      </w:r>
      <w:r>
        <w:rPr/>
        <w:t>y</w:t>
      </w:r>
      <w:r>
        <w:rPr>
          <w:spacing w:val="-11"/>
        </w:rPr>
        <w:t> </w:t>
      </w:r>
      <w:r>
        <w:rPr/>
        <w:t>los</w:t>
      </w:r>
      <w:r>
        <w:rPr>
          <w:spacing w:val="-5"/>
        </w:rPr>
        <w:t> </w:t>
      </w:r>
      <w:r>
        <w:rPr/>
        <w:t>objetivos</w:t>
      </w:r>
      <w:r>
        <w:rPr>
          <w:spacing w:val="-6"/>
        </w:rPr>
        <w:t> </w:t>
      </w:r>
      <w:r>
        <w:rPr/>
        <w:t>planteados</w:t>
      </w:r>
      <w:r>
        <w:rPr>
          <w:spacing w:val="-6"/>
        </w:rPr>
        <w:t> </w:t>
      </w:r>
      <w:r>
        <w:rPr/>
        <w:t>en</w:t>
      </w:r>
      <w:r>
        <w:rPr>
          <w:spacing w:val="-4"/>
        </w:rPr>
        <w:t> </w:t>
      </w:r>
      <w:r>
        <w:rPr/>
        <w:t>esta</w:t>
      </w:r>
      <w:r>
        <w:rPr>
          <w:spacing w:val="-6"/>
        </w:rPr>
        <w:t> </w:t>
      </w:r>
      <w:r>
        <w:rPr/>
        <w:t>investigación, se establecieron las siguientes conclusiones:</w:t>
      </w:r>
    </w:p>
    <w:p>
      <w:pPr>
        <w:pStyle w:val="ListParagraph"/>
        <w:numPr>
          <w:ilvl w:val="2"/>
          <w:numId w:val="15"/>
        </w:numPr>
        <w:tabs>
          <w:tab w:pos="1354" w:val="left" w:leader="none"/>
        </w:tabs>
        <w:spacing w:line="360" w:lineRule="auto" w:before="240" w:after="0"/>
        <w:ind w:left="1135" w:right="847" w:firstLine="0"/>
        <w:jc w:val="both"/>
        <w:rPr>
          <w:sz w:val="24"/>
        </w:rPr>
      </w:pPr>
      <w:r>
        <w:rPr>
          <w:sz w:val="24"/>
        </w:rPr>
        <w:t>El análisis estadístico (ANOVA) demostró que se presentaron diferencias significativas (p &lt; 0,05) entre los tres protocolos en cuanto al dolor en la variable, cumpliendo con el objetivo comparativa del presente estudio. Además, infiere en los protocolos basados en lidocaína tamponada, bupivacaína tamponada y su combinación con Flunixin Meglumine, donde no poseen efectos semejantes y en consecuencia sus efectos son diferentes.</w:t>
      </w:r>
    </w:p>
    <w:p>
      <w:pPr>
        <w:pStyle w:val="ListParagraph"/>
        <w:numPr>
          <w:ilvl w:val="2"/>
          <w:numId w:val="15"/>
        </w:numPr>
        <w:tabs>
          <w:tab w:pos="1323" w:val="left" w:leader="none"/>
        </w:tabs>
        <w:spacing w:line="360" w:lineRule="auto" w:before="241" w:after="0"/>
        <w:ind w:left="1135" w:right="850" w:firstLine="0"/>
        <w:jc w:val="both"/>
        <w:rPr>
          <w:sz w:val="24"/>
        </w:rPr>
      </w:pPr>
      <w:r>
        <w:rPr>
          <w:sz w:val="24"/>
        </w:rPr>
        <w:t>El tratamiento T3, conformado por la combinación de lidocaína tamponada, bupivacaína</w:t>
      </w:r>
      <w:r>
        <w:rPr>
          <w:spacing w:val="-5"/>
          <w:sz w:val="24"/>
        </w:rPr>
        <w:t> </w:t>
      </w:r>
      <w:r>
        <w:rPr>
          <w:sz w:val="24"/>
        </w:rPr>
        <w:t>tamponada</w:t>
      </w:r>
      <w:r>
        <w:rPr>
          <w:spacing w:val="-4"/>
          <w:sz w:val="24"/>
        </w:rPr>
        <w:t> </w:t>
      </w:r>
      <w:r>
        <w:rPr>
          <w:sz w:val="24"/>
        </w:rPr>
        <w:t>y</w:t>
      </w:r>
      <w:r>
        <w:rPr>
          <w:spacing w:val="-7"/>
          <w:sz w:val="24"/>
        </w:rPr>
        <w:t> </w:t>
      </w:r>
      <w:r>
        <w:rPr>
          <w:sz w:val="24"/>
        </w:rPr>
        <w:t>Flunixin</w:t>
      </w:r>
      <w:r>
        <w:rPr>
          <w:spacing w:val="-6"/>
          <w:sz w:val="24"/>
        </w:rPr>
        <w:t> </w:t>
      </w:r>
      <w:r>
        <w:rPr>
          <w:sz w:val="24"/>
        </w:rPr>
        <w:t>Meglumine,</w:t>
      </w:r>
      <w:r>
        <w:rPr>
          <w:spacing w:val="-5"/>
          <w:sz w:val="24"/>
        </w:rPr>
        <w:t> </w:t>
      </w:r>
      <w:r>
        <w:rPr>
          <w:sz w:val="24"/>
        </w:rPr>
        <w:t>presentó</w:t>
      </w:r>
      <w:r>
        <w:rPr>
          <w:spacing w:val="-5"/>
          <w:sz w:val="24"/>
        </w:rPr>
        <w:t> </w:t>
      </w:r>
      <w:r>
        <w:rPr>
          <w:sz w:val="24"/>
        </w:rPr>
        <w:t>el</w:t>
      </w:r>
      <w:r>
        <w:rPr>
          <w:spacing w:val="-5"/>
          <w:sz w:val="24"/>
        </w:rPr>
        <w:t> </w:t>
      </w:r>
      <w:r>
        <w:rPr>
          <w:sz w:val="24"/>
        </w:rPr>
        <w:t>mejor</w:t>
      </w:r>
      <w:r>
        <w:rPr>
          <w:spacing w:val="-6"/>
          <w:sz w:val="24"/>
        </w:rPr>
        <w:t> </w:t>
      </w:r>
      <w:r>
        <w:rPr>
          <w:sz w:val="24"/>
        </w:rPr>
        <w:t>desempeño</w:t>
      </w:r>
      <w:r>
        <w:rPr>
          <w:spacing w:val="-5"/>
          <w:sz w:val="24"/>
        </w:rPr>
        <w:t> </w:t>
      </w:r>
      <w:r>
        <w:rPr>
          <w:sz w:val="24"/>
        </w:rPr>
        <w:t>en</w:t>
      </w:r>
      <w:r>
        <w:rPr>
          <w:spacing w:val="-5"/>
          <w:sz w:val="24"/>
        </w:rPr>
        <w:t> </w:t>
      </w:r>
      <w:r>
        <w:rPr>
          <w:sz w:val="24"/>
        </w:rPr>
        <w:t>el control del dolor, debido a la acción complementaria de los anestésicos locales de diferente</w:t>
      </w:r>
      <w:r>
        <w:rPr>
          <w:spacing w:val="-2"/>
          <w:sz w:val="24"/>
        </w:rPr>
        <w:t> </w:t>
      </w:r>
      <w:r>
        <w:rPr>
          <w:sz w:val="24"/>
        </w:rPr>
        <w:t>duración y</w:t>
      </w:r>
      <w:r>
        <w:rPr>
          <w:spacing w:val="-6"/>
          <w:sz w:val="24"/>
        </w:rPr>
        <w:t> </w:t>
      </w:r>
      <w:r>
        <w:rPr>
          <w:sz w:val="24"/>
        </w:rPr>
        <w:t>del antiinflamatorio</w:t>
      </w:r>
      <w:r>
        <w:rPr>
          <w:spacing w:val="-2"/>
          <w:sz w:val="24"/>
        </w:rPr>
        <w:t> </w:t>
      </w:r>
      <w:r>
        <w:rPr>
          <w:sz w:val="24"/>
        </w:rPr>
        <w:t>no</w:t>
      </w:r>
      <w:r>
        <w:rPr>
          <w:spacing w:val="-2"/>
          <w:sz w:val="24"/>
        </w:rPr>
        <w:t> </w:t>
      </w:r>
      <w:r>
        <w:rPr>
          <w:sz w:val="24"/>
        </w:rPr>
        <w:t>esteroideo,</w:t>
      </w:r>
      <w:r>
        <w:rPr>
          <w:spacing w:val="-2"/>
          <w:sz w:val="24"/>
        </w:rPr>
        <w:t> </w:t>
      </w:r>
      <w:r>
        <w:rPr>
          <w:sz w:val="24"/>
        </w:rPr>
        <w:t>lo</w:t>
      </w:r>
      <w:r>
        <w:rPr>
          <w:spacing w:val="-2"/>
          <w:sz w:val="24"/>
        </w:rPr>
        <w:t> </w:t>
      </w:r>
      <w:r>
        <w:rPr>
          <w:sz w:val="24"/>
        </w:rPr>
        <w:t>que</w:t>
      </w:r>
      <w:r>
        <w:rPr>
          <w:spacing w:val="-2"/>
          <w:sz w:val="24"/>
        </w:rPr>
        <w:t> </w:t>
      </w:r>
      <w:r>
        <w:rPr>
          <w:sz w:val="24"/>
        </w:rPr>
        <w:t>permitió</w:t>
      </w:r>
      <w:r>
        <w:rPr>
          <w:spacing w:val="-2"/>
          <w:sz w:val="24"/>
        </w:rPr>
        <w:t> </w:t>
      </w:r>
      <w:r>
        <w:rPr>
          <w:sz w:val="24"/>
        </w:rPr>
        <w:t>una</w:t>
      </w:r>
      <w:r>
        <w:rPr>
          <w:spacing w:val="-2"/>
          <w:sz w:val="24"/>
        </w:rPr>
        <w:t> </w:t>
      </w:r>
      <w:r>
        <w:rPr>
          <w:sz w:val="24"/>
        </w:rPr>
        <w:t>mayor eficacia en la modulación de la respuesta nociceptiva en los animales evaluados.</w:t>
      </w:r>
    </w:p>
    <w:p>
      <w:pPr>
        <w:pStyle w:val="ListParagraph"/>
        <w:spacing w:after="0" w:line="360" w:lineRule="auto"/>
        <w:jc w:val="both"/>
        <w:rPr>
          <w:sz w:val="24"/>
        </w:rPr>
        <w:sectPr>
          <w:pgSz w:w="11900" w:h="16860"/>
          <w:pgMar w:header="0" w:footer="1084" w:top="1620" w:bottom="1280" w:left="1133" w:right="850"/>
        </w:sectPr>
      </w:pPr>
    </w:p>
    <w:p>
      <w:pPr>
        <w:pStyle w:val="ListParagraph"/>
        <w:numPr>
          <w:ilvl w:val="2"/>
          <w:numId w:val="15"/>
        </w:numPr>
        <w:tabs>
          <w:tab w:pos="1287" w:val="left" w:leader="none"/>
        </w:tabs>
        <w:spacing w:line="360" w:lineRule="auto" w:before="70" w:after="0"/>
        <w:ind w:left="1135" w:right="846" w:firstLine="0"/>
        <w:jc w:val="both"/>
        <w:rPr>
          <w:sz w:val="24"/>
        </w:rPr>
      </w:pPr>
      <w:r>
        <w:rPr>
          <w:sz w:val="24"/>
        </w:rPr>
        <w:t>En relación con el objetivo de evaluar las alteraciones asociadas al descorne, se comprobó que los animales tratados con analgesia multimodal muestran menores respuestas fisiológicas y conductuales de dolor en comparación con el grupo </w:t>
      </w:r>
      <w:r>
        <w:rPr>
          <w:spacing w:val="-2"/>
          <w:sz w:val="24"/>
        </w:rPr>
        <w:t>testigo.</w:t>
      </w:r>
    </w:p>
    <w:p>
      <w:pPr>
        <w:pStyle w:val="ListParagraph"/>
        <w:numPr>
          <w:ilvl w:val="2"/>
          <w:numId w:val="15"/>
        </w:numPr>
        <w:tabs>
          <w:tab w:pos="1282" w:val="left" w:leader="none"/>
        </w:tabs>
        <w:spacing w:line="360" w:lineRule="auto" w:before="241" w:after="0"/>
        <w:ind w:left="1135" w:right="847" w:firstLine="0"/>
        <w:jc w:val="both"/>
        <w:rPr>
          <w:sz w:val="24"/>
        </w:rPr>
      </w:pPr>
      <w:r>
        <w:rPr>
          <w:sz w:val="24"/>
        </w:rPr>
        <w:t>Los resultados confirman que la proteína C- reactiva es un indicador efectivo de la</w:t>
      </w:r>
      <w:r>
        <w:rPr>
          <w:spacing w:val="-15"/>
          <w:sz w:val="24"/>
        </w:rPr>
        <w:t> </w:t>
      </w:r>
      <w:r>
        <w:rPr>
          <w:sz w:val="24"/>
        </w:rPr>
        <w:t>repuesta</w:t>
      </w:r>
      <w:r>
        <w:rPr>
          <w:spacing w:val="-14"/>
          <w:sz w:val="24"/>
        </w:rPr>
        <w:t> </w:t>
      </w:r>
      <w:r>
        <w:rPr>
          <w:sz w:val="24"/>
        </w:rPr>
        <w:t>inflamatoria</w:t>
      </w:r>
      <w:r>
        <w:rPr>
          <w:spacing w:val="-12"/>
          <w:sz w:val="24"/>
        </w:rPr>
        <w:t> </w:t>
      </w:r>
      <w:r>
        <w:rPr>
          <w:sz w:val="24"/>
        </w:rPr>
        <w:t>generado</w:t>
      </w:r>
      <w:r>
        <w:rPr>
          <w:spacing w:val="-14"/>
          <w:sz w:val="24"/>
        </w:rPr>
        <w:t> </w:t>
      </w:r>
      <w:r>
        <w:rPr>
          <w:sz w:val="24"/>
        </w:rPr>
        <w:t>por</w:t>
      </w:r>
      <w:r>
        <w:rPr>
          <w:spacing w:val="-15"/>
          <w:sz w:val="24"/>
        </w:rPr>
        <w:t> </w:t>
      </w:r>
      <w:r>
        <w:rPr>
          <w:sz w:val="24"/>
        </w:rPr>
        <w:t>el</w:t>
      </w:r>
      <w:r>
        <w:rPr>
          <w:spacing w:val="-12"/>
          <w:sz w:val="24"/>
        </w:rPr>
        <w:t> </w:t>
      </w:r>
      <w:r>
        <w:rPr>
          <w:sz w:val="24"/>
        </w:rPr>
        <w:t>descorne.</w:t>
      </w:r>
      <w:r>
        <w:rPr>
          <w:spacing w:val="33"/>
          <w:sz w:val="24"/>
        </w:rPr>
        <w:t> </w:t>
      </w:r>
      <w:r>
        <w:rPr>
          <w:sz w:val="24"/>
        </w:rPr>
        <w:t>De</w:t>
      </w:r>
      <w:r>
        <w:rPr>
          <w:spacing w:val="-15"/>
          <w:sz w:val="24"/>
        </w:rPr>
        <w:t> </w:t>
      </w:r>
      <w:r>
        <w:rPr>
          <w:sz w:val="24"/>
        </w:rPr>
        <w:t>igual</w:t>
      </w:r>
      <w:r>
        <w:rPr>
          <w:spacing w:val="-14"/>
          <w:sz w:val="24"/>
        </w:rPr>
        <w:t> </w:t>
      </w:r>
      <w:r>
        <w:rPr>
          <w:sz w:val="24"/>
        </w:rPr>
        <w:t>forma,</w:t>
      </w:r>
      <w:r>
        <w:rPr>
          <w:spacing w:val="-15"/>
          <w:sz w:val="24"/>
        </w:rPr>
        <w:t> </w:t>
      </w:r>
      <w:r>
        <w:rPr>
          <w:sz w:val="24"/>
        </w:rPr>
        <w:t>se</w:t>
      </w:r>
      <w:r>
        <w:rPr>
          <w:spacing w:val="-15"/>
          <w:sz w:val="24"/>
        </w:rPr>
        <w:t> </w:t>
      </w:r>
      <w:r>
        <w:rPr>
          <w:sz w:val="24"/>
        </w:rPr>
        <w:t>evidencia</w:t>
      </w:r>
      <w:r>
        <w:rPr>
          <w:spacing w:val="-15"/>
          <w:sz w:val="24"/>
        </w:rPr>
        <w:t> </w:t>
      </w:r>
      <w:r>
        <w:rPr>
          <w:sz w:val="24"/>
        </w:rPr>
        <w:t>que los tratamientos con analgesia multimodal tienden a disminuir esta respuesta inflamatoria con respecto al tratamiento control.</w:t>
      </w:r>
    </w:p>
    <w:p>
      <w:pPr>
        <w:pStyle w:val="Heading1"/>
        <w:numPr>
          <w:ilvl w:val="1"/>
          <w:numId w:val="15"/>
        </w:numPr>
        <w:tabs>
          <w:tab w:pos="1562" w:val="left" w:leader="none"/>
        </w:tabs>
        <w:spacing w:line="240" w:lineRule="auto" w:before="240" w:after="0"/>
        <w:ind w:left="1562" w:right="0" w:hanging="427"/>
        <w:jc w:val="left"/>
      </w:pPr>
      <w:bookmarkStart w:name="_bookmark68" w:id="69"/>
      <w:bookmarkEnd w:id="69"/>
      <w:r>
        <w:rPr>
          <w:b w:val="0"/>
        </w:rPr>
      </w:r>
      <w:r>
        <w:rPr>
          <w:spacing w:val="-2"/>
        </w:rPr>
        <w:t>RECOMENDACIONES.</w:t>
      </w:r>
    </w:p>
    <w:p>
      <w:pPr>
        <w:pStyle w:val="BodyText"/>
        <w:spacing w:before="101"/>
        <w:ind w:left="0"/>
        <w:rPr>
          <w:b/>
        </w:rPr>
      </w:pPr>
    </w:p>
    <w:p>
      <w:pPr>
        <w:pStyle w:val="ListParagraph"/>
        <w:numPr>
          <w:ilvl w:val="2"/>
          <w:numId w:val="15"/>
        </w:numPr>
        <w:tabs>
          <w:tab w:pos="1275" w:val="left" w:leader="none"/>
        </w:tabs>
        <w:spacing w:line="360" w:lineRule="auto" w:before="0" w:after="0"/>
        <w:ind w:left="1135" w:right="851" w:firstLine="0"/>
        <w:jc w:val="both"/>
        <w:rPr>
          <w:sz w:val="24"/>
        </w:rPr>
      </w:pPr>
      <w:r>
        <w:rPr>
          <w:sz w:val="24"/>
        </w:rPr>
        <w:t>Aplicar</w:t>
      </w:r>
      <w:r>
        <w:rPr>
          <w:spacing w:val="-3"/>
          <w:sz w:val="24"/>
        </w:rPr>
        <w:t> </w:t>
      </w:r>
      <w:r>
        <w:rPr>
          <w:sz w:val="24"/>
        </w:rPr>
        <w:t>un</w:t>
      </w:r>
      <w:r>
        <w:rPr>
          <w:spacing w:val="-2"/>
          <w:sz w:val="24"/>
        </w:rPr>
        <w:t> </w:t>
      </w:r>
      <w:r>
        <w:rPr>
          <w:sz w:val="24"/>
        </w:rPr>
        <w:t>protocolo</w:t>
      </w:r>
      <w:r>
        <w:rPr>
          <w:spacing w:val="-2"/>
          <w:sz w:val="24"/>
        </w:rPr>
        <w:t> </w:t>
      </w:r>
      <w:r>
        <w:rPr>
          <w:sz w:val="24"/>
        </w:rPr>
        <w:t>de</w:t>
      </w:r>
      <w:r>
        <w:rPr>
          <w:spacing w:val="-1"/>
          <w:sz w:val="24"/>
        </w:rPr>
        <w:t> </w:t>
      </w:r>
      <w:r>
        <w:rPr>
          <w:sz w:val="24"/>
        </w:rPr>
        <w:t>analgesia</w:t>
      </w:r>
      <w:r>
        <w:rPr>
          <w:spacing w:val="-3"/>
          <w:sz w:val="24"/>
        </w:rPr>
        <w:t> </w:t>
      </w:r>
      <w:r>
        <w:rPr>
          <w:sz w:val="24"/>
        </w:rPr>
        <w:t>multimodal</w:t>
      </w:r>
      <w:r>
        <w:rPr>
          <w:spacing w:val="-2"/>
          <w:sz w:val="24"/>
        </w:rPr>
        <w:t> </w:t>
      </w:r>
      <w:r>
        <w:rPr>
          <w:sz w:val="24"/>
        </w:rPr>
        <w:t>en</w:t>
      </w:r>
      <w:r>
        <w:rPr>
          <w:spacing w:val="-2"/>
          <w:sz w:val="24"/>
        </w:rPr>
        <w:t> </w:t>
      </w:r>
      <w:r>
        <w:rPr>
          <w:sz w:val="24"/>
        </w:rPr>
        <w:t>los</w:t>
      </w:r>
      <w:r>
        <w:rPr>
          <w:spacing w:val="-2"/>
          <w:sz w:val="24"/>
        </w:rPr>
        <w:t> </w:t>
      </w:r>
      <w:r>
        <w:rPr>
          <w:sz w:val="24"/>
        </w:rPr>
        <w:t>procedimientos</w:t>
      </w:r>
      <w:r>
        <w:rPr>
          <w:spacing w:val="-2"/>
          <w:sz w:val="24"/>
        </w:rPr>
        <w:t> </w:t>
      </w:r>
      <w:r>
        <w:rPr>
          <w:sz w:val="24"/>
        </w:rPr>
        <w:t>de</w:t>
      </w:r>
      <w:r>
        <w:rPr>
          <w:spacing w:val="-3"/>
          <w:sz w:val="24"/>
        </w:rPr>
        <w:t> </w:t>
      </w:r>
      <w:r>
        <w:rPr>
          <w:sz w:val="24"/>
        </w:rPr>
        <w:t>descorne en terneros puede llegar a reducir las respuestas fisiológicas y conductuales asociadas al dolor.</w:t>
      </w:r>
    </w:p>
    <w:p>
      <w:pPr>
        <w:pStyle w:val="ListParagraph"/>
        <w:numPr>
          <w:ilvl w:val="2"/>
          <w:numId w:val="15"/>
        </w:numPr>
        <w:tabs>
          <w:tab w:pos="1304" w:val="left" w:leader="none"/>
        </w:tabs>
        <w:spacing w:line="360" w:lineRule="auto" w:before="241" w:after="0"/>
        <w:ind w:left="1135" w:right="847" w:firstLine="0"/>
        <w:jc w:val="both"/>
        <w:rPr>
          <w:sz w:val="24"/>
        </w:rPr>
      </w:pPr>
      <w:r>
        <w:rPr>
          <w:sz w:val="24"/>
        </w:rPr>
        <w:t>Se sugiere la utilización de anestésicos locales como lidocaína o bupivacaina, además de un efecto de inicio rápido, se indica que estos anestésicos aumentan la duración del efecto analgésico durante y después del procedimiento de descorne.</w:t>
      </w:r>
    </w:p>
    <w:p>
      <w:pPr>
        <w:pStyle w:val="ListParagraph"/>
        <w:numPr>
          <w:ilvl w:val="2"/>
          <w:numId w:val="15"/>
        </w:numPr>
        <w:tabs>
          <w:tab w:pos="1297" w:val="left" w:leader="none"/>
        </w:tabs>
        <w:spacing w:line="360" w:lineRule="auto" w:before="240" w:after="0"/>
        <w:ind w:left="1135" w:right="850" w:firstLine="0"/>
        <w:jc w:val="both"/>
        <w:rPr>
          <w:sz w:val="24"/>
        </w:rPr>
      </w:pPr>
      <w:r>
        <w:rPr>
          <w:sz w:val="24"/>
        </w:rPr>
        <w:t>Incluir la evaluación de parámetros fisiológicos, conductuales y biomarcadores inflamatorios, como la proteína C reactiva, en estudios relacionados con procedimientos</w:t>
      </w:r>
      <w:r>
        <w:rPr>
          <w:spacing w:val="-10"/>
          <w:sz w:val="24"/>
        </w:rPr>
        <w:t> </w:t>
      </w:r>
      <w:r>
        <w:rPr>
          <w:sz w:val="24"/>
        </w:rPr>
        <w:t>quirúrgicos</w:t>
      </w:r>
      <w:r>
        <w:rPr>
          <w:spacing w:val="-10"/>
          <w:sz w:val="24"/>
        </w:rPr>
        <w:t> </w:t>
      </w:r>
      <w:r>
        <w:rPr>
          <w:sz w:val="24"/>
        </w:rPr>
        <w:t>en</w:t>
      </w:r>
      <w:r>
        <w:rPr>
          <w:spacing w:val="-11"/>
          <w:sz w:val="24"/>
        </w:rPr>
        <w:t> </w:t>
      </w:r>
      <w:r>
        <w:rPr>
          <w:sz w:val="24"/>
        </w:rPr>
        <w:t>bovinos,</w:t>
      </w:r>
      <w:r>
        <w:rPr>
          <w:spacing w:val="-8"/>
          <w:sz w:val="24"/>
        </w:rPr>
        <w:t> </w:t>
      </w:r>
      <w:r>
        <w:rPr>
          <w:sz w:val="24"/>
        </w:rPr>
        <w:t>con</w:t>
      </w:r>
      <w:r>
        <w:rPr>
          <w:spacing w:val="-8"/>
          <w:sz w:val="24"/>
        </w:rPr>
        <w:t> </w:t>
      </w:r>
      <w:r>
        <w:rPr>
          <w:sz w:val="24"/>
        </w:rPr>
        <w:t>el</w:t>
      </w:r>
      <w:r>
        <w:rPr>
          <w:spacing w:val="-10"/>
          <w:sz w:val="24"/>
        </w:rPr>
        <w:t> </w:t>
      </w:r>
      <w:r>
        <w:rPr>
          <w:sz w:val="24"/>
        </w:rPr>
        <w:t>fin</w:t>
      </w:r>
      <w:r>
        <w:rPr>
          <w:spacing w:val="-9"/>
          <w:sz w:val="24"/>
        </w:rPr>
        <w:t> </w:t>
      </w:r>
      <w:r>
        <w:rPr>
          <w:sz w:val="24"/>
        </w:rPr>
        <w:t>de</w:t>
      </w:r>
      <w:r>
        <w:rPr>
          <w:spacing w:val="-12"/>
          <w:sz w:val="24"/>
        </w:rPr>
        <w:t> </w:t>
      </w:r>
      <w:r>
        <w:rPr>
          <w:sz w:val="24"/>
        </w:rPr>
        <w:t>mejorar</w:t>
      </w:r>
      <w:r>
        <w:rPr>
          <w:spacing w:val="-11"/>
          <w:sz w:val="24"/>
        </w:rPr>
        <w:t> </w:t>
      </w:r>
      <w:r>
        <w:rPr>
          <w:sz w:val="24"/>
        </w:rPr>
        <w:t>la</w:t>
      </w:r>
      <w:r>
        <w:rPr>
          <w:spacing w:val="-9"/>
          <w:sz w:val="24"/>
        </w:rPr>
        <w:t> </w:t>
      </w:r>
      <w:r>
        <w:rPr>
          <w:sz w:val="24"/>
        </w:rPr>
        <w:t>comprensión</w:t>
      </w:r>
      <w:r>
        <w:rPr>
          <w:spacing w:val="-10"/>
          <w:sz w:val="24"/>
        </w:rPr>
        <w:t> </w:t>
      </w:r>
      <w:r>
        <w:rPr>
          <w:sz w:val="24"/>
        </w:rPr>
        <w:t>de</w:t>
      </w:r>
      <w:r>
        <w:rPr>
          <w:spacing w:val="-12"/>
          <w:sz w:val="24"/>
        </w:rPr>
        <w:t> </w:t>
      </w:r>
      <w:r>
        <w:rPr>
          <w:sz w:val="24"/>
        </w:rPr>
        <w:t>las respuestas</w:t>
      </w:r>
      <w:r>
        <w:rPr>
          <w:spacing w:val="-1"/>
          <w:sz w:val="24"/>
        </w:rPr>
        <w:t> </w:t>
      </w:r>
      <w:r>
        <w:rPr>
          <w:sz w:val="24"/>
        </w:rPr>
        <w:t>al</w:t>
      </w:r>
      <w:r>
        <w:rPr>
          <w:spacing w:val="-1"/>
          <w:sz w:val="24"/>
        </w:rPr>
        <w:t> </w:t>
      </w:r>
      <w:r>
        <w:rPr>
          <w:sz w:val="24"/>
        </w:rPr>
        <w:t>dolor y</w:t>
      </w:r>
      <w:r>
        <w:rPr>
          <w:spacing w:val="-6"/>
          <w:sz w:val="24"/>
        </w:rPr>
        <w:t> </w:t>
      </w:r>
      <w:r>
        <w:rPr>
          <w:sz w:val="24"/>
        </w:rPr>
        <w:t>optimizar</w:t>
      </w:r>
      <w:r>
        <w:rPr>
          <w:spacing w:val="-1"/>
          <w:sz w:val="24"/>
        </w:rPr>
        <w:t> </w:t>
      </w:r>
      <w:r>
        <w:rPr>
          <w:sz w:val="24"/>
        </w:rPr>
        <w:t>los</w:t>
      </w:r>
      <w:r>
        <w:rPr>
          <w:spacing w:val="-1"/>
          <w:sz w:val="24"/>
        </w:rPr>
        <w:t> </w:t>
      </w:r>
      <w:r>
        <w:rPr>
          <w:sz w:val="24"/>
        </w:rPr>
        <w:t>protocolos</w:t>
      </w:r>
      <w:r>
        <w:rPr>
          <w:spacing w:val="-1"/>
          <w:sz w:val="24"/>
        </w:rPr>
        <w:t> </w:t>
      </w:r>
      <w:r>
        <w:rPr>
          <w:sz w:val="24"/>
        </w:rPr>
        <w:t>analgésicos en</w:t>
      </w:r>
      <w:r>
        <w:rPr>
          <w:spacing w:val="-1"/>
          <w:sz w:val="24"/>
        </w:rPr>
        <w:t> </w:t>
      </w:r>
      <w:r>
        <w:rPr>
          <w:sz w:val="24"/>
        </w:rPr>
        <w:t>medicina</w:t>
      </w:r>
      <w:r>
        <w:rPr>
          <w:spacing w:val="-1"/>
          <w:sz w:val="24"/>
        </w:rPr>
        <w:t> </w:t>
      </w:r>
      <w:r>
        <w:rPr>
          <w:sz w:val="24"/>
        </w:rPr>
        <w:t>veterinaria.</w:t>
      </w:r>
    </w:p>
    <w:p>
      <w:pPr>
        <w:pStyle w:val="ListParagraph"/>
        <w:numPr>
          <w:ilvl w:val="2"/>
          <w:numId w:val="15"/>
        </w:numPr>
        <w:tabs>
          <w:tab w:pos="1304" w:val="left" w:leader="none"/>
        </w:tabs>
        <w:spacing w:line="360" w:lineRule="auto" w:before="240" w:after="0"/>
        <w:ind w:left="1135" w:right="849" w:firstLine="0"/>
        <w:jc w:val="both"/>
        <w:rPr>
          <w:sz w:val="24"/>
        </w:rPr>
      </w:pPr>
      <w:r>
        <w:rPr>
          <w:sz w:val="24"/>
        </w:rPr>
        <w:t>Se necesita llevar a cabo más investigaciones que cuenten con mayor tamaño muestral y períodos de valoración más prolongados. Esto es importante para profundizar en los efectos de diferentes protocolos de analgesia multimodal sobre el bienestar, recuperación y parámetros productivos de bovinos sometidos a procedimientos de manejo como el descorne.</w:t>
      </w:r>
    </w:p>
    <w:p>
      <w:pPr>
        <w:pStyle w:val="ListParagraph"/>
        <w:spacing w:after="0" w:line="360" w:lineRule="auto"/>
        <w:jc w:val="both"/>
        <w:rPr>
          <w:sz w:val="24"/>
        </w:rPr>
        <w:sectPr>
          <w:pgSz w:w="11900" w:h="16860"/>
          <w:pgMar w:header="0" w:footer="1084" w:top="1620" w:bottom="1280" w:left="1133" w:right="850"/>
        </w:sectPr>
      </w:pPr>
    </w:p>
    <w:p>
      <w:pPr>
        <w:pStyle w:val="Heading1"/>
      </w:pPr>
      <w:bookmarkStart w:name="_bookmark69" w:id="70"/>
      <w:bookmarkEnd w:id="70"/>
      <w:r>
        <w:rPr>
          <w:b w:val="0"/>
        </w:rPr>
      </w:r>
      <w:r>
        <w:rPr>
          <w:spacing w:val="-2"/>
        </w:rPr>
        <w:t>BIBLIOGRAFÍA</w:t>
      </w:r>
    </w:p>
    <w:p>
      <w:pPr>
        <w:pStyle w:val="BodyText"/>
        <w:spacing w:before="142"/>
        <w:ind w:left="0"/>
        <w:rPr>
          <w:b/>
        </w:rPr>
      </w:pPr>
    </w:p>
    <w:p>
      <w:pPr>
        <w:pStyle w:val="BodyText"/>
        <w:jc w:val="both"/>
      </w:pPr>
      <w:r>
        <w:rPr>
          <w:spacing w:val="-2"/>
        </w:rPr>
        <w:t>Adam,</w:t>
      </w:r>
      <w:r>
        <w:rPr>
          <w:spacing w:val="-8"/>
        </w:rPr>
        <w:t> </w:t>
      </w:r>
      <w:r>
        <w:rPr>
          <w:spacing w:val="-2"/>
        </w:rPr>
        <w:t>M.,</w:t>
      </w:r>
      <w:r>
        <w:rPr>
          <w:spacing w:val="-7"/>
        </w:rPr>
        <w:t> </w:t>
      </w:r>
      <w:r>
        <w:rPr>
          <w:spacing w:val="-2"/>
        </w:rPr>
        <w:t>Jokela,</w:t>
      </w:r>
      <w:r>
        <w:rPr>
          <w:spacing w:val="-6"/>
        </w:rPr>
        <w:t> </w:t>
      </w:r>
      <w:r>
        <w:rPr>
          <w:spacing w:val="-2"/>
        </w:rPr>
        <w:t>A.,</w:t>
      </w:r>
      <w:r>
        <w:rPr>
          <w:spacing w:val="-7"/>
        </w:rPr>
        <w:t> </w:t>
      </w:r>
      <w:r>
        <w:rPr>
          <w:spacing w:val="-2"/>
        </w:rPr>
        <w:t>Salla,</w:t>
      </w:r>
      <w:r>
        <w:rPr>
          <w:spacing w:val="-7"/>
        </w:rPr>
        <w:t> </w:t>
      </w:r>
      <w:r>
        <w:rPr>
          <w:spacing w:val="-2"/>
        </w:rPr>
        <w:t>K.,</w:t>
      </w:r>
      <w:r>
        <w:rPr>
          <w:spacing w:val="-7"/>
        </w:rPr>
        <w:t> </w:t>
      </w:r>
      <w:r>
        <w:rPr>
          <w:spacing w:val="-2"/>
        </w:rPr>
        <w:t>Aho,</w:t>
      </w:r>
      <w:r>
        <w:rPr>
          <w:spacing w:val="-6"/>
        </w:rPr>
        <w:t> </w:t>
      </w:r>
      <w:r>
        <w:rPr>
          <w:spacing w:val="-2"/>
        </w:rPr>
        <w:t>R.,</w:t>
      </w:r>
      <w:r>
        <w:rPr>
          <w:spacing w:val="-7"/>
        </w:rPr>
        <w:t> </w:t>
      </w:r>
      <w:r>
        <w:rPr>
          <w:spacing w:val="-2"/>
        </w:rPr>
        <w:t>Raekallio,</w:t>
      </w:r>
      <w:r>
        <w:rPr>
          <w:spacing w:val="-3"/>
        </w:rPr>
        <w:t> </w:t>
      </w:r>
      <w:r>
        <w:rPr>
          <w:spacing w:val="-2"/>
        </w:rPr>
        <w:t>M.,</w:t>
      </w:r>
      <w:r>
        <w:rPr>
          <w:spacing w:val="-7"/>
        </w:rPr>
        <w:t> </w:t>
      </w:r>
      <w:r>
        <w:rPr>
          <w:spacing w:val="-2"/>
        </w:rPr>
        <w:t>Hänninen,</w:t>
      </w:r>
      <w:r>
        <w:rPr>
          <w:spacing w:val="-4"/>
        </w:rPr>
        <w:t> </w:t>
      </w:r>
      <w:r>
        <w:rPr>
          <w:spacing w:val="-2"/>
        </w:rPr>
        <w:t>L.,</w:t>
      </w:r>
      <w:r>
        <w:rPr>
          <w:spacing w:val="-3"/>
        </w:rPr>
        <w:t> </w:t>
      </w:r>
      <w:r>
        <w:rPr>
          <w:spacing w:val="-2"/>
        </w:rPr>
        <w:t>&amp;</w:t>
      </w:r>
      <w:r>
        <w:rPr>
          <w:spacing w:val="-9"/>
        </w:rPr>
        <w:t> </w:t>
      </w:r>
      <w:r>
        <w:rPr>
          <w:spacing w:val="-2"/>
        </w:rPr>
        <w:t>Hokkanen,</w:t>
      </w:r>
    </w:p>
    <w:p>
      <w:pPr>
        <w:pStyle w:val="BodyText"/>
        <w:spacing w:line="360" w:lineRule="auto" w:before="137"/>
        <w:ind w:left="1855" w:right="847"/>
        <w:jc w:val="both"/>
      </w:pPr>
      <w:r>
        <w:rPr/>
        <w:t>A.</w:t>
      </w:r>
      <w:r>
        <w:rPr>
          <w:spacing w:val="-2"/>
        </w:rPr>
        <w:t> </w:t>
      </w:r>
      <w:r>
        <w:rPr/>
        <w:t>H.</w:t>
      </w:r>
      <w:r>
        <w:rPr>
          <w:spacing w:val="-2"/>
        </w:rPr>
        <w:t> </w:t>
      </w:r>
      <w:r>
        <w:rPr/>
        <w:t>(2025).</w:t>
      </w:r>
      <w:r>
        <w:rPr>
          <w:spacing w:val="-1"/>
        </w:rPr>
        <w:t> </w:t>
      </w:r>
      <w:r>
        <w:rPr/>
        <w:t>Efficacy</w:t>
      </w:r>
      <w:r>
        <w:rPr>
          <w:spacing w:val="-6"/>
        </w:rPr>
        <w:t> </w:t>
      </w:r>
      <w:r>
        <w:rPr/>
        <w:t>of procaine</w:t>
      </w:r>
      <w:r>
        <w:rPr>
          <w:spacing w:val="-2"/>
        </w:rPr>
        <w:t> </w:t>
      </w:r>
      <w:r>
        <w:rPr/>
        <w:t>with</w:t>
      </w:r>
      <w:r>
        <w:rPr>
          <w:spacing w:val="-1"/>
        </w:rPr>
        <w:t> </w:t>
      </w:r>
      <w:r>
        <w:rPr/>
        <w:t>and</w:t>
      </w:r>
      <w:r>
        <w:rPr>
          <w:spacing w:val="-1"/>
        </w:rPr>
        <w:t> </w:t>
      </w:r>
      <w:r>
        <w:rPr/>
        <w:t>without</w:t>
      </w:r>
      <w:r>
        <w:rPr>
          <w:spacing w:val="-1"/>
        </w:rPr>
        <w:t> </w:t>
      </w:r>
      <w:r>
        <w:rPr/>
        <w:t>epinephrine</w:t>
      </w:r>
      <w:r>
        <w:rPr>
          <w:spacing w:val="-2"/>
        </w:rPr>
        <w:t> </w:t>
      </w:r>
      <w:r>
        <w:rPr/>
        <w:t>compared to</w:t>
      </w:r>
      <w:r>
        <w:rPr>
          <w:spacing w:val="-8"/>
        </w:rPr>
        <w:t> </w:t>
      </w:r>
      <w:r>
        <w:rPr/>
        <w:t>lidocaine</w:t>
      </w:r>
      <w:r>
        <w:rPr>
          <w:spacing w:val="-9"/>
        </w:rPr>
        <w:t> </w:t>
      </w:r>
      <w:r>
        <w:rPr/>
        <w:t>in</w:t>
      </w:r>
      <w:r>
        <w:rPr>
          <w:spacing w:val="-8"/>
        </w:rPr>
        <w:t> </w:t>
      </w:r>
      <w:r>
        <w:rPr/>
        <w:t>local</w:t>
      </w:r>
      <w:r>
        <w:rPr>
          <w:spacing w:val="-8"/>
        </w:rPr>
        <w:t> </w:t>
      </w:r>
      <w:r>
        <w:rPr/>
        <w:t>anesthesia</w:t>
      </w:r>
      <w:r>
        <w:rPr>
          <w:spacing w:val="-9"/>
        </w:rPr>
        <w:t> </w:t>
      </w:r>
      <w:r>
        <w:rPr/>
        <w:t>for</w:t>
      </w:r>
      <w:r>
        <w:rPr>
          <w:spacing w:val="-7"/>
        </w:rPr>
        <w:t> </w:t>
      </w:r>
      <w:r>
        <w:rPr/>
        <w:t>calves</w:t>
      </w:r>
      <w:r>
        <w:rPr>
          <w:spacing w:val="-9"/>
        </w:rPr>
        <w:t> </w:t>
      </w:r>
      <w:r>
        <w:rPr/>
        <w:t>before</w:t>
      </w:r>
      <w:r>
        <w:rPr>
          <w:spacing w:val="-9"/>
        </w:rPr>
        <w:t> </w:t>
      </w:r>
      <w:r>
        <w:rPr/>
        <w:t>thermocautery</w:t>
      </w:r>
      <w:r>
        <w:rPr>
          <w:spacing w:val="-13"/>
        </w:rPr>
        <w:t> </w:t>
      </w:r>
      <w:r>
        <w:rPr/>
        <w:t>disbudding. Journal of Veterinary Pharmacology and Therapeutics, 48, 170-179. </w:t>
      </w:r>
      <w:hyperlink r:id="rId26">
        <w:r>
          <w:rPr>
            <w:color w:val="0000FF"/>
            <w:spacing w:val="-2"/>
            <w:u w:val="single" w:color="0000FF"/>
          </w:rPr>
          <w:t>https://doi.org/10.1111/jvp.13493</w:t>
        </w:r>
      </w:hyperlink>
    </w:p>
    <w:p>
      <w:pPr>
        <w:pStyle w:val="BodyText"/>
        <w:spacing w:before="5"/>
        <w:ind w:left="0"/>
      </w:pPr>
    </w:p>
    <w:p>
      <w:pPr>
        <w:pStyle w:val="BodyText"/>
        <w:spacing w:line="360" w:lineRule="auto"/>
        <w:ind w:left="1855" w:right="845" w:hanging="720"/>
        <w:jc w:val="both"/>
      </w:pPr>
      <w:r>
        <w:rPr/>
        <w:t>Adcock,</w:t>
      </w:r>
      <w:r>
        <w:rPr>
          <w:spacing w:val="-11"/>
        </w:rPr>
        <w:t> </w:t>
      </w:r>
      <w:r>
        <w:rPr/>
        <w:t>S.,</w:t>
      </w:r>
      <w:r>
        <w:rPr>
          <w:spacing w:val="-11"/>
        </w:rPr>
        <w:t> </w:t>
      </w:r>
      <w:r>
        <w:rPr/>
        <w:t>&amp;</w:t>
      </w:r>
      <w:r>
        <w:rPr>
          <w:spacing w:val="-14"/>
        </w:rPr>
        <w:t> </w:t>
      </w:r>
      <w:r>
        <w:rPr/>
        <w:t>Tucker,</w:t>
      </w:r>
      <w:r>
        <w:rPr>
          <w:spacing w:val="-11"/>
        </w:rPr>
        <w:t> </w:t>
      </w:r>
      <w:r>
        <w:rPr/>
        <w:t>C.</w:t>
      </w:r>
      <w:r>
        <w:rPr>
          <w:spacing w:val="-11"/>
        </w:rPr>
        <w:t> </w:t>
      </w:r>
      <w:r>
        <w:rPr/>
        <w:t>(2022).</w:t>
      </w:r>
      <w:r>
        <w:rPr>
          <w:spacing w:val="-10"/>
        </w:rPr>
        <w:t> </w:t>
      </w:r>
      <w:r>
        <w:rPr/>
        <w:t>Buffering</w:t>
      </w:r>
      <w:r>
        <w:rPr>
          <w:spacing w:val="-14"/>
        </w:rPr>
        <w:t> </w:t>
      </w:r>
      <w:r>
        <w:rPr/>
        <w:t>lidocaine</w:t>
      </w:r>
      <w:r>
        <w:rPr>
          <w:spacing w:val="-13"/>
        </w:rPr>
        <w:t> </w:t>
      </w:r>
      <w:r>
        <w:rPr/>
        <w:t>heightens</w:t>
      </w:r>
      <w:r>
        <w:rPr>
          <w:spacing w:val="-11"/>
        </w:rPr>
        <w:t> </w:t>
      </w:r>
      <w:r>
        <w:rPr/>
        <w:t>aversion</w:t>
      </w:r>
      <w:r>
        <w:rPr>
          <w:spacing w:val="-11"/>
        </w:rPr>
        <w:t> </w:t>
      </w:r>
      <w:r>
        <w:rPr/>
        <w:t>to</w:t>
      </w:r>
      <w:r>
        <w:rPr>
          <w:spacing w:val="-9"/>
        </w:rPr>
        <w:t> </w:t>
      </w:r>
      <w:r>
        <w:rPr/>
        <w:t>cornual nerve</w:t>
      </w:r>
      <w:r>
        <w:rPr>
          <w:spacing w:val="-18"/>
        </w:rPr>
        <w:t> </w:t>
      </w:r>
      <w:r>
        <w:rPr/>
        <w:t>injections</w:t>
      </w:r>
      <w:r>
        <w:rPr>
          <w:spacing w:val="-15"/>
        </w:rPr>
        <w:t> </w:t>
      </w:r>
      <w:r>
        <w:rPr/>
        <w:t>in</w:t>
      </w:r>
      <w:r>
        <w:rPr>
          <w:spacing w:val="-14"/>
        </w:rPr>
        <w:t> </w:t>
      </w:r>
      <w:r>
        <w:rPr/>
        <w:t>dairy</w:t>
      </w:r>
      <w:r>
        <w:rPr>
          <w:spacing w:val="-22"/>
        </w:rPr>
        <w:t> </w:t>
      </w:r>
      <w:r>
        <w:rPr/>
        <w:t>calves.</w:t>
      </w:r>
      <w:r>
        <w:rPr>
          <w:spacing w:val="-14"/>
        </w:rPr>
        <w:t> </w:t>
      </w:r>
      <w:r>
        <w:rPr/>
        <w:t>Journal</w:t>
      </w:r>
      <w:r>
        <w:rPr>
          <w:spacing w:val="-14"/>
        </w:rPr>
        <w:t> </w:t>
      </w:r>
      <w:r>
        <w:rPr/>
        <w:t>of</w:t>
      </w:r>
      <w:r>
        <w:rPr>
          <w:spacing w:val="-15"/>
        </w:rPr>
        <w:t> </w:t>
      </w:r>
      <w:r>
        <w:rPr/>
        <w:t>dairy</w:t>
      </w:r>
      <w:r>
        <w:rPr>
          <w:spacing w:val="-24"/>
        </w:rPr>
        <w:t> </w:t>
      </w:r>
      <w:r>
        <w:rPr/>
        <w:t>science,</w:t>
      </w:r>
      <w:r>
        <w:rPr>
          <w:spacing w:val="-14"/>
        </w:rPr>
        <w:t> </w:t>
      </w:r>
      <w:r>
        <w:rPr/>
        <w:t>105(5),</w:t>
      </w:r>
      <w:r>
        <w:rPr>
          <w:spacing w:val="-15"/>
        </w:rPr>
        <w:t> </w:t>
      </w:r>
      <w:r>
        <w:rPr/>
        <w:t>4490-</w:t>
      </w:r>
      <w:r>
        <w:rPr>
          <w:spacing w:val="-2"/>
        </w:rPr>
        <w:t>4497.</w:t>
      </w:r>
    </w:p>
    <w:p>
      <w:pPr>
        <w:pStyle w:val="BodyText"/>
        <w:spacing w:before="5"/>
        <w:ind w:left="0"/>
      </w:pPr>
    </w:p>
    <w:p>
      <w:pPr>
        <w:pStyle w:val="BodyText"/>
        <w:spacing w:line="360" w:lineRule="auto"/>
        <w:ind w:left="1855" w:right="844" w:hanging="720"/>
        <w:jc w:val="both"/>
      </w:pPr>
      <w:r>
        <w:rPr/>
        <w:t>Algra</w:t>
      </w:r>
      <w:r>
        <w:rPr>
          <w:spacing w:val="-3"/>
        </w:rPr>
        <w:t> </w:t>
      </w:r>
      <w:r>
        <w:rPr/>
        <w:t>, M., de Keijzer</w:t>
      </w:r>
      <w:r>
        <w:rPr>
          <w:spacing w:val="-3"/>
        </w:rPr>
        <w:t> </w:t>
      </w:r>
      <w:r>
        <w:rPr/>
        <w:t>, L., Arndt, S., van Eerdenburg</w:t>
      </w:r>
      <w:r>
        <w:rPr>
          <w:spacing w:val="-5"/>
        </w:rPr>
        <w:t> </w:t>
      </w:r>
      <w:r>
        <w:rPr/>
        <w:t>, F., &amp;</w:t>
      </w:r>
      <w:r>
        <w:rPr>
          <w:spacing w:val="-3"/>
        </w:rPr>
        <w:t> </w:t>
      </w:r>
      <w:r>
        <w:rPr/>
        <w:t>Goerlich , V. (2023). Evaluation</w:t>
      </w:r>
      <w:r>
        <w:rPr>
          <w:spacing w:val="-5"/>
        </w:rPr>
        <w:t> </w:t>
      </w:r>
      <w:r>
        <w:rPr/>
        <w:t>of</w:t>
      </w:r>
      <w:r>
        <w:rPr>
          <w:spacing w:val="-7"/>
        </w:rPr>
        <w:t> </w:t>
      </w:r>
      <w:r>
        <w:rPr/>
        <w:t>the</w:t>
      </w:r>
      <w:r>
        <w:rPr>
          <w:spacing w:val="-6"/>
        </w:rPr>
        <w:t> </w:t>
      </w:r>
      <w:r>
        <w:rPr/>
        <w:t>Thermal</w:t>
      </w:r>
      <w:r>
        <w:rPr>
          <w:spacing w:val="-5"/>
        </w:rPr>
        <w:t> </w:t>
      </w:r>
      <w:r>
        <w:rPr/>
        <w:t>Response</w:t>
      </w:r>
      <w:r>
        <w:rPr>
          <w:spacing w:val="-6"/>
        </w:rPr>
        <w:t> </w:t>
      </w:r>
      <w:r>
        <w:rPr/>
        <w:t>of</w:t>
      </w:r>
      <w:r>
        <w:rPr>
          <w:spacing w:val="-7"/>
        </w:rPr>
        <w:t> </w:t>
      </w:r>
      <w:r>
        <w:rPr/>
        <w:t>the</w:t>
      </w:r>
      <w:r>
        <w:rPr>
          <w:spacing w:val="-6"/>
        </w:rPr>
        <w:t> </w:t>
      </w:r>
      <w:r>
        <w:rPr/>
        <w:t>Horns</w:t>
      </w:r>
      <w:r>
        <w:rPr>
          <w:spacing w:val="-6"/>
        </w:rPr>
        <w:t> </w:t>
      </w:r>
      <w:r>
        <w:rPr/>
        <w:t>in</w:t>
      </w:r>
      <w:r>
        <w:rPr>
          <w:spacing w:val="-6"/>
        </w:rPr>
        <w:t> </w:t>
      </w:r>
      <w:r>
        <w:rPr/>
        <w:t>Dairy</w:t>
      </w:r>
      <w:r>
        <w:rPr>
          <w:spacing w:val="-11"/>
        </w:rPr>
        <w:t> </w:t>
      </w:r>
      <w:r>
        <w:rPr/>
        <w:t>Cattle.</w:t>
      </w:r>
      <w:r>
        <w:rPr>
          <w:spacing w:val="-6"/>
        </w:rPr>
        <w:t> </w:t>
      </w:r>
      <w:r>
        <w:rPr/>
        <w:t>Animals, 13(3), 500.</w:t>
      </w:r>
    </w:p>
    <w:p>
      <w:pPr>
        <w:pStyle w:val="BodyText"/>
        <w:spacing w:before="4"/>
        <w:ind w:left="0"/>
      </w:pPr>
    </w:p>
    <w:p>
      <w:pPr>
        <w:pStyle w:val="BodyText"/>
        <w:spacing w:line="360" w:lineRule="auto"/>
        <w:ind w:left="1855" w:right="852" w:hanging="720"/>
        <w:jc w:val="both"/>
      </w:pPr>
      <w:r>
        <w:rPr/>
        <w:t>Alley, M., Smith, G., Garcia, M., Wagner, B., &amp; Cramer, M. (2020). Welfare implications for dairy bull calves. CAB Reviews, 15(058), 50.</w:t>
      </w:r>
    </w:p>
    <w:p>
      <w:pPr>
        <w:pStyle w:val="BodyText"/>
        <w:spacing w:before="5"/>
        <w:ind w:left="0"/>
      </w:pPr>
    </w:p>
    <w:p>
      <w:pPr>
        <w:pStyle w:val="BodyText"/>
        <w:spacing w:line="360" w:lineRule="auto"/>
        <w:ind w:left="1855" w:right="845" w:hanging="720"/>
        <w:jc w:val="both"/>
      </w:pPr>
      <w:r>
        <w:rPr/>
        <w:t>Bacon, M. E., Endres, M. I., &amp; Heins, B. J. (2025). Effects of willow bark (Salix extract) on pain and stress following disbudding of organic dairy calves. Animals, 15, 575. </w:t>
      </w:r>
      <w:hyperlink r:id="rId27">
        <w:r>
          <w:rPr>
            <w:color w:val="0000FF"/>
            <w:u w:val="single" w:color="0000FF"/>
          </w:rPr>
          <w:t>https://doi.org/10.3390/ani15040575</w:t>
        </w:r>
      </w:hyperlink>
    </w:p>
    <w:p>
      <w:pPr>
        <w:pStyle w:val="BodyText"/>
        <w:spacing w:before="4"/>
        <w:ind w:left="0"/>
      </w:pPr>
    </w:p>
    <w:p>
      <w:pPr>
        <w:pStyle w:val="BodyText"/>
        <w:spacing w:line="360" w:lineRule="auto"/>
        <w:ind w:left="1855" w:right="848" w:hanging="720"/>
        <w:jc w:val="both"/>
      </w:pPr>
      <w:r>
        <w:rPr/>
        <w:t>Chimes, L., Beytell, P., Muntifering, J., Kotting, B., &amp; Neville, V. (2022). Effects of</w:t>
      </w:r>
      <w:r>
        <w:rPr>
          <w:spacing w:val="-11"/>
        </w:rPr>
        <w:t> </w:t>
      </w:r>
      <w:r>
        <w:rPr/>
        <w:t>dehorning</w:t>
      </w:r>
      <w:r>
        <w:rPr>
          <w:spacing w:val="-13"/>
        </w:rPr>
        <w:t> </w:t>
      </w:r>
      <w:r>
        <w:rPr/>
        <w:t>on</w:t>
      </w:r>
      <w:r>
        <w:rPr>
          <w:spacing w:val="-11"/>
        </w:rPr>
        <w:t> </w:t>
      </w:r>
      <w:r>
        <w:rPr/>
        <w:t>population</w:t>
      </w:r>
      <w:r>
        <w:rPr>
          <w:spacing w:val="-11"/>
        </w:rPr>
        <w:t> </w:t>
      </w:r>
      <w:r>
        <w:rPr/>
        <w:t>productivity</w:t>
      </w:r>
      <w:r>
        <w:rPr>
          <w:spacing w:val="-13"/>
        </w:rPr>
        <w:t> </w:t>
      </w:r>
      <w:r>
        <w:rPr/>
        <w:t>in</w:t>
      </w:r>
      <w:r>
        <w:rPr>
          <w:spacing w:val="-10"/>
        </w:rPr>
        <w:t> </w:t>
      </w:r>
      <w:r>
        <w:rPr/>
        <w:t>four</w:t>
      </w:r>
      <w:r>
        <w:rPr>
          <w:spacing w:val="-11"/>
        </w:rPr>
        <w:t> </w:t>
      </w:r>
      <w:r>
        <w:rPr/>
        <w:t>Namibia</w:t>
      </w:r>
      <w:r>
        <w:rPr>
          <w:spacing w:val="-11"/>
        </w:rPr>
        <w:t> </w:t>
      </w:r>
      <w:r>
        <w:rPr/>
        <w:t>sub</w:t>
      </w:r>
      <w:r>
        <w:rPr>
          <w:spacing w:val="-10"/>
        </w:rPr>
        <w:t> </w:t>
      </w:r>
      <w:r>
        <w:rPr/>
        <w:t>populations</w:t>
      </w:r>
      <w:r>
        <w:rPr>
          <w:spacing w:val="-10"/>
        </w:rPr>
        <w:t> </w:t>
      </w:r>
      <w:r>
        <w:rPr/>
        <w:t>of black rhinoceros (Diceros bicornis bicornis). European Journal of Wildlife Research, 68(58), 1-17.</w:t>
      </w:r>
    </w:p>
    <w:p>
      <w:pPr>
        <w:pStyle w:val="BodyText"/>
        <w:spacing w:before="3"/>
        <w:ind w:left="0"/>
      </w:pPr>
    </w:p>
    <w:p>
      <w:pPr>
        <w:pStyle w:val="BodyText"/>
      </w:pPr>
      <w:r>
        <w:rPr/>
        <w:t>Cho,</w:t>
      </w:r>
      <w:r>
        <w:rPr>
          <w:spacing w:val="10"/>
        </w:rPr>
        <w:t> </w:t>
      </w:r>
      <w:r>
        <w:rPr/>
        <w:t>I.,</w:t>
      </w:r>
      <w:r>
        <w:rPr>
          <w:spacing w:val="11"/>
        </w:rPr>
        <w:t> </w:t>
      </w:r>
      <w:r>
        <w:rPr/>
        <w:t>Yoo,</w:t>
      </w:r>
      <w:r>
        <w:rPr>
          <w:spacing w:val="8"/>
        </w:rPr>
        <w:t> </w:t>
      </w:r>
      <w:r>
        <w:rPr/>
        <w:t>S.,</w:t>
      </w:r>
      <w:r>
        <w:rPr>
          <w:spacing w:val="9"/>
        </w:rPr>
        <w:t> </w:t>
      </w:r>
      <w:r>
        <w:rPr/>
        <w:t>Jung,</w:t>
      </w:r>
      <w:r>
        <w:rPr>
          <w:spacing w:val="8"/>
        </w:rPr>
        <w:t> </w:t>
      </w:r>
      <w:r>
        <w:rPr/>
        <w:t>D.</w:t>
      </w:r>
      <w:r>
        <w:rPr>
          <w:spacing w:val="9"/>
        </w:rPr>
        <w:t> </w:t>
      </w:r>
      <w:r>
        <w:rPr/>
        <w:t>J.</w:t>
      </w:r>
      <w:r>
        <w:rPr>
          <w:spacing w:val="9"/>
        </w:rPr>
        <w:t> </w:t>
      </w:r>
      <w:r>
        <w:rPr/>
        <w:t>S.,</w:t>
      </w:r>
      <w:r>
        <w:rPr>
          <w:spacing w:val="9"/>
        </w:rPr>
        <w:t> </w:t>
      </w:r>
      <w:r>
        <w:rPr/>
        <w:t>Lee,</w:t>
      </w:r>
      <w:r>
        <w:rPr>
          <w:spacing w:val="9"/>
        </w:rPr>
        <w:t> </w:t>
      </w:r>
      <w:r>
        <w:rPr/>
        <w:t>J.,</w:t>
      </w:r>
      <w:r>
        <w:rPr>
          <w:spacing w:val="8"/>
        </w:rPr>
        <w:t> </w:t>
      </w:r>
      <w:r>
        <w:rPr/>
        <w:t>Baek,</w:t>
      </w:r>
      <w:r>
        <w:rPr>
          <w:spacing w:val="9"/>
        </w:rPr>
        <w:t> </w:t>
      </w:r>
      <w:r>
        <w:rPr/>
        <w:t>S.</w:t>
      </w:r>
      <w:r>
        <w:rPr>
          <w:spacing w:val="11"/>
        </w:rPr>
        <w:t> </w:t>
      </w:r>
      <w:r>
        <w:rPr/>
        <w:t>H.,</w:t>
      </w:r>
      <w:r>
        <w:rPr>
          <w:spacing w:val="8"/>
        </w:rPr>
        <w:t> </w:t>
      </w:r>
      <w:r>
        <w:rPr/>
        <w:t>Kim,</w:t>
      </w:r>
      <w:r>
        <w:rPr>
          <w:spacing w:val="9"/>
        </w:rPr>
        <w:t> </w:t>
      </w:r>
      <w:r>
        <w:rPr/>
        <w:t>S.</w:t>
      </w:r>
      <w:r>
        <w:rPr>
          <w:spacing w:val="8"/>
        </w:rPr>
        <w:t> </w:t>
      </w:r>
      <w:r>
        <w:rPr/>
        <w:t>Y.,</w:t>
      </w:r>
      <w:r>
        <w:rPr>
          <w:spacing w:val="11"/>
        </w:rPr>
        <w:t> </w:t>
      </w:r>
      <w:r>
        <w:rPr/>
        <w:t>Lee,</w:t>
      </w:r>
      <w:r>
        <w:rPr>
          <w:spacing w:val="9"/>
        </w:rPr>
        <w:t> </w:t>
      </w:r>
      <w:r>
        <w:rPr/>
        <w:t>J.,</w:t>
      </w:r>
      <w:r>
        <w:rPr>
          <w:spacing w:val="9"/>
        </w:rPr>
        <w:t> </w:t>
      </w:r>
      <w:r>
        <w:rPr/>
        <w:t>Kim,</w:t>
      </w:r>
      <w:r>
        <w:rPr>
          <w:spacing w:val="9"/>
        </w:rPr>
        <w:t> </w:t>
      </w:r>
      <w:r>
        <w:rPr>
          <w:spacing w:val="-5"/>
        </w:rPr>
        <w:t>D.,</w:t>
      </w:r>
    </w:p>
    <w:p>
      <w:pPr>
        <w:pStyle w:val="BodyText"/>
        <w:spacing w:line="360" w:lineRule="auto" w:before="140"/>
        <w:ind w:left="1855" w:right="846"/>
        <w:jc w:val="both"/>
      </w:pPr>
      <w:r>
        <w:rPr/>
        <w:t>Kim, H. J., &amp; Baik, M. (2024). Effects of lidocaine-plus-meloxicam treatment</w:t>
      </w:r>
      <w:r>
        <w:rPr>
          <w:spacing w:val="-2"/>
        </w:rPr>
        <w:t> </w:t>
      </w:r>
      <w:r>
        <w:rPr/>
        <w:t>on</w:t>
      </w:r>
      <w:r>
        <w:rPr>
          <w:spacing w:val="-2"/>
        </w:rPr>
        <w:t> </w:t>
      </w:r>
      <w:r>
        <w:rPr/>
        <w:t>behavioral</w:t>
      </w:r>
      <w:r>
        <w:rPr>
          <w:spacing w:val="-2"/>
        </w:rPr>
        <w:t> </w:t>
      </w:r>
      <w:r>
        <w:rPr/>
        <w:t>and</w:t>
      </w:r>
      <w:r>
        <w:rPr>
          <w:spacing w:val="-2"/>
        </w:rPr>
        <w:t> </w:t>
      </w:r>
      <w:r>
        <w:rPr/>
        <w:t>physiological changes after</w:t>
      </w:r>
      <w:r>
        <w:rPr>
          <w:spacing w:val="-3"/>
        </w:rPr>
        <w:t> </w:t>
      </w:r>
      <w:r>
        <w:rPr/>
        <w:t>surgical</w:t>
      </w:r>
      <w:r>
        <w:rPr>
          <w:spacing w:val="-2"/>
        </w:rPr>
        <w:t> </w:t>
      </w:r>
      <w:r>
        <w:rPr/>
        <w:t>castration in Hanwoo bulls. Frontiers in Veterinary Science, 11, 1465844. </w:t>
      </w:r>
      <w:hyperlink r:id="rId28">
        <w:r>
          <w:rPr>
            <w:color w:val="0000FF"/>
            <w:spacing w:val="-2"/>
            <w:u w:val="single" w:color="0000FF"/>
          </w:rPr>
          <w:t>https://doi.org/10.3389/fvets.2024.1465844</w:t>
        </w:r>
      </w:hyperlink>
    </w:p>
    <w:p>
      <w:pPr>
        <w:pStyle w:val="BodyText"/>
        <w:spacing w:before="4"/>
        <w:ind w:left="0"/>
      </w:pPr>
    </w:p>
    <w:p>
      <w:pPr>
        <w:pStyle w:val="BodyText"/>
        <w:spacing w:line="360" w:lineRule="auto"/>
        <w:ind w:left="1855" w:right="793" w:hanging="720"/>
      </w:pPr>
      <w:r>
        <w:rPr/>
        <w:t>Clinical</w:t>
      </w:r>
      <w:r>
        <w:rPr>
          <w:spacing w:val="-2"/>
        </w:rPr>
        <w:t> </w:t>
      </w:r>
      <w:r>
        <w:rPr/>
        <w:t>Trial</w:t>
      </w:r>
      <w:r>
        <w:rPr>
          <w:spacing w:val="-3"/>
        </w:rPr>
        <w:t> </w:t>
      </w:r>
      <w:r>
        <w:rPr/>
        <w:t>on</w:t>
      </w:r>
      <w:r>
        <w:rPr>
          <w:spacing w:val="-3"/>
        </w:rPr>
        <w:t> </w:t>
      </w:r>
      <w:r>
        <w:rPr/>
        <w:t>the</w:t>
      </w:r>
      <w:r>
        <w:rPr>
          <w:spacing w:val="-4"/>
        </w:rPr>
        <w:t> </w:t>
      </w:r>
      <w:r>
        <w:rPr/>
        <w:t>Welfare</w:t>
      </w:r>
      <w:r>
        <w:rPr>
          <w:spacing w:val="-5"/>
        </w:rPr>
        <w:t> </w:t>
      </w:r>
      <w:r>
        <w:rPr/>
        <w:t>Effects</w:t>
      </w:r>
      <w:r>
        <w:rPr>
          <w:spacing w:val="-2"/>
        </w:rPr>
        <w:t> </w:t>
      </w:r>
      <w:r>
        <w:rPr/>
        <w:t>of</w:t>
      </w:r>
      <w:r>
        <w:rPr>
          <w:spacing w:val="-4"/>
        </w:rPr>
        <w:t> </w:t>
      </w:r>
      <w:r>
        <w:rPr/>
        <w:t>Administering</w:t>
      </w:r>
      <w:r>
        <w:rPr>
          <w:spacing w:val="-5"/>
        </w:rPr>
        <w:t> </w:t>
      </w:r>
      <w:r>
        <w:rPr/>
        <w:t>Meloxicam</w:t>
      </w:r>
      <w:r>
        <w:rPr>
          <w:spacing w:val="-2"/>
        </w:rPr>
        <w:t> </w:t>
      </w:r>
      <w:r>
        <w:rPr/>
        <w:t>to</w:t>
      </w:r>
      <w:r>
        <w:rPr>
          <w:spacing w:val="-3"/>
        </w:rPr>
        <w:t> </w:t>
      </w:r>
      <w:r>
        <w:rPr/>
        <w:t>10</w:t>
      </w:r>
      <w:r>
        <w:rPr>
          <w:spacing w:val="-3"/>
        </w:rPr>
        <w:t> </w:t>
      </w:r>
      <w:r>
        <w:rPr/>
        <w:t>to</w:t>
      </w:r>
      <w:r>
        <w:rPr>
          <w:spacing w:val="-6"/>
        </w:rPr>
        <w:t> </w:t>
      </w:r>
      <w:r>
        <w:rPr/>
        <w:t>21 Day Dairy</w:t>
      </w:r>
      <w:r>
        <w:rPr>
          <w:spacing w:val="56"/>
        </w:rPr>
        <w:t> </w:t>
      </w:r>
      <w:r>
        <w:rPr/>
        <w:t>Calves</w:t>
      </w:r>
      <w:r>
        <w:rPr>
          <w:spacing w:val="63"/>
        </w:rPr>
        <w:t> </w:t>
      </w:r>
      <w:r>
        <w:rPr/>
        <w:t>Following</w:t>
      </w:r>
      <w:r>
        <w:rPr>
          <w:spacing w:val="63"/>
        </w:rPr>
        <w:t> </w:t>
      </w:r>
      <w:r>
        <w:rPr/>
        <w:t>Caustic</w:t>
      </w:r>
      <w:r>
        <w:rPr>
          <w:spacing w:val="62"/>
        </w:rPr>
        <w:t> </w:t>
      </w:r>
      <w:r>
        <w:rPr/>
        <w:t>Paste</w:t>
      </w:r>
      <w:r>
        <w:rPr>
          <w:spacing w:val="63"/>
        </w:rPr>
        <w:t> </w:t>
      </w:r>
      <w:r>
        <w:rPr/>
        <w:t>Disbudding.</w:t>
      </w:r>
      <w:r>
        <w:rPr>
          <w:spacing w:val="63"/>
        </w:rPr>
        <w:t> </w:t>
      </w:r>
      <w:r>
        <w:rPr/>
        <w:t>Journal</w:t>
      </w:r>
      <w:r>
        <w:rPr>
          <w:spacing w:val="64"/>
        </w:rPr>
        <w:t> </w:t>
      </w:r>
      <w:r>
        <w:rPr/>
        <w:t>of</w:t>
      </w:r>
      <w:r>
        <w:rPr>
          <w:spacing w:val="63"/>
        </w:rPr>
        <w:t> </w:t>
      </w:r>
      <w:r>
        <w:rPr>
          <w:spacing w:val="-2"/>
        </w:rPr>
        <w:t>Animal</w:t>
      </w:r>
    </w:p>
    <w:p>
      <w:pPr>
        <w:pStyle w:val="BodyText"/>
        <w:spacing w:after="0" w:line="360" w:lineRule="auto"/>
        <w:sectPr>
          <w:pgSz w:w="11900" w:h="16860"/>
          <w:pgMar w:header="0" w:footer="1084" w:top="1620" w:bottom="1280" w:left="1133" w:right="850"/>
        </w:sectPr>
      </w:pPr>
    </w:p>
    <w:p>
      <w:pPr>
        <w:pStyle w:val="BodyText"/>
        <w:spacing w:before="70"/>
        <w:ind w:left="1855"/>
      </w:pPr>
      <w:r>
        <w:rPr/>
        <w:t>Science,</w:t>
      </w:r>
      <w:r>
        <w:rPr>
          <w:spacing w:val="-4"/>
        </w:rPr>
        <w:t> 101.</w:t>
      </w:r>
    </w:p>
    <w:p>
      <w:pPr>
        <w:pStyle w:val="BodyText"/>
        <w:spacing w:before="142"/>
        <w:ind w:left="0"/>
      </w:pPr>
    </w:p>
    <w:p>
      <w:pPr>
        <w:pStyle w:val="BodyText"/>
        <w:spacing w:line="360" w:lineRule="auto"/>
        <w:ind w:left="1855" w:right="846" w:hanging="720"/>
        <w:jc w:val="both"/>
      </w:pPr>
      <w:r>
        <w:rPr/>
        <w:t>Coetzee, J. (2022). Effect bupivacaine liposome suspension administered as a cornual nerve block on indicators of pain and distress during and after cautery dehorning in dairy calves. Journal of dairy science, 105(2), 1603-</w:t>
      </w:r>
      <w:r>
        <w:rPr>
          <w:spacing w:val="-2"/>
        </w:rPr>
        <w:t>1617.</w:t>
      </w:r>
    </w:p>
    <w:p>
      <w:pPr>
        <w:pStyle w:val="BodyText"/>
        <w:spacing w:before="5"/>
        <w:ind w:left="0"/>
      </w:pPr>
    </w:p>
    <w:p>
      <w:pPr>
        <w:pStyle w:val="BodyText"/>
        <w:tabs>
          <w:tab w:pos="3040" w:val="left" w:leader="none"/>
          <w:tab w:pos="5063" w:val="left" w:leader="none"/>
          <w:tab w:pos="6867" w:val="left" w:leader="none"/>
          <w:tab w:pos="8165" w:val="left" w:leader="none"/>
        </w:tabs>
        <w:spacing w:line="360" w:lineRule="auto"/>
        <w:ind w:left="1855" w:right="848" w:hanging="720"/>
        <w:jc w:val="both"/>
      </w:pPr>
      <w:r>
        <w:rPr/>
        <w:t>Cui,</w:t>
      </w:r>
      <w:r>
        <w:rPr>
          <w:spacing w:val="-10"/>
        </w:rPr>
        <w:t> </w:t>
      </w:r>
      <w:r>
        <w:rPr/>
        <w:t>W.,</w:t>
      </w:r>
      <w:r>
        <w:rPr>
          <w:spacing w:val="-8"/>
        </w:rPr>
        <w:t> </w:t>
      </w:r>
      <w:r>
        <w:rPr/>
        <w:t>Liu,</w:t>
      </w:r>
      <w:r>
        <w:rPr>
          <w:spacing w:val="-10"/>
        </w:rPr>
        <w:t> </w:t>
      </w:r>
      <w:r>
        <w:rPr/>
        <w:t>M.,</w:t>
      </w:r>
      <w:r>
        <w:rPr>
          <w:spacing w:val="-10"/>
        </w:rPr>
        <w:t> </w:t>
      </w:r>
      <w:r>
        <w:rPr/>
        <w:t>Gu,</w:t>
      </w:r>
      <w:r>
        <w:rPr>
          <w:spacing w:val="-9"/>
        </w:rPr>
        <w:t> </w:t>
      </w:r>
      <w:r>
        <w:rPr/>
        <w:t>T.,</w:t>
      </w:r>
      <w:r>
        <w:rPr>
          <w:spacing w:val="-9"/>
        </w:rPr>
        <w:t> </w:t>
      </w:r>
      <w:r>
        <w:rPr/>
        <w:t>Zhao,</w:t>
      </w:r>
      <w:r>
        <w:rPr>
          <w:spacing w:val="-9"/>
        </w:rPr>
        <w:t> </w:t>
      </w:r>
      <w:r>
        <w:rPr/>
        <w:t>S.,</w:t>
      </w:r>
      <w:r>
        <w:rPr>
          <w:spacing w:val="-8"/>
        </w:rPr>
        <w:t> </w:t>
      </w:r>
      <w:r>
        <w:rPr/>
        <w:t>&amp;</w:t>
      </w:r>
      <w:r>
        <w:rPr>
          <w:spacing w:val="-13"/>
        </w:rPr>
        <w:t> </w:t>
      </w:r>
      <w:r>
        <w:rPr/>
        <w:t>Yin,</w:t>
      </w:r>
      <w:r>
        <w:rPr>
          <w:spacing w:val="-8"/>
        </w:rPr>
        <w:t> </w:t>
      </w:r>
      <w:r>
        <w:rPr/>
        <w:t>G.</w:t>
      </w:r>
      <w:r>
        <w:rPr>
          <w:spacing w:val="-11"/>
        </w:rPr>
        <w:t> </w:t>
      </w:r>
      <w:r>
        <w:rPr/>
        <w:t>(2024).</w:t>
      </w:r>
      <w:r>
        <w:rPr>
          <w:spacing w:val="-11"/>
        </w:rPr>
        <w:t> </w:t>
      </w:r>
      <w:r>
        <w:rPr/>
        <w:t>Multi-dimensional</w:t>
      </w:r>
      <w:r>
        <w:rPr>
          <w:spacing w:val="-10"/>
        </w:rPr>
        <w:t> </w:t>
      </w:r>
      <w:r>
        <w:rPr/>
        <w:t>evaluation of</w:t>
      </w:r>
      <w:r>
        <w:rPr>
          <w:spacing w:val="-7"/>
        </w:rPr>
        <w:t> </w:t>
      </w:r>
      <w:r>
        <w:rPr/>
        <w:t>pain</w:t>
      </w:r>
      <w:r>
        <w:rPr>
          <w:spacing w:val="-5"/>
        </w:rPr>
        <w:t> </w:t>
      </w:r>
      <w:r>
        <w:rPr/>
        <w:t>response</w:t>
      </w:r>
      <w:r>
        <w:rPr>
          <w:spacing w:val="-6"/>
        </w:rPr>
        <w:t> </w:t>
      </w:r>
      <w:r>
        <w:rPr/>
        <w:t>in</w:t>
      </w:r>
      <w:r>
        <w:rPr>
          <w:spacing w:val="-5"/>
        </w:rPr>
        <w:t> </w:t>
      </w:r>
      <w:r>
        <w:rPr/>
        <w:t>low</w:t>
      </w:r>
      <w:r>
        <w:rPr>
          <w:spacing w:val="-4"/>
        </w:rPr>
        <w:t> </w:t>
      </w:r>
      <w:r>
        <w:rPr/>
        <w:t>day-age</w:t>
      </w:r>
      <w:r>
        <w:rPr>
          <w:spacing w:val="-5"/>
        </w:rPr>
        <w:t> </w:t>
      </w:r>
      <w:r>
        <w:rPr/>
        <w:t>calves</w:t>
      </w:r>
      <w:r>
        <w:rPr>
          <w:spacing w:val="-6"/>
        </w:rPr>
        <w:t> </w:t>
      </w:r>
      <w:r>
        <w:rPr/>
        <w:t>to</w:t>
      </w:r>
      <w:r>
        <w:rPr>
          <w:spacing w:val="-5"/>
        </w:rPr>
        <w:t> </w:t>
      </w:r>
      <w:r>
        <w:rPr/>
        <w:t>two</w:t>
      </w:r>
      <w:r>
        <w:rPr>
          <w:spacing w:val="-6"/>
        </w:rPr>
        <w:t> </w:t>
      </w:r>
      <w:r>
        <w:rPr/>
        <w:t>types</w:t>
      </w:r>
      <w:r>
        <w:rPr>
          <w:spacing w:val="-6"/>
        </w:rPr>
        <w:t> </w:t>
      </w:r>
      <w:r>
        <w:rPr/>
        <w:t>of</w:t>
      </w:r>
      <w:r>
        <w:rPr>
          <w:spacing w:val="-7"/>
        </w:rPr>
        <w:t> </w:t>
      </w:r>
      <w:r>
        <w:rPr/>
        <w:t>dehorning.</w:t>
      </w:r>
      <w:r>
        <w:rPr>
          <w:spacing w:val="-4"/>
        </w:rPr>
        <w:t> </w:t>
      </w:r>
      <w:r>
        <w:rPr/>
        <w:t>Frontiers </w:t>
      </w:r>
      <w:r>
        <w:rPr>
          <w:spacing w:val="-5"/>
        </w:rPr>
        <w:t>in</w:t>
      </w:r>
      <w:r>
        <w:rPr/>
        <w:tab/>
      </w:r>
      <w:r>
        <w:rPr>
          <w:spacing w:val="-2"/>
        </w:rPr>
        <w:t>Veterinary</w:t>
      </w:r>
      <w:r>
        <w:rPr/>
        <w:tab/>
      </w:r>
      <w:r>
        <w:rPr>
          <w:spacing w:val="-2"/>
        </w:rPr>
        <w:t>Science,</w:t>
      </w:r>
      <w:r>
        <w:rPr/>
        <w:tab/>
      </w:r>
      <w:r>
        <w:rPr>
          <w:spacing w:val="-5"/>
        </w:rPr>
        <w:t>11,</w:t>
      </w:r>
      <w:r>
        <w:rPr/>
        <w:tab/>
      </w:r>
      <w:r>
        <w:rPr>
          <w:spacing w:val="-2"/>
        </w:rPr>
        <w:t>1406576.</w:t>
      </w:r>
    </w:p>
    <w:p>
      <w:pPr>
        <w:pStyle w:val="BodyText"/>
        <w:spacing w:line="275" w:lineRule="exact"/>
        <w:ind w:left="1855"/>
      </w:pPr>
      <w:hyperlink r:id="rId29">
        <w:r>
          <w:rPr>
            <w:color w:val="0000FF"/>
            <w:spacing w:val="-2"/>
            <w:u w:val="single" w:color="0000FF"/>
          </w:rPr>
          <w:t>https://doi.org/10.3389/fvets.2024.1406576</w:t>
        </w:r>
      </w:hyperlink>
    </w:p>
    <w:p>
      <w:pPr>
        <w:pStyle w:val="BodyText"/>
        <w:spacing w:before="142"/>
        <w:ind w:left="0"/>
      </w:pPr>
    </w:p>
    <w:p>
      <w:pPr>
        <w:pStyle w:val="BodyText"/>
        <w:spacing w:line="360" w:lineRule="auto"/>
        <w:ind w:left="1855" w:right="846" w:hanging="720"/>
        <w:jc w:val="both"/>
      </w:pPr>
      <w:r>
        <w:rPr/>
        <w:t>de Paula, E. (2021). Prolonged anesthesia and decreased toxicity</w:t>
      </w:r>
      <w:r>
        <w:rPr>
          <w:spacing w:val="-1"/>
        </w:rPr>
        <w:t> </w:t>
      </w:r>
      <w:r>
        <w:rPr/>
        <w:t>of enantiomeric-excess</w:t>
      </w:r>
      <w:r>
        <w:rPr>
          <w:spacing w:val="-15"/>
        </w:rPr>
        <w:t> </w:t>
      </w:r>
      <w:r>
        <w:rPr/>
        <w:t>bupivacaine</w:t>
      </w:r>
      <w:r>
        <w:rPr>
          <w:spacing w:val="-15"/>
        </w:rPr>
        <w:t> </w:t>
      </w:r>
      <w:r>
        <w:rPr/>
        <w:t>loaded</w:t>
      </w:r>
      <w:r>
        <w:rPr>
          <w:spacing w:val="-15"/>
        </w:rPr>
        <w:t> </w:t>
      </w:r>
      <w:r>
        <w:rPr/>
        <w:t>in</w:t>
      </w:r>
      <w:r>
        <w:rPr>
          <w:spacing w:val="-15"/>
        </w:rPr>
        <w:t> </w:t>
      </w:r>
      <w:r>
        <w:rPr/>
        <w:t>ionic</w:t>
      </w:r>
      <w:r>
        <w:rPr>
          <w:spacing w:val="-15"/>
        </w:rPr>
        <w:t> </w:t>
      </w:r>
      <w:r>
        <w:rPr/>
        <w:t>gradient</w:t>
      </w:r>
      <w:r>
        <w:rPr>
          <w:spacing w:val="-15"/>
        </w:rPr>
        <w:t> </w:t>
      </w:r>
      <w:r>
        <w:rPr/>
        <w:t>liposomes.</w:t>
      </w:r>
      <w:r>
        <w:rPr>
          <w:spacing w:val="-15"/>
        </w:rPr>
        <w:t> </w:t>
      </w:r>
      <w:r>
        <w:rPr/>
        <w:t>International</w:t>
      </w:r>
      <w:r>
        <w:rPr>
          <w:spacing w:val="-15"/>
        </w:rPr>
        <w:t> </w:t>
      </w:r>
      <w:r>
        <w:rPr/>
        <w:t>Journal of Pharmaceutics, 606(5), 120944.</w:t>
      </w:r>
    </w:p>
    <w:p>
      <w:pPr>
        <w:pStyle w:val="BodyText"/>
        <w:spacing w:before="6"/>
        <w:ind w:left="0"/>
      </w:pPr>
    </w:p>
    <w:p>
      <w:pPr>
        <w:pStyle w:val="BodyText"/>
        <w:tabs>
          <w:tab w:pos="3364" w:val="left" w:leader="none"/>
          <w:tab w:pos="4619" w:val="left" w:leader="none"/>
          <w:tab w:pos="7171" w:val="left" w:leader="none"/>
          <w:tab w:pos="8203" w:val="left" w:leader="none"/>
        </w:tabs>
        <w:spacing w:line="360" w:lineRule="auto"/>
        <w:ind w:left="1855" w:right="845" w:hanging="720"/>
        <w:jc w:val="both"/>
      </w:pPr>
      <w:r>
        <w:rPr/>
        <w:t>Drwencke, A. M., Garcia, H., Adcock, S. J. J., &amp; Tucker, C. B. (2025). Effects of disbudding</w:t>
      </w:r>
      <w:r>
        <w:rPr>
          <w:spacing w:val="-1"/>
        </w:rPr>
        <w:t> </w:t>
      </w:r>
      <w:r>
        <w:rPr/>
        <w:t>on behavior and heart rate during</w:t>
      </w:r>
      <w:r>
        <w:rPr>
          <w:spacing w:val="-1"/>
        </w:rPr>
        <w:t> </w:t>
      </w:r>
      <w:r>
        <w:rPr/>
        <w:t>jugular venipuncture in dairy </w:t>
      </w:r>
      <w:r>
        <w:rPr>
          <w:spacing w:val="-2"/>
        </w:rPr>
        <w:t>calves.</w:t>
      </w:r>
      <w:r>
        <w:rPr/>
        <w:tab/>
      </w:r>
      <w:r>
        <w:rPr>
          <w:spacing w:val="-5"/>
        </w:rPr>
        <w:t>JDS</w:t>
      </w:r>
      <w:r>
        <w:rPr/>
        <w:tab/>
      </w:r>
      <w:r>
        <w:rPr>
          <w:spacing w:val="-2"/>
        </w:rPr>
        <w:t>Communications,</w:t>
      </w:r>
      <w:r>
        <w:rPr/>
        <w:tab/>
      </w:r>
      <w:r>
        <w:rPr>
          <w:spacing w:val="-5"/>
        </w:rPr>
        <w:t>6,</w:t>
      </w:r>
      <w:r>
        <w:rPr/>
        <w:tab/>
        <w:t>245-</w:t>
      </w:r>
      <w:r>
        <w:rPr>
          <w:spacing w:val="-4"/>
        </w:rPr>
        <w:t>249.</w:t>
      </w:r>
    </w:p>
    <w:p>
      <w:pPr>
        <w:pStyle w:val="BodyText"/>
        <w:spacing w:line="275" w:lineRule="exact"/>
        <w:ind w:left="1855"/>
      </w:pPr>
      <w:hyperlink r:id="rId30">
        <w:r>
          <w:rPr>
            <w:color w:val="0000FF"/>
            <w:spacing w:val="-2"/>
            <w:u w:val="single" w:color="0000FF"/>
          </w:rPr>
          <w:t>https://doi.org/10.3168/jdsc.2024-</w:t>
        </w:r>
        <w:r>
          <w:rPr>
            <w:color w:val="0000FF"/>
            <w:spacing w:val="-4"/>
            <w:u w:val="single" w:color="0000FF"/>
          </w:rPr>
          <w:t>0655</w:t>
        </w:r>
      </w:hyperlink>
    </w:p>
    <w:p>
      <w:pPr>
        <w:pStyle w:val="BodyText"/>
        <w:spacing w:before="141"/>
        <w:ind w:left="0"/>
      </w:pPr>
    </w:p>
    <w:p>
      <w:pPr>
        <w:pStyle w:val="BodyText"/>
        <w:spacing w:line="360" w:lineRule="auto"/>
        <w:ind w:left="1855" w:right="845" w:hanging="720"/>
        <w:jc w:val="both"/>
      </w:pPr>
      <w:r>
        <w:rPr/>
        <w:t>Dyke, R., Connor, M., &amp; Miele, A. (2021). An Investigation into the Perceptions of Veterinarians towards Perioperative Pain Management in Calves. Animals, 11(7), 1882.</w:t>
      </w:r>
    </w:p>
    <w:p>
      <w:pPr>
        <w:pStyle w:val="BodyText"/>
        <w:spacing w:before="4"/>
        <w:ind w:left="0"/>
      </w:pPr>
    </w:p>
    <w:p>
      <w:pPr>
        <w:pStyle w:val="BodyText"/>
        <w:spacing w:line="360" w:lineRule="auto"/>
        <w:ind w:left="1855" w:right="843" w:hanging="720"/>
        <w:jc w:val="both"/>
      </w:pPr>
      <w:r>
        <w:rPr/>
        <w:t>Ede, T., von Keyserlingk, M., &amp; Weary, D. (2020). Conditioned place aversion of caustic paste and hot-iron disbudding in dairy calves. Journal of dairy science, 103(12), 11653-11658.</w:t>
      </w:r>
    </w:p>
    <w:p>
      <w:pPr>
        <w:pStyle w:val="BodyText"/>
        <w:spacing w:before="4"/>
        <w:ind w:left="0"/>
      </w:pPr>
    </w:p>
    <w:p>
      <w:pPr>
        <w:pStyle w:val="BodyText"/>
        <w:spacing w:before="1"/>
      </w:pPr>
      <w:r>
        <w:rPr/>
        <w:t>F.</w:t>
      </w:r>
      <w:r>
        <w:rPr>
          <w:spacing w:val="40"/>
        </w:rPr>
        <w:t> </w:t>
      </w:r>
      <w:r>
        <w:rPr/>
        <w:t>(2023).</w:t>
      </w:r>
      <w:r>
        <w:rPr>
          <w:spacing w:val="43"/>
        </w:rPr>
        <w:t> </w:t>
      </w:r>
      <w:r>
        <w:rPr/>
        <w:t>Calf</w:t>
      </w:r>
      <w:r>
        <w:rPr>
          <w:spacing w:val="45"/>
        </w:rPr>
        <w:t> </w:t>
      </w:r>
      <w:r>
        <w:rPr/>
        <w:t>management</w:t>
      </w:r>
      <w:r>
        <w:rPr>
          <w:spacing w:val="46"/>
        </w:rPr>
        <w:t> </w:t>
      </w:r>
      <w:r>
        <w:rPr/>
        <w:t>and</w:t>
      </w:r>
      <w:r>
        <w:rPr>
          <w:spacing w:val="44"/>
        </w:rPr>
        <w:t> </w:t>
      </w:r>
      <w:r>
        <w:rPr/>
        <w:t>welfare</w:t>
      </w:r>
      <w:r>
        <w:rPr>
          <w:spacing w:val="43"/>
        </w:rPr>
        <w:t> </w:t>
      </w:r>
      <w:r>
        <w:rPr/>
        <w:t>in</w:t>
      </w:r>
      <w:r>
        <w:rPr>
          <w:spacing w:val="47"/>
        </w:rPr>
        <w:t> </w:t>
      </w:r>
      <w:r>
        <w:rPr/>
        <w:t>the</w:t>
      </w:r>
      <w:r>
        <w:rPr>
          <w:spacing w:val="45"/>
        </w:rPr>
        <w:t> </w:t>
      </w:r>
      <w:r>
        <w:rPr/>
        <w:t>Canadian</w:t>
      </w:r>
      <w:r>
        <w:rPr>
          <w:spacing w:val="45"/>
        </w:rPr>
        <w:t> </w:t>
      </w:r>
      <w:r>
        <w:rPr/>
        <w:t>and</w:t>
      </w:r>
      <w:r>
        <w:rPr>
          <w:spacing w:val="47"/>
        </w:rPr>
        <w:t> </w:t>
      </w:r>
      <w:r>
        <w:rPr/>
        <w:t>US</w:t>
      </w:r>
      <w:r>
        <w:rPr>
          <w:spacing w:val="48"/>
        </w:rPr>
        <w:t> </w:t>
      </w:r>
      <w:r>
        <w:rPr>
          <w:spacing w:val="-2"/>
        </w:rPr>
        <w:t>Dairy</w:t>
      </w:r>
    </w:p>
    <w:p>
      <w:pPr>
        <w:pStyle w:val="BodyText"/>
        <w:spacing w:before="143"/>
        <w:ind w:left="0"/>
      </w:pPr>
    </w:p>
    <w:p>
      <w:pPr>
        <w:pStyle w:val="BodyText"/>
        <w:spacing w:line="360" w:lineRule="auto" w:before="1"/>
        <w:ind w:left="1855" w:right="793" w:hanging="720"/>
      </w:pPr>
      <w:r>
        <w:rPr/>
        <w:t>Farinango</w:t>
      </w:r>
      <w:r>
        <w:rPr>
          <w:spacing w:val="-4"/>
        </w:rPr>
        <w:t> </w:t>
      </w:r>
      <w:r>
        <w:rPr/>
        <w:t>Pavon,</w:t>
      </w:r>
      <w:r>
        <w:rPr>
          <w:spacing w:val="-4"/>
        </w:rPr>
        <w:t> </w:t>
      </w:r>
      <w:r>
        <w:rPr/>
        <w:t>A.</w:t>
      </w:r>
      <w:r>
        <w:rPr>
          <w:spacing w:val="-3"/>
        </w:rPr>
        <w:t> </w:t>
      </w:r>
      <w:r>
        <w:rPr/>
        <w:t>L.</w:t>
      </w:r>
      <w:r>
        <w:rPr>
          <w:spacing w:val="-4"/>
        </w:rPr>
        <w:t> </w:t>
      </w:r>
      <w:r>
        <w:rPr/>
        <w:t>(2023).</w:t>
      </w:r>
      <w:r>
        <w:rPr>
          <w:spacing w:val="-4"/>
        </w:rPr>
        <w:t> </w:t>
      </w:r>
      <w:r>
        <w:rPr/>
        <w:t>Modelo</w:t>
      </w:r>
      <w:r>
        <w:rPr>
          <w:spacing w:val="-4"/>
        </w:rPr>
        <w:t> </w:t>
      </w:r>
      <w:r>
        <w:rPr/>
        <w:t>de</w:t>
      </w:r>
      <w:r>
        <w:rPr>
          <w:spacing w:val="-3"/>
        </w:rPr>
        <w:t> </w:t>
      </w:r>
      <w:r>
        <w:rPr/>
        <w:t>gestión</w:t>
      </w:r>
      <w:r>
        <w:rPr>
          <w:spacing w:val="-4"/>
        </w:rPr>
        <w:t> </w:t>
      </w:r>
      <w:r>
        <w:rPr/>
        <w:t>comercial</w:t>
      </w:r>
      <w:r>
        <w:rPr>
          <w:spacing w:val="-4"/>
        </w:rPr>
        <w:t> </w:t>
      </w:r>
      <w:r>
        <w:rPr/>
        <w:t>para</w:t>
      </w:r>
      <w:r>
        <w:rPr>
          <w:spacing w:val="-6"/>
        </w:rPr>
        <w:t> </w:t>
      </w:r>
      <w:r>
        <w:rPr/>
        <w:t>la</w:t>
      </w:r>
      <w:r>
        <w:rPr>
          <w:spacing w:val="-3"/>
        </w:rPr>
        <w:t> </w:t>
      </w:r>
      <w:r>
        <w:rPr/>
        <w:t>crianza, reproducción y venta de animales porcinos en pie.</w:t>
      </w:r>
    </w:p>
    <w:p>
      <w:pPr>
        <w:pStyle w:val="BodyText"/>
        <w:spacing w:before="2"/>
        <w:ind w:left="0"/>
      </w:pPr>
    </w:p>
    <w:p>
      <w:pPr>
        <w:pStyle w:val="BodyText"/>
      </w:pPr>
      <w:r>
        <w:rPr/>
        <w:t>Farmer,</w:t>
      </w:r>
      <w:r>
        <w:rPr>
          <w:spacing w:val="33"/>
        </w:rPr>
        <w:t> </w:t>
      </w:r>
      <w:r>
        <w:rPr/>
        <w:t>T.,</w:t>
      </w:r>
      <w:r>
        <w:rPr>
          <w:spacing w:val="34"/>
        </w:rPr>
        <w:t> </w:t>
      </w:r>
      <w:r>
        <w:rPr/>
        <w:t>Morris,</w:t>
      </w:r>
      <w:r>
        <w:rPr>
          <w:spacing w:val="34"/>
        </w:rPr>
        <w:t> </w:t>
      </w:r>
      <w:r>
        <w:rPr/>
        <w:t>C.,</w:t>
      </w:r>
      <w:r>
        <w:rPr>
          <w:spacing w:val="32"/>
        </w:rPr>
        <w:t> </w:t>
      </w:r>
      <w:r>
        <w:rPr/>
        <w:t>Quigley,</w:t>
      </w:r>
      <w:r>
        <w:rPr>
          <w:spacing w:val="33"/>
        </w:rPr>
        <w:t> </w:t>
      </w:r>
      <w:r>
        <w:rPr/>
        <w:t>R.,</w:t>
      </w:r>
      <w:r>
        <w:rPr>
          <w:spacing w:val="34"/>
        </w:rPr>
        <w:t> </w:t>
      </w:r>
      <w:r>
        <w:rPr/>
        <w:t>Amin,</w:t>
      </w:r>
      <w:r>
        <w:rPr>
          <w:spacing w:val="34"/>
        </w:rPr>
        <w:t> </w:t>
      </w:r>
      <w:r>
        <w:rPr/>
        <w:t>H.,</w:t>
      </w:r>
      <w:r>
        <w:rPr>
          <w:spacing w:val="31"/>
        </w:rPr>
        <w:t> </w:t>
      </w:r>
      <w:r>
        <w:rPr/>
        <w:t>Wongworawat,</w:t>
      </w:r>
      <w:r>
        <w:rPr>
          <w:spacing w:val="34"/>
        </w:rPr>
        <w:t> </w:t>
      </w:r>
      <w:r>
        <w:rPr/>
        <w:t>M.,</w:t>
      </w:r>
      <w:r>
        <w:rPr>
          <w:spacing w:val="34"/>
        </w:rPr>
        <w:t> </w:t>
      </w:r>
      <w:r>
        <w:rPr/>
        <w:t>&amp;</w:t>
      </w:r>
      <w:r>
        <w:rPr>
          <w:spacing w:val="32"/>
        </w:rPr>
        <w:t> </w:t>
      </w:r>
      <w:r>
        <w:rPr/>
        <w:t>Syed,</w:t>
      </w:r>
      <w:r>
        <w:rPr>
          <w:spacing w:val="34"/>
        </w:rPr>
        <w:t> </w:t>
      </w:r>
      <w:r>
        <w:rPr>
          <w:spacing w:val="-5"/>
        </w:rPr>
        <w:t>H.</w:t>
      </w:r>
    </w:p>
    <w:p>
      <w:pPr>
        <w:pStyle w:val="BodyText"/>
        <w:spacing w:after="0"/>
        <w:sectPr>
          <w:pgSz w:w="11900" w:h="16860"/>
          <w:pgMar w:header="0" w:footer="1084" w:top="1620" w:bottom="1280" w:left="1133" w:right="850"/>
        </w:sectPr>
      </w:pPr>
    </w:p>
    <w:p>
      <w:pPr>
        <w:pStyle w:val="BodyText"/>
        <w:spacing w:line="360" w:lineRule="auto" w:before="70"/>
        <w:ind w:left="1855" w:right="849"/>
      </w:pPr>
      <w:r>
        <w:rPr/>
        <w:t>(2022). Chondrotoxicity of Local Anesthetics: Liposomal Bupivacaine Is. Hindawi, 2020(5794187), 1-6.</w:t>
      </w:r>
    </w:p>
    <w:p>
      <w:pPr>
        <w:pStyle w:val="BodyText"/>
        <w:spacing w:before="5"/>
        <w:ind w:left="0"/>
      </w:pPr>
    </w:p>
    <w:p>
      <w:pPr>
        <w:pStyle w:val="BodyText"/>
        <w:spacing w:line="360" w:lineRule="auto"/>
        <w:ind w:left="1855" w:right="840" w:hanging="720"/>
        <w:jc w:val="both"/>
      </w:pPr>
      <w:r>
        <w:rPr/>
        <w:t>Freitas,</w:t>
      </w:r>
      <w:r>
        <w:rPr>
          <w:spacing w:val="-1"/>
        </w:rPr>
        <w:t> </w:t>
      </w:r>
      <w:r>
        <w:rPr/>
        <w:t>F.,</w:t>
      </w:r>
      <w:r>
        <w:rPr>
          <w:spacing w:val="-3"/>
        </w:rPr>
        <w:t> </w:t>
      </w:r>
      <w:r>
        <w:rPr/>
        <w:t>Brandão,</w:t>
      </w:r>
      <w:r>
        <w:rPr>
          <w:spacing w:val="-2"/>
        </w:rPr>
        <w:t> </w:t>
      </w:r>
      <w:r>
        <w:rPr/>
        <w:t>B.,</w:t>
      </w:r>
      <w:r>
        <w:rPr>
          <w:spacing w:val="-1"/>
        </w:rPr>
        <w:t> </w:t>
      </w:r>
      <w:r>
        <w:rPr/>
        <w:t>Damasceno,</w:t>
      </w:r>
      <w:r>
        <w:rPr>
          <w:spacing w:val="-2"/>
        </w:rPr>
        <w:t> </w:t>
      </w:r>
      <w:r>
        <w:rPr/>
        <w:t>J.,</w:t>
      </w:r>
      <w:r>
        <w:rPr>
          <w:spacing w:val="-5"/>
        </w:rPr>
        <w:t> </w:t>
      </w:r>
      <w:r>
        <w:rPr/>
        <w:t>de</w:t>
      </w:r>
      <w:r>
        <w:rPr>
          <w:spacing w:val="-6"/>
        </w:rPr>
        <w:t> </w:t>
      </w:r>
      <w:r>
        <w:rPr/>
        <w:t>Moura,</w:t>
      </w:r>
      <w:r>
        <w:rPr>
          <w:spacing w:val="-1"/>
        </w:rPr>
        <w:t> </w:t>
      </w:r>
      <w:r>
        <w:rPr/>
        <w:t>L.,</w:t>
      </w:r>
      <w:r>
        <w:rPr>
          <w:spacing w:val="-5"/>
        </w:rPr>
        <w:t> </w:t>
      </w:r>
      <w:r>
        <w:rPr/>
        <w:t>Rodrigues,</w:t>
      </w:r>
      <w:r>
        <w:rPr>
          <w:spacing w:val="-4"/>
        </w:rPr>
        <w:t> </w:t>
      </w:r>
      <w:r>
        <w:rPr/>
        <w:t>G.,</w:t>
      </w:r>
      <w:r>
        <w:rPr>
          <w:spacing w:val="-6"/>
        </w:rPr>
        <w:t> </w:t>
      </w:r>
      <w:r>
        <w:rPr/>
        <w:t>Cordeiro,</w:t>
      </w:r>
      <w:r>
        <w:rPr>
          <w:spacing w:val="-3"/>
        </w:rPr>
        <w:t> </w:t>
      </w:r>
      <w:r>
        <w:rPr/>
        <w:t>P., Hempstead, M., Lindquist, T., Shearer, J., Shearer, J., &amp; Shearer. (2020). Acute</w:t>
      </w:r>
      <w:r>
        <w:rPr>
          <w:spacing w:val="-7"/>
        </w:rPr>
        <w:t> </w:t>
      </w:r>
      <w:r>
        <w:rPr/>
        <w:t>cortisol</w:t>
      </w:r>
      <w:r>
        <w:rPr>
          <w:spacing w:val="-6"/>
        </w:rPr>
        <w:t> </w:t>
      </w:r>
      <w:r>
        <w:rPr/>
        <w:t>and</w:t>
      </w:r>
      <w:r>
        <w:rPr>
          <w:spacing w:val="-7"/>
        </w:rPr>
        <w:t> </w:t>
      </w:r>
      <w:r>
        <w:rPr/>
        <w:t>behavior</w:t>
      </w:r>
      <w:r>
        <w:rPr>
          <w:spacing w:val="-8"/>
        </w:rPr>
        <w:t> </w:t>
      </w:r>
      <w:r>
        <w:rPr/>
        <w:t>of</w:t>
      </w:r>
      <w:r>
        <w:rPr>
          <w:spacing w:val="-6"/>
        </w:rPr>
        <w:t> </w:t>
      </w:r>
      <w:r>
        <w:rPr/>
        <w:t>dairy</w:t>
      </w:r>
      <w:r>
        <w:rPr>
          <w:spacing w:val="-11"/>
        </w:rPr>
        <w:t> </w:t>
      </w:r>
      <w:r>
        <w:rPr/>
        <w:t>goat</w:t>
      </w:r>
      <w:r>
        <w:rPr>
          <w:spacing w:val="-6"/>
        </w:rPr>
        <w:t> </w:t>
      </w:r>
      <w:r>
        <w:rPr/>
        <w:t>kid</w:t>
      </w:r>
      <w:r>
        <w:rPr>
          <w:spacing w:val="-6"/>
        </w:rPr>
        <w:t> </w:t>
      </w:r>
      <w:r>
        <w:rPr/>
        <w:t>administered</w:t>
      </w:r>
      <w:r>
        <w:rPr>
          <w:spacing w:val="-7"/>
        </w:rPr>
        <w:t> </w:t>
      </w:r>
      <w:r>
        <w:rPr/>
        <w:t>local</w:t>
      </w:r>
      <w:r>
        <w:rPr>
          <w:spacing w:val="-6"/>
        </w:rPr>
        <w:t> </w:t>
      </w:r>
      <w:r>
        <w:rPr/>
        <w:t>anesthesia, topical anesthesia or systemic analgesia prior to cautery disbuddign. Physiology &amp; Behavior, 222(1), 112942. industries: Where do we ho from here? Journal of Dairy Science, 106(6), 4266-4274.</w:t>
      </w:r>
    </w:p>
    <w:p>
      <w:pPr>
        <w:pStyle w:val="BodyText"/>
        <w:spacing w:before="3"/>
        <w:ind w:left="0"/>
      </w:pPr>
    </w:p>
    <w:p>
      <w:pPr>
        <w:pStyle w:val="BodyText"/>
        <w:spacing w:line="360" w:lineRule="auto" w:before="1"/>
        <w:ind w:left="1855" w:right="845" w:hanging="720"/>
        <w:jc w:val="both"/>
      </w:pPr>
      <w:r>
        <w:rPr/>
        <w:t>J.</w:t>
      </w:r>
      <w:r>
        <w:rPr>
          <w:spacing w:val="-4"/>
        </w:rPr>
        <w:t> </w:t>
      </w:r>
      <w:r>
        <w:rPr/>
        <w:t>(2021).</w:t>
      </w:r>
      <w:r>
        <w:rPr>
          <w:spacing w:val="-4"/>
        </w:rPr>
        <w:t> </w:t>
      </w:r>
      <w:r>
        <w:rPr/>
        <w:t>A</w:t>
      </w:r>
      <w:r>
        <w:rPr>
          <w:spacing w:val="-6"/>
        </w:rPr>
        <w:t> </w:t>
      </w:r>
      <w:r>
        <w:rPr/>
        <w:t>field</w:t>
      </w:r>
      <w:r>
        <w:rPr>
          <w:spacing w:val="-4"/>
        </w:rPr>
        <w:t> </w:t>
      </w:r>
      <w:r>
        <w:rPr/>
        <w:t>trial</w:t>
      </w:r>
      <w:r>
        <w:rPr>
          <w:spacing w:val="-2"/>
        </w:rPr>
        <w:t> </w:t>
      </w:r>
      <w:r>
        <w:rPr/>
        <w:t>comparing</w:t>
      </w:r>
      <w:r>
        <w:rPr>
          <w:spacing w:val="-4"/>
        </w:rPr>
        <w:t> </w:t>
      </w:r>
      <w:r>
        <w:rPr/>
        <w:t>four</w:t>
      </w:r>
      <w:r>
        <w:rPr>
          <w:spacing w:val="-3"/>
        </w:rPr>
        <w:t> </w:t>
      </w:r>
      <w:r>
        <w:rPr/>
        <w:t>oral</w:t>
      </w:r>
      <w:r>
        <w:rPr>
          <w:spacing w:val="-2"/>
        </w:rPr>
        <w:t> </w:t>
      </w:r>
      <w:r>
        <w:rPr/>
        <w:t>nonsteroidal</w:t>
      </w:r>
      <w:r>
        <w:rPr>
          <w:spacing w:val="-4"/>
        </w:rPr>
        <w:t> </w:t>
      </w:r>
      <w:r>
        <w:rPr/>
        <w:t>antiinflammatory</w:t>
      </w:r>
      <w:r>
        <w:rPr>
          <w:spacing w:val="-2"/>
        </w:rPr>
        <w:t> </w:t>
      </w:r>
      <w:r>
        <w:rPr/>
        <w:t>drugs</w:t>
      </w:r>
      <w:r>
        <w:rPr>
          <w:spacing w:val="-9"/>
        </w:rPr>
        <w:t> </w:t>
      </w:r>
      <w:r>
        <w:rPr/>
        <w:t>on </w:t>
      </w:r>
      <w:r>
        <w:rPr>
          <w:spacing w:val="-2"/>
        </w:rPr>
        <w:t>controlling</w:t>
      </w:r>
      <w:r>
        <w:rPr>
          <w:spacing w:val="-13"/>
        </w:rPr>
        <w:t> </w:t>
      </w:r>
      <w:r>
        <w:rPr>
          <w:spacing w:val="-2"/>
        </w:rPr>
        <w:t>cautery</w:t>
      </w:r>
      <w:r>
        <w:rPr>
          <w:spacing w:val="-13"/>
        </w:rPr>
        <w:t> </w:t>
      </w:r>
      <w:r>
        <w:rPr>
          <w:spacing w:val="-2"/>
        </w:rPr>
        <w:t>dehorning</w:t>
      </w:r>
      <w:r>
        <w:rPr>
          <w:spacing w:val="-13"/>
        </w:rPr>
        <w:t> </w:t>
      </w:r>
      <w:r>
        <w:rPr>
          <w:spacing w:val="-2"/>
        </w:rPr>
        <w:t>pain</w:t>
      </w:r>
      <w:r>
        <w:rPr>
          <w:spacing w:val="-13"/>
        </w:rPr>
        <w:t> </w:t>
      </w:r>
      <w:r>
        <w:rPr>
          <w:spacing w:val="-2"/>
        </w:rPr>
        <w:t>and</w:t>
      </w:r>
      <w:r>
        <w:rPr>
          <w:spacing w:val="-7"/>
        </w:rPr>
        <w:t> </w:t>
      </w:r>
      <w:r>
        <w:rPr>
          <w:spacing w:val="-2"/>
        </w:rPr>
        <w:t>stress</w:t>
      </w:r>
      <w:r>
        <w:rPr>
          <w:spacing w:val="-7"/>
        </w:rPr>
        <w:t> </w:t>
      </w:r>
      <w:r>
        <w:rPr>
          <w:spacing w:val="-2"/>
        </w:rPr>
        <w:t>in</w:t>
      </w:r>
      <w:r>
        <w:rPr>
          <w:spacing w:val="-8"/>
        </w:rPr>
        <w:t> </w:t>
      </w:r>
      <w:r>
        <w:rPr>
          <w:spacing w:val="-2"/>
        </w:rPr>
        <w:t>calves.</w:t>
      </w:r>
      <w:r>
        <w:rPr>
          <w:spacing w:val="-7"/>
        </w:rPr>
        <w:t> </w:t>
      </w:r>
      <w:r>
        <w:rPr>
          <w:spacing w:val="-2"/>
        </w:rPr>
        <w:t>Translational</w:t>
      </w:r>
      <w:r>
        <w:rPr>
          <w:spacing w:val="-5"/>
        </w:rPr>
        <w:t> </w:t>
      </w:r>
      <w:r>
        <w:rPr>
          <w:spacing w:val="-2"/>
        </w:rPr>
        <w:t>Animal </w:t>
      </w:r>
      <w:r>
        <w:rPr/>
        <w:t>Science, 5(1), 1-13.</w:t>
      </w:r>
    </w:p>
    <w:p>
      <w:pPr>
        <w:pStyle w:val="BodyText"/>
        <w:spacing w:before="3"/>
        <w:ind w:left="0"/>
      </w:pPr>
    </w:p>
    <w:p>
      <w:pPr>
        <w:pStyle w:val="BodyText"/>
        <w:spacing w:line="360" w:lineRule="auto"/>
        <w:ind w:left="1855" w:right="844" w:hanging="720"/>
        <w:jc w:val="both"/>
      </w:pPr>
      <w:r>
        <w:rPr/>
        <w:t>Johnstone,</w:t>
      </w:r>
      <w:r>
        <w:rPr>
          <w:spacing w:val="-4"/>
        </w:rPr>
        <w:t> </w:t>
      </w:r>
      <w:r>
        <w:rPr/>
        <w:t>C.,</w:t>
      </w:r>
      <w:r>
        <w:rPr>
          <w:spacing w:val="-4"/>
        </w:rPr>
        <w:t> </w:t>
      </w:r>
      <w:r>
        <w:rPr/>
        <w:t>Coetzee,</w:t>
      </w:r>
      <w:r>
        <w:rPr>
          <w:spacing w:val="-4"/>
        </w:rPr>
        <w:t> </w:t>
      </w:r>
      <w:r>
        <w:rPr/>
        <w:t>J.,</w:t>
      </w:r>
      <w:r>
        <w:rPr>
          <w:spacing w:val="-2"/>
        </w:rPr>
        <w:t> </w:t>
      </w:r>
      <w:r>
        <w:rPr/>
        <w:t>Pinedo,</w:t>
      </w:r>
      <w:r>
        <w:rPr>
          <w:spacing w:val="-4"/>
        </w:rPr>
        <w:t> </w:t>
      </w:r>
      <w:r>
        <w:rPr/>
        <w:t>P.,</w:t>
      </w:r>
      <w:r>
        <w:rPr>
          <w:spacing w:val="-4"/>
        </w:rPr>
        <w:t> </w:t>
      </w:r>
      <w:r>
        <w:rPr/>
        <w:t>&amp;</w:t>
      </w:r>
      <w:r>
        <w:rPr>
          <w:spacing w:val="-4"/>
        </w:rPr>
        <w:t> </w:t>
      </w:r>
      <w:r>
        <w:rPr/>
        <w:t>Callaway,</w:t>
      </w:r>
      <w:r>
        <w:rPr>
          <w:spacing w:val="-1"/>
        </w:rPr>
        <w:t> </w:t>
      </w:r>
      <w:r>
        <w:rPr/>
        <w:t>E. (2021).</w:t>
      </w:r>
      <w:r>
        <w:rPr>
          <w:spacing w:val="-2"/>
        </w:rPr>
        <w:t> </w:t>
      </w:r>
      <w:r>
        <w:rPr/>
        <w:t>Current</w:t>
      </w:r>
      <w:r>
        <w:rPr>
          <w:spacing w:val="-1"/>
        </w:rPr>
        <w:t> </w:t>
      </w:r>
      <w:r>
        <w:rPr/>
        <w:t>atttitudes</w:t>
      </w:r>
      <w:r>
        <w:rPr>
          <w:spacing w:val="-1"/>
        </w:rPr>
        <w:t> </w:t>
      </w:r>
      <w:r>
        <w:rPr/>
        <w:t>of </w:t>
      </w:r>
      <w:r>
        <w:rPr>
          <w:spacing w:val="-2"/>
        </w:rPr>
        <w:t>veterinarians</w:t>
      </w:r>
      <w:r>
        <w:rPr>
          <w:spacing w:val="-10"/>
        </w:rPr>
        <w:t> </w:t>
      </w:r>
      <w:r>
        <w:rPr>
          <w:spacing w:val="-2"/>
        </w:rPr>
        <w:t>and</w:t>
      </w:r>
      <w:r>
        <w:rPr>
          <w:spacing w:val="-10"/>
        </w:rPr>
        <w:t> </w:t>
      </w:r>
      <w:r>
        <w:rPr>
          <w:spacing w:val="-2"/>
        </w:rPr>
        <w:t>producers</w:t>
      </w:r>
      <w:r>
        <w:rPr>
          <w:spacing w:val="-13"/>
        </w:rPr>
        <w:t> </w:t>
      </w:r>
      <w:r>
        <w:rPr>
          <w:spacing w:val="-2"/>
        </w:rPr>
        <w:t>regarding</w:t>
      </w:r>
      <w:r>
        <w:rPr>
          <w:spacing w:val="-13"/>
        </w:rPr>
        <w:t> </w:t>
      </w:r>
      <w:r>
        <w:rPr>
          <w:spacing w:val="-2"/>
        </w:rPr>
        <w:t>the</w:t>
      </w:r>
      <w:r>
        <w:rPr>
          <w:spacing w:val="-10"/>
        </w:rPr>
        <w:t> </w:t>
      </w:r>
      <w:r>
        <w:rPr>
          <w:spacing w:val="-2"/>
        </w:rPr>
        <w:t>use</w:t>
      </w:r>
      <w:r>
        <w:rPr>
          <w:spacing w:val="-10"/>
        </w:rPr>
        <w:t> </w:t>
      </w:r>
      <w:r>
        <w:rPr>
          <w:spacing w:val="-2"/>
        </w:rPr>
        <w:t>of</w:t>
      </w:r>
      <w:r>
        <w:rPr>
          <w:spacing w:val="-10"/>
        </w:rPr>
        <w:t> </w:t>
      </w:r>
      <w:r>
        <w:rPr>
          <w:spacing w:val="-2"/>
        </w:rPr>
        <w:t>local</w:t>
      </w:r>
      <w:r>
        <w:rPr>
          <w:spacing w:val="-9"/>
        </w:rPr>
        <w:t> </w:t>
      </w:r>
      <w:r>
        <w:rPr>
          <w:spacing w:val="-2"/>
        </w:rPr>
        <w:t>and</w:t>
      </w:r>
      <w:r>
        <w:rPr>
          <w:spacing w:val="-9"/>
        </w:rPr>
        <w:t> </w:t>
      </w:r>
      <w:r>
        <w:rPr>
          <w:spacing w:val="-2"/>
        </w:rPr>
        <w:t>systemic</w:t>
      </w:r>
      <w:r>
        <w:rPr>
          <w:spacing w:val="-7"/>
        </w:rPr>
        <w:t> </w:t>
      </w:r>
      <w:r>
        <w:rPr>
          <w:spacing w:val="-2"/>
        </w:rPr>
        <w:t>analgesia </w:t>
      </w:r>
      <w:r>
        <w:rPr/>
        <w:t>in beef and dairy cattle in the United States. J. Am. Vet. MEd. Assoc., 258(33405986), 197-209.</w:t>
      </w:r>
    </w:p>
    <w:p>
      <w:pPr>
        <w:pStyle w:val="BodyText"/>
        <w:spacing w:before="5"/>
        <w:ind w:left="0"/>
      </w:pPr>
    </w:p>
    <w:p>
      <w:pPr>
        <w:pStyle w:val="BodyText"/>
        <w:spacing w:line="360" w:lineRule="auto" w:before="1"/>
        <w:ind w:left="1855" w:right="847" w:hanging="720"/>
        <w:jc w:val="both"/>
      </w:pPr>
      <w:r>
        <w:rPr/>
        <w:t>Juffinger, A., Schoiswohl, J., Stanitznig, A., Krametter, R., Wittek, T., &amp; Waiblinger, S. (2021). Mechanical nociceptive threhold, alterations and </w:t>
      </w:r>
      <w:r>
        <w:rPr>
          <w:spacing w:val="-2"/>
        </w:rPr>
        <w:t>horn</w:t>
      </w:r>
      <w:r>
        <w:rPr>
          <w:spacing w:val="-11"/>
        </w:rPr>
        <w:t> </w:t>
      </w:r>
      <w:r>
        <w:rPr>
          <w:spacing w:val="-2"/>
        </w:rPr>
        <w:t>growth</w:t>
      </w:r>
      <w:r>
        <w:rPr>
          <w:spacing w:val="-11"/>
        </w:rPr>
        <w:t> </w:t>
      </w:r>
      <w:r>
        <w:rPr>
          <w:spacing w:val="-2"/>
        </w:rPr>
        <w:t>in</w:t>
      </w:r>
      <w:r>
        <w:rPr>
          <w:spacing w:val="-12"/>
        </w:rPr>
        <w:t> </w:t>
      </w:r>
      <w:r>
        <w:rPr>
          <w:spacing w:val="-2"/>
        </w:rPr>
        <w:t>calves</w:t>
      </w:r>
      <w:r>
        <w:rPr>
          <w:spacing w:val="-12"/>
        </w:rPr>
        <w:t> </w:t>
      </w:r>
      <w:r>
        <w:rPr>
          <w:spacing w:val="-2"/>
        </w:rPr>
        <w:t>after</w:t>
      </w:r>
      <w:r>
        <w:rPr>
          <w:spacing w:val="-13"/>
        </w:rPr>
        <w:t> </w:t>
      </w:r>
      <w:r>
        <w:rPr>
          <w:spacing w:val="-2"/>
        </w:rPr>
        <w:t>injection</w:t>
      </w:r>
      <w:r>
        <w:rPr>
          <w:spacing w:val="-11"/>
        </w:rPr>
        <w:t> </w:t>
      </w:r>
      <w:r>
        <w:rPr>
          <w:spacing w:val="-2"/>
        </w:rPr>
        <w:t>of</w:t>
      </w:r>
      <w:r>
        <w:rPr>
          <w:spacing w:val="-12"/>
        </w:rPr>
        <w:t> </w:t>
      </w:r>
      <w:r>
        <w:rPr>
          <w:spacing w:val="-2"/>
        </w:rPr>
        <w:t>isoeugenol</w:t>
      </w:r>
      <w:r>
        <w:rPr>
          <w:spacing w:val="-11"/>
        </w:rPr>
        <w:t> </w:t>
      </w:r>
      <w:r>
        <w:rPr>
          <w:spacing w:val="-2"/>
        </w:rPr>
        <w:t>or</w:t>
      </w:r>
      <w:r>
        <w:rPr>
          <w:spacing w:val="-13"/>
        </w:rPr>
        <w:t> </w:t>
      </w:r>
      <w:r>
        <w:rPr>
          <w:spacing w:val="-2"/>
        </w:rPr>
        <w:t>clove</w:t>
      </w:r>
      <w:r>
        <w:rPr>
          <w:spacing w:val="-13"/>
        </w:rPr>
        <w:t> </w:t>
      </w:r>
      <w:r>
        <w:rPr>
          <w:spacing w:val="-2"/>
        </w:rPr>
        <w:t>oil</w:t>
      </w:r>
      <w:r>
        <w:rPr>
          <w:spacing w:val="-11"/>
        </w:rPr>
        <w:t> </w:t>
      </w:r>
      <w:r>
        <w:rPr>
          <w:spacing w:val="-2"/>
        </w:rPr>
        <w:t>under</w:t>
      </w:r>
      <w:r>
        <w:rPr>
          <w:spacing w:val="-13"/>
        </w:rPr>
        <w:t> </w:t>
      </w:r>
      <w:r>
        <w:rPr>
          <w:spacing w:val="-2"/>
        </w:rPr>
        <w:t>the</w:t>
      </w:r>
      <w:r>
        <w:rPr>
          <w:spacing w:val="-13"/>
        </w:rPr>
        <w:t> </w:t>
      </w:r>
      <w:r>
        <w:rPr>
          <w:spacing w:val="-2"/>
        </w:rPr>
        <w:t>horn </w:t>
      </w:r>
      <w:r>
        <w:rPr/>
        <w:t>bud. Animals, 11(3), 828.</w:t>
      </w:r>
    </w:p>
    <w:p>
      <w:pPr>
        <w:pStyle w:val="BodyText"/>
        <w:spacing w:before="4"/>
        <w:ind w:left="0"/>
      </w:pPr>
    </w:p>
    <w:p>
      <w:pPr>
        <w:pStyle w:val="BodyText"/>
        <w:spacing w:line="360" w:lineRule="auto" w:before="1"/>
        <w:ind w:left="1855" w:right="845" w:hanging="720"/>
        <w:jc w:val="both"/>
      </w:pPr>
      <w:r>
        <w:rPr/>
        <w:t>Kleinhenz, M., Curtis, A., Weeder, M., Johnson, B., Springfield, D., Lou, M., . . . </w:t>
      </w:r>
      <w:r>
        <w:rPr>
          <w:spacing w:val="-2"/>
        </w:rPr>
        <w:t>Coetzee,</w:t>
      </w:r>
      <w:r>
        <w:rPr>
          <w:spacing w:val="-5"/>
        </w:rPr>
        <w:t> </w:t>
      </w:r>
      <w:r>
        <w:rPr>
          <w:spacing w:val="-2"/>
        </w:rPr>
        <w:t>J.</w:t>
      </w:r>
      <w:r>
        <w:rPr>
          <w:spacing w:val="-7"/>
        </w:rPr>
        <w:t> </w:t>
      </w:r>
      <w:r>
        <w:rPr>
          <w:spacing w:val="-2"/>
        </w:rPr>
        <w:t>(2021).</w:t>
      </w:r>
      <w:r>
        <w:rPr>
          <w:spacing w:val="-5"/>
        </w:rPr>
        <w:t> </w:t>
      </w:r>
      <w:r>
        <w:rPr>
          <w:spacing w:val="-2"/>
        </w:rPr>
        <w:t>Evaluation</w:t>
      </w:r>
      <w:r>
        <w:rPr>
          <w:spacing w:val="-5"/>
        </w:rPr>
        <w:t> </w:t>
      </w:r>
      <w:r>
        <w:rPr>
          <w:spacing w:val="-2"/>
        </w:rPr>
        <w:t>of</w:t>
      </w:r>
      <w:r>
        <w:rPr>
          <w:spacing w:val="-5"/>
        </w:rPr>
        <w:t> </w:t>
      </w:r>
      <w:r>
        <w:rPr>
          <w:spacing w:val="-2"/>
        </w:rPr>
        <w:t>carbon</w:t>
      </w:r>
      <w:r>
        <w:rPr>
          <w:spacing w:val="-8"/>
        </w:rPr>
        <w:t> </w:t>
      </w:r>
      <w:r>
        <w:rPr>
          <w:spacing w:val="-2"/>
        </w:rPr>
        <w:t>dioxide</w:t>
      </w:r>
      <w:r>
        <w:rPr>
          <w:spacing w:val="-7"/>
        </w:rPr>
        <w:t> </w:t>
      </w:r>
      <w:r>
        <w:rPr>
          <w:spacing w:val="-2"/>
        </w:rPr>
        <w:t>laser</w:t>
      </w:r>
      <w:r>
        <w:rPr>
          <w:spacing w:val="-8"/>
        </w:rPr>
        <w:t> </w:t>
      </w:r>
      <w:r>
        <w:rPr>
          <w:spacing w:val="-2"/>
        </w:rPr>
        <w:t>scalpel</w:t>
      </w:r>
      <w:r>
        <w:rPr>
          <w:spacing w:val="-3"/>
        </w:rPr>
        <w:t> </w:t>
      </w:r>
      <w:r>
        <w:rPr>
          <w:spacing w:val="-2"/>
        </w:rPr>
        <w:t>for</w:t>
      </w:r>
      <w:r>
        <w:rPr>
          <w:spacing w:val="-5"/>
        </w:rPr>
        <w:t> </w:t>
      </w:r>
      <w:r>
        <w:rPr>
          <w:spacing w:val="-2"/>
        </w:rPr>
        <w:t>disbudding </w:t>
      </w:r>
      <w:r>
        <w:rPr/>
        <w:t>Holstein calves: A pilot study. JDS Communications, 2(4), 223-226.</w:t>
      </w:r>
    </w:p>
    <w:p>
      <w:pPr>
        <w:pStyle w:val="BodyText"/>
        <w:spacing w:before="4"/>
        <w:ind w:left="0"/>
      </w:pPr>
    </w:p>
    <w:p>
      <w:pPr>
        <w:pStyle w:val="BodyText"/>
        <w:spacing w:line="360" w:lineRule="auto"/>
        <w:ind w:left="1855" w:right="846" w:hanging="720"/>
        <w:jc w:val="both"/>
      </w:pPr>
      <w:r>
        <w:rPr/>
        <w:t>Knauer, W., Barrel, E., Guedes, A., &amp; Ventuira, B. (2023). Effects of multimodal pain</w:t>
      </w:r>
      <w:r>
        <w:rPr>
          <w:spacing w:val="-11"/>
        </w:rPr>
        <w:t> </w:t>
      </w:r>
      <w:r>
        <w:rPr/>
        <w:t>management</w:t>
      </w:r>
      <w:r>
        <w:rPr>
          <w:spacing w:val="-11"/>
        </w:rPr>
        <w:t> </w:t>
      </w:r>
      <w:r>
        <w:rPr/>
        <w:t>strategies</w:t>
      </w:r>
      <w:r>
        <w:rPr>
          <w:spacing w:val="-11"/>
        </w:rPr>
        <w:t> </w:t>
      </w:r>
      <w:r>
        <w:rPr/>
        <w:t>on</w:t>
      </w:r>
      <w:r>
        <w:rPr>
          <w:spacing w:val="-12"/>
        </w:rPr>
        <w:t> </w:t>
      </w:r>
      <w:r>
        <w:rPr/>
        <w:t>acute</w:t>
      </w:r>
      <w:r>
        <w:rPr>
          <w:spacing w:val="-12"/>
        </w:rPr>
        <w:t> </w:t>
      </w:r>
      <w:r>
        <w:rPr/>
        <w:t>physiological</w:t>
      </w:r>
      <w:r>
        <w:rPr>
          <w:spacing w:val="-10"/>
        </w:rPr>
        <w:t> </w:t>
      </w:r>
      <w:r>
        <w:rPr/>
        <w:t>and</w:t>
      </w:r>
      <w:r>
        <w:rPr>
          <w:spacing w:val="-12"/>
        </w:rPr>
        <w:t> </w:t>
      </w:r>
      <w:r>
        <w:rPr/>
        <w:t>behavioral</w:t>
      </w:r>
      <w:r>
        <w:rPr>
          <w:spacing w:val="-11"/>
        </w:rPr>
        <w:t> </w:t>
      </w:r>
      <w:r>
        <w:rPr/>
        <w:t>response to</w:t>
      </w:r>
      <w:r>
        <w:rPr>
          <w:spacing w:val="-15"/>
        </w:rPr>
        <w:t> </w:t>
      </w:r>
      <w:r>
        <w:rPr/>
        <w:t>cautery</w:t>
      </w:r>
      <w:r>
        <w:rPr>
          <w:spacing w:val="-15"/>
        </w:rPr>
        <w:t> </w:t>
      </w:r>
      <w:r>
        <w:rPr/>
        <w:t>disbudding</w:t>
      </w:r>
      <w:r>
        <w:rPr>
          <w:spacing w:val="-15"/>
        </w:rPr>
        <w:t> </w:t>
      </w:r>
      <w:r>
        <w:rPr/>
        <w:t>in</w:t>
      </w:r>
      <w:r>
        <w:rPr>
          <w:spacing w:val="-15"/>
        </w:rPr>
        <w:t> </w:t>
      </w:r>
      <w:r>
        <w:rPr/>
        <w:t>neonatal</w:t>
      </w:r>
      <w:r>
        <w:rPr>
          <w:spacing w:val="-15"/>
        </w:rPr>
        <w:t> </w:t>
      </w:r>
      <w:r>
        <w:rPr/>
        <w:t>goat</w:t>
      </w:r>
      <w:r>
        <w:rPr>
          <w:spacing w:val="-15"/>
        </w:rPr>
        <w:t> </w:t>
      </w:r>
      <w:r>
        <w:rPr/>
        <w:t>kids.</w:t>
      </w:r>
      <w:r>
        <w:rPr>
          <w:spacing w:val="-15"/>
        </w:rPr>
        <w:t> </w:t>
      </w:r>
      <w:r>
        <w:rPr/>
        <w:t>Journal</w:t>
      </w:r>
      <w:r>
        <w:rPr>
          <w:spacing w:val="-15"/>
        </w:rPr>
        <w:t> </w:t>
      </w:r>
      <w:r>
        <w:rPr/>
        <w:t>of</w:t>
      </w:r>
      <w:r>
        <w:rPr>
          <w:spacing w:val="-15"/>
        </w:rPr>
        <w:t> </w:t>
      </w:r>
      <w:r>
        <w:rPr/>
        <w:t>dairy</w:t>
      </w:r>
      <w:r>
        <w:rPr>
          <w:spacing w:val="-15"/>
        </w:rPr>
        <w:t> </w:t>
      </w:r>
      <w:r>
        <w:rPr/>
        <w:t>science,</w:t>
      </w:r>
      <w:r>
        <w:rPr>
          <w:spacing w:val="-15"/>
        </w:rPr>
        <w:t> </w:t>
      </w:r>
      <w:r>
        <w:rPr/>
        <w:t>106(4), </w:t>
      </w:r>
      <w:r>
        <w:rPr>
          <w:spacing w:val="-2"/>
        </w:rPr>
        <w:t>2830-2845.</w:t>
      </w:r>
    </w:p>
    <w:p>
      <w:pPr>
        <w:pStyle w:val="BodyText"/>
        <w:spacing w:before="2"/>
        <w:ind w:left="0"/>
      </w:pPr>
    </w:p>
    <w:p>
      <w:pPr>
        <w:pStyle w:val="BodyText"/>
        <w:spacing w:line="360" w:lineRule="auto" w:before="1"/>
        <w:ind w:left="1855" w:right="846" w:hanging="720"/>
        <w:jc w:val="both"/>
      </w:pPr>
      <w:r>
        <w:rPr/>
        <w:t>Kretschmann, J., Früchtl, L., Fischer, M., Kaiser, M., Müller, H., Spilke, J., . . . </w:t>
      </w:r>
      <w:r>
        <w:rPr>
          <w:spacing w:val="-2"/>
        </w:rPr>
        <w:t>Starke,</w:t>
      </w:r>
      <w:r>
        <w:rPr>
          <w:spacing w:val="-7"/>
        </w:rPr>
        <w:t> </w:t>
      </w:r>
      <w:r>
        <w:rPr>
          <w:spacing w:val="-2"/>
        </w:rPr>
        <w:t>A.</w:t>
      </w:r>
      <w:r>
        <w:rPr>
          <w:spacing w:val="-7"/>
        </w:rPr>
        <w:t> </w:t>
      </w:r>
      <w:r>
        <w:rPr>
          <w:spacing w:val="-2"/>
        </w:rPr>
        <w:t>(2021).</w:t>
      </w:r>
      <w:r>
        <w:rPr>
          <w:spacing w:val="-8"/>
        </w:rPr>
        <w:t> </w:t>
      </w:r>
      <w:r>
        <w:rPr>
          <w:spacing w:val="-2"/>
        </w:rPr>
        <w:t>Effect</w:t>
      </w:r>
      <w:r>
        <w:rPr>
          <w:spacing w:val="-1"/>
        </w:rPr>
        <w:t> </w:t>
      </w:r>
      <w:r>
        <w:rPr>
          <w:spacing w:val="-2"/>
        </w:rPr>
        <w:t>of</w:t>
      </w:r>
      <w:r>
        <w:rPr>
          <w:spacing w:val="-9"/>
        </w:rPr>
        <w:t> </w:t>
      </w:r>
      <w:r>
        <w:rPr>
          <w:spacing w:val="-2"/>
        </w:rPr>
        <w:t>a</w:t>
      </w:r>
      <w:r>
        <w:rPr>
          <w:spacing w:val="-8"/>
        </w:rPr>
        <w:t> </w:t>
      </w:r>
      <w:r>
        <w:rPr>
          <w:spacing w:val="-2"/>
        </w:rPr>
        <w:t>multimodal</w:t>
      </w:r>
      <w:r>
        <w:rPr>
          <w:spacing w:val="-6"/>
        </w:rPr>
        <w:t> </w:t>
      </w:r>
      <w:r>
        <w:rPr>
          <w:spacing w:val="-2"/>
        </w:rPr>
        <w:t>pain</w:t>
      </w:r>
      <w:r>
        <w:rPr>
          <w:spacing w:val="-8"/>
        </w:rPr>
        <w:t> </w:t>
      </w:r>
      <w:r>
        <w:rPr>
          <w:spacing w:val="-2"/>
        </w:rPr>
        <w:t>management</w:t>
      </w:r>
      <w:r>
        <w:rPr>
          <w:spacing w:val="-6"/>
        </w:rPr>
        <w:t> </w:t>
      </w:r>
      <w:r>
        <w:rPr>
          <w:spacing w:val="-2"/>
        </w:rPr>
        <w:t>protocol</w:t>
      </w:r>
      <w:r>
        <w:rPr>
          <w:spacing w:val="-1"/>
        </w:rPr>
        <w:t> </w:t>
      </w:r>
      <w:r>
        <w:rPr>
          <w:spacing w:val="-2"/>
        </w:rPr>
        <w:t>and</w:t>
      </w:r>
      <w:r>
        <w:rPr>
          <w:spacing w:val="-4"/>
        </w:rPr>
        <w:t> </w:t>
      </w:r>
      <w:r>
        <w:rPr>
          <w:spacing w:val="-5"/>
        </w:rPr>
        <w:t>age</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left="1855" w:right="849"/>
      </w:pPr>
      <w:r>
        <w:rPr/>
        <w:t>on</w:t>
      </w:r>
      <w:r>
        <w:rPr>
          <w:spacing w:val="38"/>
        </w:rPr>
        <w:t> </w:t>
      </w:r>
      <w:r>
        <w:rPr/>
        <w:t>wound</w:t>
      </w:r>
      <w:r>
        <w:rPr>
          <w:spacing w:val="38"/>
        </w:rPr>
        <w:t> </w:t>
      </w:r>
      <w:r>
        <w:rPr/>
        <w:t>healing</w:t>
      </w:r>
      <w:r>
        <w:rPr>
          <w:spacing w:val="38"/>
        </w:rPr>
        <w:t> </w:t>
      </w:r>
      <w:r>
        <w:rPr/>
        <w:t>after</w:t>
      </w:r>
      <w:r>
        <w:rPr>
          <w:spacing w:val="40"/>
        </w:rPr>
        <w:t> </w:t>
      </w:r>
      <w:r>
        <w:rPr/>
        <w:t>thermal</w:t>
      </w:r>
      <w:r>
        <w:rPr>
          <w:spacing w:val="38"/>
        </w:rPr>
        <w:t> </w:t>
      </w:r>
      <w:r>
        <w:rPr/>
        <w:t>disbudding</w:t>
      </w:r>
      <w:r>
        <w:rPr>
          <w:spacing w:val="37"/>
        </w:rPr>
        <w:t> </w:t>
      </w:r>
      <w:r>
        <w:rPr/>
        <w:t>of</w:t>
      </w:r>
      <w:r>
        <w:rPr>
          <w:spacing w:val="38"/>
        </w:rPr>
        <w:t> </w:t>
      </w:r>
      <w:r>
        <w:rPr/>
        <w:t>female</w:t>
      </w:r>
      <w:r>
        <w:rPr>
          <w:spacing w:val="38"/>
        </w:rPr>
        <w:t> </w:t>
      </w:r>
      <w:r>
        <w:rPr/>
        <w:t>German</w:t>
      </w:r>
      <w:r>
        <w:rPr>
          <w:spacing w:val="38"/>
        </w:rPr>
        <w:t> </w:t>
      </w:r>
      <w:r>
        <w:rPr/>
        <w:t>Holstein calves. Schweiz Arch Tierheilkd, 163(12), 836-850.</w:t>
      </w:r>
    </w:p>
    <w:p>
      <w:pPr>
        <w:pStyle w:val="BodyText"/>
        <w:spacing w:before="5"/>
        <w:ind w:left="0"/>
      </w:pPr>
    </w:p>
    <w:p>
      <w:pPr>
        <w:pStyle w:val="BodyText"/>
        <w:spacing w:line="360" w:lineRule="auto"/>
        <w:ind w:left="1855" w:right="843" w:hanging="720"/>
        <w:jc w:val="both"/>
      </w:pPr>
      <w:r>
        <w:rPr/>
        <w:t>Lomillo, J., &amp; Alonso, M. (2020). Analysis of the integrity of the fighting bull's horn: official and complementary methods. CES, Medicina Veterinaria y Zootecnia, 15(1), 44-62.</w:t>
      </w:r>
    </w:p>
    <w:p>
      <w:pPr>
        <w:pStyle w:val="BodyText"/>
        <w:spacing w:before="4"/>
        <w:ind w:left="0"/>
      </w:pPr>
    </w:p>
    <w:p>
      <w:pPr>
        <w:pStyle w:val="BodyText"/>
        <w:spacing w:line="360" w:lineRule="auto"/>
        <w:ind w:left="1855" w:right="848" w:hanging="720"/>
        <w:jc w:val="both"/>
      </w:pPr>
      <w:r>
        <w:rPr/>
        <w:t>Lopez, M., Rocha, V., Anderson, S., Esteves, E., Leidig, M., Messenger, K., . . . Pairis, M. (2023). Efficacy of inguinal buffered lidocaine and intranasal nicnixin meglumine on mitigating physiological and behavioral responses to pain in castrated piglets. Frontiers in Pain Research, 4, 1-10.</w:t>
      </w:r>
    </w:p>
    <w:p>
      <w:pPr>
        <w:pStyle w:val="BodyText"/>
        <w:spacing w:before="3"/>
        <w:ind w:left="0"/>
      </w:pPr>
    </w:p>
    <w:p>
      <w:pPr>
        <w:pStyle w:val="BodyText"/>
        <w:spacing w:line="360" w:lineRule="auto"/>
        <w:ind w:left="1855" w:right="793" w:hanging="720"/>
      </w:pPr>
      <w:r>
        <w:rPr>
          <w:spacing w:val="-2"/>
        </w:rPr>
        <w:t>M.</w:t>
      </w:r>
      <w:r>
        <w:rPr>
          <w:spacing w:val="-6"/>
        </w:rPr>
        <w:t> </w:t>
      </w:r>
      <w:r>
        <w:rPr>
          <w:spacing w:val="-2"/>
        </w:rPr>
        <w:t>(2020).</w:t>
      </w:r>
      <w:r>
        <w:rPr>
          <w:spacing w:val="-7"/>
        </w:rPr>
        <w:t> </w:t>
      </w:r>
      <w:r>
        <w:rPr>
          <w:spacing w:val="-2"/>
        </w:rPr>
        <w:t>A</w:t>
      </w:r>
      <w:r>
        <w:rPr>
          <w:spacing w:val="-6"/>
        </w:rPr>
        <w:t> </w:t>
      </w:r>
      <w:r>
        <w:rPr>
          <w:spacing w:val="-2"/>
        </w:rPr>
        <w:t>novel</w:t>
      </w:r>
      <w:r>
        <w:rPr>
          <w:spacing w:val="-4"/>
        </w:rPr>
        <w:t> </w:t>
      </w:r>
      <w:r>
        <w:rPr>
          <w:spacing w:val="-2"/>
        </w:rPr>
        <w:t>transdermal</w:t>
      </w:r>
      <w:r>
        <w:rPr>
          <w:spacing w:val="-4"/>
        </w:rPr>
        <w:t> </w:t>
      </w:r>
      <w:r>
        <w:rPr>
          <w:spacing w:val="-2"/>
        </w:rPr>
        <w:t>ketoprofen</w:t>
      </w:r>
      <w:r>
        <w:rPr>
          <w:spacing w:val="-6"/>
        </w:rPr>
        <w:t> </w:t>
      </w:r>
      <w:r>
        <w:rPr>
          <w:spacing w:val="-2"/>
        </w:rPr>
        <w:t>formulation</w:t>
      </w:r>
      <w:r>
        <w:rPr>
          <w:spacing w:val="-6"/>
        </w:rPr>
        <w:t> </w:t>
      </w:r>
      <w:r>
        <w:rPr>
          <w:spacing w:val="-2"/>
        </w:rPr>
        <w:t>provides</w:t>
      </w:r>
      <w:r>
        <w:rPr>
          <w:spacing w:val="-6"/>
        </w:rPr>
        <w:t> </w:t>
      </w:r>
      <w:r>
        <w:rPr>
          <w:spacing w:val="-2"/>
        </w:rPr>
        <w:t>effective analgesia </w:t>
      </w:r>
      <w:r>
        <w:rPr/>
        <w:t>to calves undergoing</w:t>
      </w:r>
      <w:r>
        <w:rPr>
          <w:spacing w:val="-1"/>
        </w:rPr>
        <w:t> </w:t>
      </w:r>
      <w:r>
        <w:rPr/>
        <w:t>amputation dehorning. Animals, 10(12), 2442.</w:t>
      </w:r>
    </w:p>
    <w:p>
      <w:pPr>
        <w:pStyle w:val="BodyText"/>
        <w:spacing w:before="5"/>
        <w:ind w:left="0"/>
      </w:pPr>
    </w:p>
    <w:p>
      <w:pPr>
        <w:pStyle w:val="BodyText"/>
        <w:spacing w:line="360" w:lineRule="auto"/>
        <w:ind w:left="1855" w:right="845" w:hanging="720"/>
        <w:jc w:val="both"/>
      </w:pPr>
      <w:r>
        <w:rPr/>
        <w:t>Marca,</w:t>
      </w:r>
      <w:r>
        <w:rPr>
          <w:spacing w:val="-13"/>
        </w:rPr>
        <w:t> </w:t>
      </w:r>
      <w:r>
        <w:rPr/>
        <w:t>W.,</w:t>
      </w:r>
      <w:r>
        <w:rPr>
          <w:spacing w:val="-8"/>
        </w:rPr>
        <w:t> </w:t>
      </w:r>
      <w:r>
        <w:rPr/>
        <w:t>&amp;</w:t>
      </w:r>
      <w:r>
        <w:rPr>
          <w:spacing w:val="-10"/>
        </w:rPr>
        <w:t> </w:t>
      </w:r>
      <w:r>
        <w:rPr/>
        <w:t>Alvino,</w:t>
      </w:r>
      <w:r>
        <w:rPr>
          <w:spacing w:val="-10"/>
        </w:rPr>
        <w:t> </w:t>
      </w:r>
      <w:r>
        <w:rPr/>
        <w:t>J.</w:t>
      </w:r>
      <w:r>
        <w:rPr>
          <w:spacing w:val="-11"/>
        </w:rPr>
        <w:t> </w:t>
      </w:r>
      <w:r>
        <w:rPr/>
        <w:t>(2024).</w:t>
      </w:r>
      <w:r>
        <w:rPr>
          <w:spacing w:val="-10"/>
        </w:rPr>
        <w:t> </w:t>
      </w:r>
      <w:r>
        <w:rPr/>
        <w:t>Efectos y</w:t>
      </w:r>
      <w:r>
        <w:rPr>
          <w:spacing w:val="-15"/>
        </w:rPr>
        <w:t> </w:t>
      </w:r>
      <w:r>
        <w:rPr/>
        <w:t>medidas</w:t>
      </w:r>
      <w:r>
        <w:rPr>
          <w:spacing w:val="-4"/>
        </w:rPr>
        <w:t> </w:t>
      </w:r>
      <w:r>
        <w:rPr/>
        <w:t>adaptativas</w:t>
      </w:r>
      <w:r>
        <w:rPr>
          <w:spacing w:val="-10"/>
        </w:rPr>
        <w:t> </w:t>
      </w:r>
      <w:r>
        <w:rPr/>
        <w:t>al</w:t>
      </w:r>
      <w:r>
        <w:rPr>
          <w:spacing w:val="-8"/>
        </w:rPr>
        <w:t> </w:t>
      </w:r>
      <w:r>
        <w:rPr/>
        <w:t>cambio</w:t>
      </w:r>
      <w:r>
        <w:rPr>
          <w:spacing w:val="-8"/>
        </w:rPr>
        <w:t> </w:t>
      </w:r>
      <w:r>
        <w:rPr/>
        <w:t>climático en sistemas agropecuarios del Altiplano: Revisión de literatura. Horizonte Académico, 4(2), 221-249.</w:t>
      </w:r>
    </w:p>
    <w:p>
      <w:pPr>
        <w:pStyle w:val="BodyText"/>
        <w:spacing w:before="4"/>
        <w:ind w:left="0"/>
      </w:pPr>
    </w:p>
    <w:p>
      <w:pPr>
        <w:pStyle w:val="BodyText"/>
        <w:spacing w:line="360" w:lineRule="auto"/>
        <w:ind w:left="1855" w:right="847" w:hanging="720"/>
        <w:jc w:val="both"/>
      </w:pPr>
      <w:r>
        <w:rPr/>
        <w:t>Marquette,</w:t>
      </w:r>
      <w:r>
        <w:rPr>
          <w:spacing w:val="-14"/>
        </w:rPr>
        <w:t> </w:t>
      </w:r>
      <w:r>
        <w:rPr/>
        <w:t>G.</w:t>
      </w:r>
      <w:r>
        <w:rPr>
          <w:spacing w:val="-15"/>
        </w:rPr>
        <w:t> </w:t>
      </w:r>
      <w:r>
        <w:rPr/>
        <w:t>A.,</w:t>
      </w:r>
      <w:r>
        <w:rPr>
          <w:spacing w:val="-15"/>
        </w:rPr>
        <w:t> </w:t>
      </w:r>
      <w:r>
        <w:rPr/>
        <w:t>Ronan,</w:t>
      </w:r>
      <w:r>
        <w:rPr>
          <w:spacing w:val="-12"/>
        </w:rPr>
        <w:t> </w:t>
      </w:r>
      <w:r>
        <w:rPr/>
        <w:t>S.,</w:t>
      </w:r>
      <w:r>
        <w:rPr>
          <w:spacing w:val="-14"/>
        </w:rPr>
        <w:t> </w:t>
      </w:r>
      <w:r>
        <w:rPr/>
        <w:t>&amp;</w:t>
      </w:r>
      <w:r>
        <w:rPr>
          <w:spacing w:val="-15"/>
        </w:rPr>
        <w:t> </w:t>
      </w:r>
      <w:r>
        <w:rPr/>
        <w:t>Earley,</w:t>
      </w:r>
      <w:r>
        <w:rPr>
          <w:spacing w:val="-12"/>
        </w:rPr>
        <w:t> </w:t>
      </w:r>
      <w:r>
        <w:rPr/>
        <w:t>B.</w:t>
      </w:r>
      <w:r>
        <w:rPr>
          <w:spacing w:val="-14"/>
        </w:rPr>
        <w:t> </w:t>
      </w:r>
      <w:r>
        <w:rPr/>
        <w:t>(2023).</w:t>
      </w:r>
      <w:r>
        <w:rPr>
          <w:spacing w:val="-12"/>
        </w:rPr>
        <w:t> </w:t>
      </w:r>
      <w:r>
        <w:rPr/>
        <w:t>Calf</w:t>
      </w:r>
      <w:r>
        <w:rPr>
          <w:spacing w:val="-14"/>
        </w:rPr>
        <w:t> </w:t>
      </w:r>
      <w:r>
        <w:rPr/>
        <w:t>disbudding</w:t>
      </w:r>
      <w:r>
        <w:rPr>
          <w:spacing w:val="-12"/>
        </w:rPr>
        <w:t> </w:t>
      </w:r>
      <w:r>
        <w:rPr/>
        <w:t>–</w:t>
      </w:r>
      <w:r>
        <w:rPr>
          <w:spacing w:val="-14"/>
        </w:rPr>
        <w:t> </w:t>
      </w:r>
      <w:r>
        <w:rPr/>
        <w:t>animal</w:t>
      </w:r>
      <w:r>
        <w:rPr>
          <w:spacing w:val="-11"/>
        </w:rPr>
        <w:t> </w:t>
      </w:r>
      <w:r>
        <w:rPr/>
        <w:t>welfare considerations. Journal of Applied Animal Research, 51(1), 616-623. </w:t>
      </w:r>
      <w:hyperlink r:id="rId31">
        <w:r>
          <w:rPr>
            <w:color w:val="0000FF"/>
            <w:spacing w:val="-2"/>
            <w:u w:val="single" w:color="0000FF"/>
          </w:rPr>
          <w:t>https://doi.org/10.1080/09712119.2023.2264912</w:t>
        </w:r>
      </w:hyperlink>
    </w:p>
    <w:p>
      <w:pPr>
        <w:pStyle w:val="BodyText"/>
        <w:spacing w:before="4"/>
        <w:ind w:left="0"/>
      </w:pPr>
    </w:p>
    <w:p>
      <w:pPr>
        <w:pStyle w:val="BodyText"/>
        <w:spacing w:line="360" w:lineRule="auto"/>
        <w:ind w:left="1855" w:right="849" w:hanging="720"/>
        <w:jc w:val="both"/>
      </w:pPr>
      <w:r>
        <w:rPr/>
        <w:t>Marquette, G., McGee, M., Fisher , A., Stanger, K., Argüello, A., &amp; Earley, B. (2021). Horn bud size of dairy-bred and suckler-bred calves at time of disbudding. Irish Veterinary Journal, 74(1), 17.</w:t>
      </w:r>
    </w:p>
    <w:p>
      <w:pPr>
        <w:pStyle w:val="BodyText"/>
        <w:spacing w:before="4"/>
        <w:ind w:left="0"/>
      </w:pPr>
    </w:p>
    <w:p>
      <w:pPr>
        <w:pStyle w:val="BodyText"/>
        <w:spacing w:line="360" w:lineRule="auto"/>
        <w:ind w:left="1855" w:right="847" w:hanging="720"/>
        <w:jc w:val="both"/>
      </w:pPr>
      <w:r>
        <w:rPr/>
        <w:t>Marquette, G., Ronan, S., &amp; Earley, B. (2022). Calf Disbudding - animal welfare considerations. Journal of Applied Animal Research, 616-623.</w:t>
      </w:r>
    </w:p>
    <w:p>
      <w:pPr>
        <w:pStyle w:val="BodyText"/>
        <w:spacing w:before="5"/>
        <w:ind w:left="0"/>
      </w:pPr>
    </w:p>
    <w:p>
      <w:pPr>
        <w:pStyle w:val="BodyText"/>
      </w:pPr>
      <w:r>
        <w:rPr/>
        <w:t>Martin,</w:t>
      </w:r>
      <w:r>
        <w:rPr>
          <w:spacing w:val="1"/>
        </w:rPr>
        <w:t> </w:t>
      </w:r>
      <w:r>
        <w:rPr/>
        <w:t>M.,</w:t>
      </w:r>
      <w:r>
        <w:rPr>
          <w:spacing w:val="1"/>
        </w:rPr>
        <w:t> </w:t>
      </w:r>
      <w:r>
        <w:rPr/>
        <w:t>Kleinhenz,</w:t>
      </w:r>
      <w:r>
        <w:rPr>
          <w:spacing w:val="2"/>
        </w:rPr>
        <w:t> </w:t>
      </w:r>
      <w:r>
        <w:rPr/>
        <w:t>M.,</w:t>
      </w:r>
      <w:r>
        <w:rPr>
          <w:spacing w:val="1"/>
        </w:rPr>
        <w:t> </w:t>
      </w:r>
      <w:r>
        <w:rPr/>
        <w:t>Viscardi,</w:t>
      </w:r>
      <w:r>
        <w:rPr>
          <w:spacing w:val="1"/>
        </w:rPr>
        <w:t> </w:t>
      </w:r>
      <w:r>
        <w:rPr/>
        <w:t>A.,</w:t>
      </w:r>
      <w:r>
        <w:rPr>
          <w:spacing w:val="3"/>
        </w:rPr>
        <w:t> </w:t>
      </w:r>
      <w:r>
        <w:rPr/>
        <w:t>Curtis,</w:t>
      </w:r>
      <w:r>
        <w:rPr>
          <w:spacing w:val="2"/>
        </w:rPr>
        <w:t> </w:t>
      </w:r>
      <w:r>
        <w:rPr/>
        <w:t>A., Johnson, B.,</w:t>
      </w:r>
      <w:r>
        <w:rPr>
          <w:spacing w:val="1"/>
        </w:rPr>
        <w:t> </w:t>
      </w:r>
      <w:r>
        <w:rPr/>
        <w:t>Montgomery,</w:t>
      </w:r>
      <w:r>
        <w:rPr>
          <w:spacing w:val="5"/>
        </w:rPr>
        <w:t> </w:t>
      </w:r>
      <w:r>
        <w:rPr>
          <w:spacing w:val="-5"/>
        </w:rPr>
        <w:t>S.,</w:t>
      </w:r>
    </w:p>
    <w:p>
      <w:pPr>
        <w:pStyle w:val="BodyText"/>
        <w:spacing w:before="142"/>
        <w:ind w:left="0"/>
      </w:pPr>
    </w:p>
    <w:p>
      <w:pPr>
        <w:pStyle w:val="BodyText"/>
        <w:spacing w:line="360" w:lineRule="auto"/>
        <w:ind w:left="1855" w:right="851" w:hanging="720"/>
        <w:jc w:val="both"/>
      </w:pPr>
      <w:r>
        <w:rPr/>
        <w:t>Martins, G., &amp; Stilwell, G. (2024). Comparative Study of the Healing Process of Disbudding</w:t>
      </w:r>
      <w:r>
        <w:rPr>
          <w:spacing w:val="-7"/>
        </w:rPr>
        <w:t> </w:t>
      </w:r>
      <w:r>
        <w:rPr/>
        <w:t>Wounds</w:t>
      </w:r>
      <w:r>
        <w:rPr>
          <w:spacing w:val="-4"/>
        </w:rPr>
        <w:t> </w:t>
      </w:r>
      <w:r>
        <w:rPr/>
        <w:t>in</w:t>
      </w:r>
      <w:r>
        <w:rPr>
          <w:spacing w:val="-4"/>
        </w:rPr>
        <w:t> </w:t>
      </w:r>
      <w:r>
        <w:rPr/>
        <w:t>Calves</w:t>
      </w:r>
      <w:r>
        <w:rPr>
          <w:spacing w:val="-4"/>
        </w:rPr>
        <w:t> </w:t>
      </w:r>
      <w:r>
        <w:rPr/>
        <w:t>Using</w:t>
      </w:r>
      <w:r>
        <w:rPr>
          <w:spacing w:val="-7"/>
        </w:rPr>
        <w:t> </w:t>
      </w:r>
      <w:r>
        <w:rPr/>
        <w:t>Bepanthene®</w:t>
      </w:r>
      <w:r>
        <w:rPr>
          <w:spacing w:val="-4"/>
        </w:rPr>
        <w:t> </w:t>
      </w:r>
      <w:r>
        <w:rPr/>
        <w:t>or</w:t>
      </w:r>
      <w:r>
        <w:rPr>
          <w:spacing w:val="-4"/>
        </w:rPr>
        <w:t> </w:t>
      </w:r>
      <w:r>
        <w:rPr/>
        <w:t>an</w:t>
      </w:r>
      <w:r>
        <w:rPr>
          <w:spacing w:val="-4"/>
        </w:rPr>
        <w:t> </w:t>
      </w:r>
      <w:r>
        <w:rPr/>
        <w:t>Antibiotic</w:t>
      </w:r>
      <w:r>
        <w:rPr>
          <w:spacing w:val="-5"/>
        </w:rPr>
        <w:t> </w:t>
      </w:r>
      <w:r>
        <w:rPr/>
        <w:t>Spray. Animals, 14(17), 2526.</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left="1855" w:right="847" w:hanging="720"/>
        <w:jc w:val="both"/>
      </w:pPr>
      <w:r>
        <w:rPr/>
        <w:t>Martins, M., da Silva, T., Palma, A., de Noronha, B., Lemos, E., Guimarães, Matinez,</w:t>
      </w:r>
      <w:r>
        <w:rPr>
          <w:spacing w:val="-7"/>
        </w:rPr>
        <w:t> </w:t>
      </w:r>
      <w:r>
        <w:rPr/>
        <w:t>V.,</w:t>
      </w:r>
      <w:r>
        <w:rPr>
          <w:spacing w:val="-6"/>
        </w:rPr>
        <w:t> </w:t>
      </w:r>
      <w:r>
        <w:rPr/>
        <w:t>&amp;</w:t>
      </w:r>
      <w:r>
        <w:rPr>
          <w:spacing w:val="-11"/>
        </w:rPr>
        <w:t> </w:t>
      </w:r>
      <w:r>
        <w:rPr/>
        <w:t>Suarez,</w:t>
      </w:r>
      <w:r>
        <w:rPr>
          <w:spacing w:val="-7"/>
        </w:rPr>
        <w:t> </w:t>
      </w:r>
      <w:r>
        <w:rPr/>
        <w:t>V.</w:t>
      </w:r>
      <w:r>
        <w:rPr>
          <w:spacing w:val="-6"/>
        </w:rPr>
        <w:t> </w:t>
      </w:r>
      <w:r>
        <w:rPr/>
        <w:t>(2024).</w:t>
      </w:r>
      <w:r>
        <w:rPr>
          <w:spacing w:val="-7"/>
        </w:rPr>
        <w:t> </w:t>
      </w:r>
      <w:r>
        <w:rPr/>
        <w:t>Efecto</w:t>
      </w:r>
      <w:r>
        <w:rPr>
          <w:spacing w:val="-6"/>
        </w:rPr>
        <w:t> </w:t>
      </w:r>
      <w:r>
        <w:rPr/>
        <w:t>de</w:t>
      </w:r>
      <w:r>
        <w:rPr>
          <w:spacing w:val="-8"/>
        </w:rPr>
        <w:t> </w:t>
      </w:r>
      <w:r>
        <w:rPr/>
        <w:t>la</w:t>
      </w:r>
      <w:r>
        <w:rPr>
          <w:spacing w:val="-8"/>
        </w:rPr>
        <w:t> </w:t>
      </w:r>
      <w:r>
        <w:rPr/>
        <w:t>pasta</w:t>
      </w:r>
      <w:r>
        <w:rPr>
          <w:spacing w:val="-8"/>
        </w:rPr>
        <w:t> </w:t>
      </w:r>
      <w:r>
        <w:rPr/>
        <w:t>cáustica,</w:t>
      </w:r>
      <w:r>
        <w:rPr>
          <w:spacing w:val="-7"/>
        </w:rPr>
        <w:t> </w:t>
      </w:r>
      <w:r>
        <w:rPr/>
        <w:t>fuego</w:t>
      </w:r>
      <w:r>
        <w:rPr>
          <w:spacing w:val="-7"/>
        </w:rPr>
        <w:t> </w:t>
      </w:r>
      <w:r>
        <w:rPr/>
        <w:t>directo solo o combinado</w:t>
      </w:r>
      <w:r>
        <w:rPr>
          <w:spacing w:val="-8"/>
        </w:rPr>
        <w:t> </w:t>
      </w:r>
      <w:r>
        <w:rPr/>
        <w:t>con</w:t>
      </w:r>
      <w:r>
        <w:rPr>
          <w:spacing w:val="-9"/>
        </w:rPr>
        <w:t> </w:t>
      </w:r>
      <w:r>
        <w:rPr/>
        <w:t>flunixin</w:t>
      </w:r>
      <w:r>
        <w:rPr>
          <w:spacing w:val="-10"/>
        </w:rPr>
        <w:t> </w:t>
      </w:r>
      <w:r>
        <w:rPr/>
        <w:t>meglumine</w:t>
      </w:r>
      <w:r>
        <w:rPr>
          <w:spacing w:val="-9"/>
        </w:rPr>
        <w:t> </w:t>
      </w:r>
      <w:r>
        <w:rPr/>
        <w:t>durante</w:t>
      </w:r>
      <w:r>
        <w:rPr>
          <w:spacing w:val="-7"/>
        </w:rPr>
        <w:t> </w:t>
      </w:r>
      <w:r>
        <w:rPr/>
        <w:t>el</w:t>
      </w:r>
      <w:r>
        <w:rPr>
          <w:spacing w:val="-8"/>
        </w:rPr>
        <w:t> </w:t>
      </w:r>
      <w:r>
        <w:rPr/>
        <w:t>desmoche</w:t>
      </w:r>
      <w:r>
        <w:rPr>
          <w:spacing w:val="-10"/>
        </w:rPr>
        <w:t> </w:t>
      </w:r>
      <w:r>
        <w:rPr/>
        <w:t>de</w:t>
      </w:r>
      <w:r>
        <w:rPr>
          <w:spacing w:val="-10"/>
        </w:rPr>
        <w:t> </w:t>
      </w:r>
      <w:r>
        <w:rPr/>
        <w:t>terneros Holstein sobre parámetros fisiológicos y comportamentales. Ciencia Veterinaria, 26(2), 130-140.</w:t>
      </w:r>
    </w:p>
    <w:p>
      <w:pPr>
        <w:pStyle w:val="BodyText"/>
        <w:spacing w:before="4"/>
        <w:ind w:left="0"/>
      </w:pPr>
    </w:p>
    <w:p>
      <w:pPr>
        <w:pStyle w:val="BodyText"/>
        <w:spacing w:line="360" w:lineRule="auto"/>
        <w:ind w:right="843"/>
        <w:jc w:val="both"/>
      </w:pPr>
      <w:r>
        <w:rPr/>
        <w:t>Netto, A. (2025). Effect of an Ultra-Diluted Complex on Health, Growth Performance, and Blood Parameters of Pre-Weaned Dairy Calves. Veterinary Science, 12(2), 128.</w:t>
      </w:r>
    </w:p>
    <w:p>
      <w:pPr>
        <w:pStyle w:val="BodyText"/>
        <w:spacing w:before="4"/>
        <w:ind w:left="0"/>
      </w:pPr>
    </w:p>
    <w:p>
      <w:pPr>
        <w:pStyle w:val="BodyText"/>
        <w:spacing w:line="360" w:lineRule="auto" w:before="1"/>
        <w:ind w:right="847"/>
        <w:jc w:val="both"/>
      </w:pPr>
      <w:r>
        <w:rPr/>
        <w:t>Pacheco Pacheco, M.(2021) Evaluación de la actividad antiinflamatoria y antinociceptiva de Verbena carolina L en modelos animales.</w:t>
      </w:r>
    </w:p>
    <w:p>
      <w:pPr>
        <w:pStyle w:val="BodyText"/>
        <w:spacing w:before="4"/>
        <w:ind w:left="0"/>
      </w:pPr>
    </w:p>
    <w:p>
      <w:pPr>
        <w:pStyle w:val="BodyText"/>
        <w:spacing w:line="360" w:lineRule="auto"/>
        <w:ind w:left="1855" w:right="846" w:hanging="720"/>
        <w:jc w:val="both"/>
      </w:pPr>
      <w:r>
        <w:rPr/>
        <w:t>Pandey, R., Jayabalan, B., &amp; Patel, G. (2023). Dairy Farm Study: Analyzing the rate</w:t>
      </w:r>
      <w:r>
        <w:rPr>
          <w:spacing w:val="-2"/>
        </w:rPr>
        <w:t> </w:t>
      </w:r>
      <w:r>
        <w:rPr/>
        <w:t>of calves</w:t>
      </w:r>
      <w:r>
        <w:rPr>
          <w:spacing w:val="-2"/>
        </w:rPr>
        <w:t> </w:t>
      </w:r>
      <w:r>
        <w:rPr/>
        <w:t>raising</w:t>
      </w:r>
      <w:r>
        <w:rPr>
          <w:spacing w:val="-3"/>
        </w:rPr>
        <w:t> </w:t>
      </w:r>
      <w:r>
        <w:rPr/>
        <w:t>practices</w:t>
      </w:r>
      <w:r>
        <w:rPr>
          <w:spacing w:val="-1"/>
        </w:rPr>
        <w:t> </w:t>
      </w:r>
      <w:r>
        <w:rPr/>
        <w:t>and</w:t>
      </w:r>
      <w:r>
        <w:rPr>
          <w:spacing w:val="-1"/>
        </w:rPr>
        <w:t> </w:t>
      </w:r>
      <w:r>
        <w:rPr/>
        <w:t>their</w:t>
      </w:r>
      <w:r>
        <w:rPr>
          <w:spacing w:val="-2"/>
        </w:rPr>
        <w:t> </w:t>
      </w:r>
      <w:r>
        <w:rPr/>
        <w:t>health</w:t>
      </w:r>
      <w:r>
        <w:rPr>
          <w:spacing w:val="-1"/>
        </w:rPr>
        <w:t> </w:t>
      </w:r>
      <w:r>
        <w:rPr/>
        <w:t>effects.</w:t>
      </w:r>
      <w:r>
        <w:rPr>
          <w:spacing w:val="-1"/>
        </w:rPr>
        <w:t> </w:t>
      </w:r>
      <w:r>
        <w:rPr/>
        <w:t>REDVET,</w:t>
      </w:r>
      <w:r>
        <w:rPr>
          <w:spacing w:val="-2"/>
        </w:rPr>
        <w:t> </w:t>
      </w:r>
      <w:r>
        <w:rPr/>
        <w:t>24(3),</w:t>
      </w:r>
      <w:r>
        <w:rPr>
          <w:spacing w:val="-2"/>
        </w:rPr>
        <w:t> </w:t>
      </w:r>
      <w:r>
        <w:rPr/>
        <w:t>1-</w:t>
      </w:r>
      <w:r>
        <w:rPr>
          <w:spacing w:val="-4"/>
        </w:rPr>
        <w:t>10.</w:t>
      </w:r>
    </w:p>
    <w:p>
      <w:pPr>
        <w:pStyle w:val="BodyText"/>
        <w:spacing w:before="4"/>
        <w:ind w:left="0"/>
      </w:pPr>
    </w:p>
    <w:p>
      <w:pPr>
        <w:pStyle w:val="BodyText"/>
        <w:spacing w:line="360" w:lineRule="auto"/>
        <w:ind w:left="1855" w:right="846" w:hanging="720"/>
        <w:jc w:val="both"/>
      </w:pPr>
      <w:r>
        <w:rPr/>
        <w:t>Park,</w:t>
      </w:r>
      <w:r>
        <w:rPr>
          <w:spacing w:val="-10"/>
        </w:rPr>
        <w:t> </w:t>
      </w:r>
      <w:r>
        <w:rPr/>
        <w:t>S.,</w:t>
      </w:r>
      <w:r>
        <w:rPr>
          <w:spacing w:val="-9"/>
        </w:rPr>
        <w:t> </w:t>
      </w:r>
      <w:r>
        <w:rPr/>
        <w:t>Piao,</w:t>
      </w:r>
      <w:r>
        <w:rPr>
          <w:spacing w:val="-9"/>
        </w:rPr>
        <w:t> </w:t>
      </w:r>
      <w:r>
        <w:rPr/>
        <w:t>M.,</w:t>
      </w:r>
      <w:r>
        <w:rPr>
          <w:spacing w:val="-8"/>
        </w:rPr>
        <w:t> </w:t>
      </w:r>
      <w:r>
        <w:rPr/>
        <w:t>Kim,</w:t>
      </w:r>
      <w:r>
        <w:rPr>
          <w:spacing w:val="-8"/>
        </w:rPr>
        <w:t> </w:t>
      </w:r>
      <w:r>
        <w:rPr/>
        <w:t>H.,</w:t>
      </w:r>
      <w:r>
        <w:rPr>
          <w:spacing w:val="-10"/>
        </w:rPr>
        <w:t> </w:t>
      </w:r>
      <w:r>
        <w:rPr/>
        <w:t>Joong,</w:t>
      </w:r>
      <w:r>
        <w:rPr>
          <w:spacing w:val="-9"/>
        </w:rPr>
        <w:t> </w:t>
      </w:r>
      <w:r>
        <w:rPr/>
        <w:t>H.,</w:t>
      </w:r>
      <w:r>
        <w:rPr>
          <w:spacing w:val="-8"/>
        </w:rPr>
        <w:t> </w:t>
      </w:r>
      <w:r>
        <w:rPr/>
        <w:t>Mareistia,</w:t>
      </w:r>
      <w:r>
        <w:rPr>
          <w:spacing w:val="-8"/>
        </w:rPr>
        <w:t> </w:t>
      </w:r>
      <w:r>
        <w:rPr/>
        <w:t>D.,</w:t>
      </w:r>
      <w:r>
        <w:rPr>
          <w:spacing w:val="-10"/>
        </w:rPr>
        <w:t> </w:t>
      </w:r>
      <w:r>
        <w:rPr/>
        <w:t>Jung,</w:t>
      </w:r>
      <w:r>
        <w:rPr>
          <w:spacing w:val="-9"/>
        </w:rPr>
        <w:t> </w:t>
      </w:r>
      <w:r>
        <w:rPr/>
        <w:t>D.,</w:t>
      </w:r>
      <w:r>
        <w:rPr>
          <w:spacing w:val="-8"/>
        </w:rPr>
        <w:t> </w:t>
      </w:r>
      <w:r>
        <w:rPr/>
        <w:t>.</w:t>
      </w:r>
      <w:r>
        <w:rPr>
          <w:spacing w:val="-10"/>
        </w:rPr>
        <w:t> </w:t>
      </w:r>
      <w:r>
        <w:rPr/>
        <w:t>.</w:t>
      </w:r>
      <w:r>
        <w:rPr>
          <w:spacing w:val="-8"/>
        </w:rPr>
        <w:t> </w:t>
      </w:r>
      <w:r>
        <w:rPr/>
        <w:t>.</w:t>
      </w:r>
      <w:r>
        <w:rPr>
          <w:spacing w:val="-8"/>
        </w:rPr>
        <w:t> </w:t>
      </w:r>
      <w:r>
        <w:rPr/>
        <w:t>Baik,</w:t>
      </w:r>
      <w:r>
        <w:rPr>
          <w:spacing w:val="-8"/>
        </w:rPr>
        <w:t> </w:t>
      </w:r>
      <w:r>
        <w:rPr/>
        <w:t>M.</w:t>
      </w:r>
      <w:r>
        <w:rPr>
          <w:spacing w:val="-6"/>
        </w:rPr>
        <w:t> </w:t>
      </w:r>
      <w:r>
        <w:rPr/>
        <w:t>(2020). Effects of</w:t>
      </w:r>
      <w:r>
        <w:rPr>
          <w:spacing w:val="-1"/>
        </w:rPr>
        <w:t> </w:t>
      </w:r>
      <w:r>
        <w:rPr/>
        <w:t>dehorning and lidocaine-plus-flunixin treatment on indicators of stress and acute inflammation, behaviors, and their association in korean cattle bull calves. Livestock Science, 241, 104198.</w:t>
      </w:r>
    </w:p>
    <w:p>
      <w:pPr>
        <w:pStyle w:val="BodyText"/>
        <w:spacing w:before="5"/>
        <w:ind w:left="0"/>
      </w:pPr>
    </w:p>
    <w:p>
      <w:pPr>
        <w:pStyle w:val="BodyText"/>
        <w:spacing w:line="360" w:lineRule="auto" w:before="1"/>
        <w:ind w:left="1855" w:right="844" w:hanging="720"/>
        <w:jc w:val="both"/>
      </w:pPr>
      <w:r>
        <w:rPr/>
        <w:t>Picado, B., &amp; Rodríguez, E. (2020). Evaluación de dos instrumentales quirúrgicos en el proceso de descorne estético en bovinos Bos taurus et Bos indicus, Pantasma, Jinotega 2020. Tesis de pregrado. Universidad Católica de Trópico seco.</w:t>
      </w:r>
    </w:p>
    <w:p>
      <w:pPr>
        <w:pStyle w:val="BodyText"/>
        <w:spacing w:before="3"/>
        <w:ind w:left="0"/>
      </w:pPr>
    </w:p>
    <w:p>
      <w:pPr>
        <w:pStyle w:val="BodyText"/>
        <w:spacing w:line="360" w:lineRule="auto"/>
        <w:ind w:left="1855" w:right="846" w:hanging="720"/>
        <w:jc w:val="both"/>
      </w:pPr>
      <w:r>
        <w:rPr/>
        <w:t>Prior</w:t>
      </w:r>
      <w:r>
        <w:rPr>
          <w:spacing w:val="-15"/>
        </w:rPr>
        <w:t> </w:t>
      </w:r>
      <w:r>
        <w:rPr/>
        <w:t>,</w:t>
      </w:r>
      <w:r>
        <w:rPr>
          <w:spacing w:val="-15"/>
        </w:rPr>
        <w:t> </w:t>
      </w:r>
      <w:r>
        <w:rPr/>
        <w:t>S.,</w:t>
      </w:r>
      <w:r>
        <w:rPr>
          <w:spacing w:val="-15"/>
        </w:rPr>
        <w:t> </w:t>
      </w:r>
      <w:r>
        <w:rPr/>
        <w:t>Blackie</w:t>
      </w:r>
      <w:r>
        <w:rPr>
          <w:spacing w:val="-15"/>
        </w:rPr>
        <w:t> </w:t>
      </w:r>
      <w:r>
        <w:rPr/>
        <w:t>,</w:t>
      </w:r>
      <w:r>
        <w:rPr>
          <w:spacing w:val="-13"/>
        </w:rPr>
        <w:t> </w:t>
      </w:r>
      <w:r>
        <w:rPr/>
        <w:t>N.,</w:t>
      </w:r>
      <w:r>
        <w:rPr>
          <w:spacing w:val="-14"/>
        </w:rPr>
        <w:t> </w:t>
      </w:r>
      <w:r>
        <w:rPr/>
        <w:t>Fishwick</w:t>
      </w:r>
      <w:r>
        <w:rPr>
          <w:spacing w:val="-15"/>
        </w:rPr>
        <w:t> </w:t>
      </w:r>
      <w:r>
        <w:rPr/>
        <w:t>,</w:t>
      </w:r>
      <w:r>
        <w:rPr>
          <w:spacing w:val="-15"/>
        </w:rPr>
        <w:t> </w:t>
      </w:r>
      <w:r>
        <w:rPr/>
        <w:t>J.,</w:t>
      </w:r>
      <w:r>
        <w:rPr>
          <w:spacing w:val="-15"/>
        </w:rPr>
        <w:t> </w:t>
      </w:r>
      <w:r>
        <w:rPr/>
        <w:t>&amp;</w:t>
      </w:r>
      <w:r>
        <w:rPr>
          <w:spacing w:val="-15"/>
        </w:rPr>
        <w:t> </w:t>
      </w:r>
      <w:r>
        <w:rPr/>
        <w:t>Mahendran</w:t>
      </w:r>
      <w:r>
        <w:rPr>
          <w:spacing w:val="-11"/>
        </w:rPr>
        <w:t> </w:t>
      </w:r>
      <w:r>
        <w:rPr/>
        <w:t>,</w:t>
      </w:r>
      <w:r>
        <w:rPr>
          <w:spacing w:val="-15"/>
        </w:rPr>
        <w:t> </w:t>
      </w:r>
      <w:r>
        <w:rPr/>
        <w:t>S.</w:t>
      </w:r>
      <w:r>
        <w:rPr>
          <w:spacing w:val="-15"/>
        </w:rPr>
        <w:t> </w:t>
      </w:r>
      <w:r>
        <w:rPr/>
        <w:t>(2023).</w:t>
      </w:r>
      <w:r>
        <w:rPr>
          <w:spacing w:val="-11"/>
        </w:rPr>
        <w:t> </w:t>
      </w:r>
      <w:r>
        <w:rPr/>
        <w:t>Randomised</w:t>
      </w:r>
      <w:r>
        <w:rPr>
          <w:spacing w:val="-12"/>
        </w:rPr>
        <w:t> </w:t>
      </w:r>
      <w:r>
        <w:rPr/>
        <w:t>Control Trial Investigating</w:t>
      </w:r>
      <w:r>
        <w:rPr>
          <w:spacing w:val="-4"/>
        </w:rPr>
        <w:t> </w:t>
      </w:r>
      <w:r>
        <w:rPr/>
        <w:t>the</w:t>
      </w:r>
      <w:r>
        <w:rPr>
          <w:spacing w:val="-2"/>
        </w:rPr>
        <w:t> </w:t>
      </w:r>
      <w:r>
        <w:rPr/>
        <w:t>Efficacy</w:t>
      </w:r>
      <w:r>
        <w:rPr>
          <w:spacing w:val="-6"/>
        </w:rPr>
        <w:t> </w:t>
      </w:r>
      <w:r>
        <w:rPr/>
        <w:t>of</w:t>
      </w:r>
      <w:r>
        <w:rPr>
          <w:spacing w:val="-2"/>
        </w:rPr>
        <w:t> </w:t>
      </w:r>
      <w:r>
        <w:rPr/>
        <w:t>Meloxicam</w:t>
      </w:r>
      <w:r>
        <w:rPr>
          <w:spacing w:val="-1"/>
        </w:rPr>
        <w:t> </w:t>
      </w:r>
      <w:r>
        <w:rPr/>
        <w:t>and</w:t>
      </w:r>
      <w:r>
        <w:rPr>
          <w:spacing w:val="-1"/>
        </w:rPr>
        <w:t> </w:t>
      </w:r>
      <w:r>
        <w:rPr/>
        <w:t>Sodium</w:t>
      </w:r>
      <w:r>
        <w:rPr>
          <w:spacing w:val="-1"/>
        </w:rPr>
        <w:t> </w:t>
      </w:r>
      <w:r>
        <w:rPr/>
        <w:t>Salicylate</w:t>
      </w:r>
      <w:r>
        <w:rPr>
          <w:spacing w:val="-1"/>
        </w:rPr>
        <w:t> </w:t>
      </w:r>
      <w:r>
        <w:rPr/>
        <w:t>Non-Steroidal</w:t>
      </w:r>
      <w:r>
        <w:rPr>
          <w:spacing w:val="-4"/>
        </w:rPr>
        <w:t> </w:t>
      </w:r>
      <w:r>
        <w:rPr/>
        <w:t>Anti-Inflammatory</w:t>
      </w:r>
      <w:r>
        <w:rPr>
          <w:spacing w:val="-7"/>
        </w:rPr>
        <w:t> </w:t>
      </w:r>
      <w:r>
        <w:rPr/>
        <w:t>Drugs</w:t>
      </w:r>
      <w:r>
        <w:rPr>
          <w:spacing w:val="-2"/>
        </w:rPr>
        <w:t> </w:t>
      </w:r>
      <w:r>
        <w:rPr/>
        <w:t>for</w:t>
      </w:r>
      <w:r>
        <w:rPr>
          <w:spacing w:val="-6"/>
        </w:rPr>
        <w:t> </w:t>
      </w:r>
      <w:r>
        <w:rPr/>
        <w:t>Calf</w:t>
      </w:r>
      <w:r>
        <w:rPr>
          <w:spacing w:val="-4"/>
        </w:rPr>
        <w:t> </w:t>
      </w:r>
      <w:r>
        <w:rPr/>
        <w:t>Cautery</w:t>
      </w:r>
      <w:r>
        <w:rPr>
          <w:spacing w:val="-7"/>
        </w:rPr>
        <w:t> </w:t>
      </w:r>
      <w:r>
        <w:rPr/>
        <w:t>Disbudding.</w:t>
      </w:r>
      <w:r>
        <w:rPr>
          <w:spacing w:val="-2"/>
        </w:rPr>
        <w:t> </w:t>
      </w:r>
      <w:r>
        <w:rPr/>
        <w:t>Animals, 13(11), 1768.</w:t>
      </w:r>
    </w:p>
    <w:p>
      <w:pPr>
        <w:pStyle w:val="BodyText"/>
        <w:spacing w:before="4"/>
        <w:ind w:left="0"/>
      </w:pPr>
    </w:p>
    <w:p>
      <w:pPr>
        <w:pStyle w:val="BodyText"/>
        <w:spacing w:line="360" w:lineRule="auto" w:before="1"/>
        <w:ind w:left="1855" w:right="848" w:hanging="720"/>
        <w:jc w:val="both"/>
      </w:pPr>
      <w:r>
        <w:rPr/>
        <w:t>Qi, J., Fang, J., Huang, F., Li, Z., Kumbhar, M. A., Guo, H., Ren, Z., Geng, Y., Deng,</w:t>
      </w:r>
      <w:r>
        <w:rPr>
          <w:spacing w:val="-12"/>
        </w:rPr>
        <w:t> </w:t>
      </w:r>
      <w:r>
        <w:rPr/>
        <w:t>J.,</w:t>
      </w:r>
      <w:r>
        <w:rPr>
          <w:spacing w:val="-12"/>
        </w:rPr>
        <w:t> </w:t>
      </w:r>
      <w:r>
        <w:rPr/>
        <w:t>&amp;</w:t>
      </w:r>
      <w:r>
        <w:rPr>
          <w:spacing w:val="-12"/>
        </w:rPr>
        <w:t> </w:t>
      </w:r>
      <w:r>
        <w:rPr/>
        <w:t>Zuo,</w:t>
      </w:r>
      <w:r>
        <w:rPr>
          <w:spacing w:val="-10"/>
        </w:rPr>
        <w:t> </w:t>
      </w:r>
      <w:r>
        <w:rPr/>
        <w:t>Z.</w:t>
      </w:r>
      <w:r>
        <w:rPr>
          <w:spacing w:val="-10"/>
        </w:rPr>
        <w:t> </w:t>
      </w:r>
      <w:r>
        <w:rPr/>
        <w:t>(2024).</w:t>
      </w:r>
      <w:r>
        <w:rPr>
          <w:spacing w:val="-13"/>
        </w:rPr>
        <w:t> </w:t>
      </w:r>
      <w:r>
        <w:rPr/>
        <w:t>Effects</w:t>
      </w:r>
      <w:r>
        <w:rPr>
          <w:spacing w:val="-12"/>
        </w:rPr>
        <w:t> </w:t>
      </w:r>
      <w:r>
        <w:rPr/>
        <w:t>of</w:t>
      </w:r>
      <w:r>
        <w:rPr>
          <w:spacing w:val="-13"/>
        </w:rPr>
        <w:t> </w:t>
      </w:r>
      <w:r>
        <w:rPr/>
        <w:t>meloxicam</w:t>
      </w:r>
      <w:r>
        <w:rPr>
          <w:spacing w:val="-12"/>
        </w:rPr>
        <w:t> </w:t>
      </w:r>
      <w:r>
        <w:rPr/>
        <w:t>on</w:t>
      </w:r>
      <w:r>
        <w:rPr>
          <w:spacing w:val="-12"/>
        </w:rPr>
        <w:t> </w:t>
      </w:r>
      <w:r>
        <w:rPr/>
        <w:t>the</w:t>
      </w:r>
      <w:r>
        <w:rPr>
          <w:spacing w:val="-13"/>
        </w:rPr>
        <w:t> </w:t>
      </w:r>
      <w:r>
        <w:rPr/>
        <w:t>welfare</w:t>
      </w:r>
      <w:r>
        <w:rPr>
          <w:spacing w:val="-13"/>
        </w:rPr>
        <w:t> </w:t>
      </w:r>
      <w:r>
        <w:rPr/>
        <w:t>of</w:t>
      </w:r>
      <w:r>
        <w:rPr>
          <w:spacing w:val="-11"/>
        </w:rPr>
        <w:t> </w:t>
      </w:r>
      <w:r>
        <w:rPr/>
        <w:t>Holstein calves</w:t>
      </w:r>
      <w:r>
        <w:rPr>
          <w:spacing w:val="29"/>
        </w:rPr>
        <w:t> </w:t>
      </w:r>
      <w:r>
        <w:rPr/>
        <w:t>undergoing</w:t>
      </w:r>
      <w:r>
        <w:rPr>
          <w:spacing w:val="27"/>
        </w:rPr>
        <w:t> </w:t>
      </w:r>
      <w:r>
        <w:rPr/>
        <w:t>amputation</w:t>
      </w:r>
      <w:r>
        <w:rPr>
          <w:spacing w:val="30"/>
        </w:rPr>
        <w:t> </w:t>
      </w:r>
      <w:r>
        <w:rPr/>
        <w:t>dehorning.</w:t>
      </w:r>
      <w:r>
        <w:rPr>
          <w:spacing w:val="29"/>
        </w:rPr>
        <w:t> </w:t>
      </w:r>
      <w:r>
        <w:rPr/>
        <w:t>Journal</w:t>
      </w:r>
      <w:r>
        <w:rPr>
          <w:spacing w:val="30"/>
        </w:rPr>
        <w:t> </w:t>
      </w:r>
      <w:r>
        <w:rPr/>
        <w:t>of</w:t>
      </w:r>
      <w:r>
        <w:rPr>
          <w:spacing w:val="29"/>
        </w:rPr>
        <w:t> </w:t>
      </w:r>
      <w:r>
        <w:rPr/>
        <w:t>Dairy</w:t>
      </w:r>
      <w:r>
        <w:rPr>
          <w:spacing w:val="25"/>
        </w:rPr>
        <w:t> </w:t>
      </w:r>
      <w:r>
        <w:rPr/>
        <w:t>Science,</w:t>
      </w:r>
      <w:r>
        <w:rPr>
          <w:spacing w:val="30"/>
        </w:rPr>
        <w:t> </w:t>
      </w:r>
      <w:r>
        <w:rPr>
          <w:spacing w:val="-4"/>
        </w:rPr>
        <w:t>107,</w:t>
      </w:r>
    </w:p>
    <w:p>
      <w:pPr>
        <w:pStyle w:val="BodyText"/>
        <w:spacing w:after="0" w:line="360" w:lineRule="auto"/>
        <w:jc w:val="both"/>
        <w:sectPr>
          <w:pgSz w:w="11900" w:h="16860"/>
          <w:pgMar w:header="0" w:footer="1084" w:top="1620" w:bottom="1280" w:left="1133" w:right="850"/>
        </w:sectPr>
      </w:pPr>
    </w:p>
    <w:p>
      <w:pPr>
        <w:pStyle w:val="BodyText"/>
        <w:spacing w:before="70"/>
        <w:ind w:left="1855"/>
      </w:pPr>
      <w:r>
        <w:rPr/>
        <w:t>6065-6078.</w:t>
      </w:r>
      <w:r>
        <w:rPr>
          <w:spacing w:val="-8"/>
        </w:rPr>
        <w:t> </w:t>
      </w:r>
      <w:hyperlink r:id="rId32">
        <w:r>
          <w:rPr/>
          <w:t>https://doi.org/10.3168/jds.2023-</w:t>
        </w:r>
        <w:r>
          <w:rPr>
            <w:spacing w:val="-2"/>
          </w:rPr>
          <w:t>24280</w:t>
        </w:r>
      </w:hyperlink>
    </w:p>
    <w:p>
      <w:pPr>
        <w:pStyle w:val="BodyText"/>
        <w:spacing w:before="142"/>
        <w:ind w:left="0"/>
      </w:pPr>
    </w:p>
    <w:p>
      <w:pPr>
        <w:pStyle w:val="BodyText"/>
        <w:spacing w:line="360" w:lineRule="auto"/>
        <w:ind w:left="1855" w:right="846" w:hanging="720"/>
        <w:jc w:val="both"/>
      </w:pPr>
      <w:r>
        <w:rPr/>
        <w:t>Rabinowitz, Y., Williams, S., Triana, R. R., K. M., Hooker, K. J., Dubey, A., &amp; Phero, J. A. (2024). Assessing the Efficacy of Buffered vs. Nonbuffered Lidocaine in Dental Extractions: A Double-Blinded Randomized Controlled Trial. Journal of Oral and Maxillofacial Surgery.</w:t>
      </w:r>
    </w:p>
    <w:p>
      <w:pPr>
        <w:pStyle w:val="BodyText"/>
        <w:spacing w:before="5"/>
        <w:ind w:left="0"/>
      </w:pPr>
    </w:p>
    <w:p>
      <w:pPr>
        <w:pStyle w:val="BodyText"/>
        <w:spacing w:line="360" w:lineRule="auto"/>
        <w:ind w:left="1855" w:right="845" w:hanging="720"/>
        <w:jc w:val="both"/>
      </w:pPr>
      <w:r>
        <w:rPr/>
        <w:t>Reedman,</w:t>
      </w:r>
      <w:r>
        <w:rPr>
          <w:spacing w:val="-7"/>
        </w:rPr>
        <w:t> </w:t>
      </w:r>
      <w:r>
        <w:rPr/>
        <w:t>C.,</w:t>
      </w:r>
      <w:r>
        <w:rPr>
          <w:spacing w:val="-5"/>
        </w:rPr>
        <w:t> </w:t>
      </w:r>
      <w:r>
        <w:rPr/>
        <w:t>Duffield,</w:t>
      </w:r>
      <w:r>
        <w:rPr>
          <w:spacing w:val="-5"/>
        </w:rPr>
        <w:t> </w:t>
      </w:r>
      <w:r>
        <w:rPr/>
        <w:t>T.,</w:t>
      </w:r>
      <w:r>
        <w:rPr>
          <w:spacing w:val="-7"/>
        </w:rPr>
        <w:t> </w:t>
      </w:r>
      <w:r>
        <w:rPr/>
        <w:t>DeVries,</w:t>
      </w:r>
      <w:r>
        <w:rPr>
          <w:spacing w:val="-5"/>
        </w:rPr>
        <w:t> </w:t>
      </w:r>
      <w:r>
        <w:rPr/>
        <w:t>T.,</w:t>
      </w:r>
      <w:r>
        <w:rPr>
          <w:spacing w:val="-1"/>
        </w:rPr>
        <w:t> </w:t>
      </w:r>
      <w:r>
        <w:rPr/>
        <w:t>Lissemore,</w:t>
      </w:r>
      <w:r>
        <w:rPr>
          <w:spacing w:val="-7"/>
        </w:rPr>
        <w:t> </w:t>
      </w:r>
      <w:r>
        <w:rPr/>
        <w:t>K.,</w:t>
      </w:r>
      <w:r>
        <w:rPr>
          <w:spacing w:val="-6"/>
        </w:rPr>
        <w:t> </w:t>
      </w:r>
      <w:r>
        <w:rPr/>
        <w:t>Adcock,</w:t>
      </w:r>
      <w:r>
        <w:rPr>
          <w:spacing w:val="-5"/>
        </w:rPr>
        <w:t> </w:t>
      </w:r>
      <w:r>
        <w:rPr/>
        <w:t>S.,</w:t>
      </w:r>
      <w:r>
        <w:rPr>
          <w:spacing w:val="-7"/>
        </w:rPr>
        <w:t> </w:t>
      </w:r>
      <w:r>
        <w:rPr/>
        <w:t>Tucker,</w:t>
      </w:r>
      <w:r>
        <w:rPr>
          <w:spacing w:val="-1"/>
        </w:rPr>
        <w:t> </w:t>
      </w:r>
      <w:r>
        <w:rPr/>
        <w:t>C.,</w:t>
      </w:r>
      <w:r>
        <w:rPr>
          <w:spacing w:val="-7"/>
        </w:rPr>
        <w:t> </w:t>
      </w:r>
      <w:r>
        <w:rPr/>
        <w:t>.</w:t>
      </w:r>
      <w:r>
        <w:rPr>
          <w:spacing w:val="-7"/>
        </w:rPr>
        <w:t> </w:t>
      </w:r>
      <w:r>
        <w:rPr/>
        <w:t>.</w:t>
      </w:r>
      <w:r>
        <w:rPr>
          <w:spacing w:val="-6"/>
        </w:rPr>
        <w:t> </w:t>
      </w:r>
      <w:r>
        <w:rPr/>
        <w:t>. Winder,</w:t>
      </w:r>
      <w:r>
        <w:rPr>
          <w:spacing w:val="-11"/>
        </w:rPr>
        <w:t> </w:t>
      </w:r>
      <w:r>
        <w:rPr/>
        <w:t>C.</w:t>
      </w:r>
      <w:r>
        <w:rPr>
          <w:spacing w:val="-11"/>
        </w:rPr>
        <w:t> </w:t>
      </w:r>
      <w:r>
        <w:rPr/>
        <w:t>(2022).</w:t>
      </w:r>
      <w:r>
        <w:rPr>
          <w:spacing w:val="-9"/>
        </w:rPr>
        <w:t> </w:t>
      </w:r>
      <w:r>
        <w:rPr/>
        <w:t>Effect</w:t>
      </w:r>
      <w:r>
        <w:rPr>
          <w:spacing w:val="-8"/>
        </w:rPr>
        <w:t> </w:t>
      </w:r>
      <w:r>
        <w:rPr/>
        <w:t>of</w:t>
      </w:r>
      <w:r>
        <w:rPr>
          <w:spacing w:val="-11"/>
        </w:rPr>
        <w:t> </w:t>
      </w:r>
      <w:r>
        <w:rPr/>
        <w:t>plane</w:t>
      </w:r>
      <w:r>
        <w:rPr>
          <w:spacing w:val="-11"/>
        </w:rPr>
        <w:t> </w:t>
      </w:r>
      <w:r>
        <w:rPr/>
        <w:t>of</w:t>
      </w:r>
      <w:r>
        <w:rPr>
          <w:spacing w:val="-11"/>
        </w:rPr>
        <w:t> </w:t>
      </w:r>
      <w:r>
        <w:rPr/>
        <w:t>nutrition</w:t>
      </w:r>
      <w:r>
        <w:rPr>
          <w:spacing w:val="-10"/>
        </w:rPr>
        <w:t> </w:t>
      </w:r>
      <w:r>
        <w:rPr/>
        <w:t>and</w:t>
      </w:r>
      <w:r>
        <w:rPr>
          <w:spacing w:val="-6"/>
        </w:rPr>
        <w:t> </w:t>
      </w:r>
      <w:r>
        <w:rPr/>
        <w:t>analgesic</w:t>
      </w:r>
      <w:r>
        <w:rPr>
          <w:spacing w:val="-9"/>
        </w:rPr>
        <w:t> </w:t>
      </w:r>
      <w:r>
        <w:rPr/>
        <w:t>drug</w:t>
      </w:r>
      <w:r>
        <w:rPr>
          <w:spacing w:val="-12"/>
        </w:rPr>
        <w:t> </w:t>
      </w:r>
      <w:r>
        <w:rPr/>
        <w:t>treatment on wound healing and pain following cautery disbudding in preweaning dairy calves. Journal of dairy science, 105(7), 6220-6239.</w:t>
      </w:r>
    </w:p>
    <w:p>
      <w:pPr>
        <w:pStyle w:val="BodyText"/>
        <w:spacing w:before="3"/>
        <w:ind w:left="0"/>
      </w:pPr>
    </w:p>
    <w:p>
      <w:pPr>
        <w:pStyle w:val="BodyText"/>
        <w:spacing w:line="360" w:lineRule="auto"/>
        <w:ind w:left="1855" w:right="851" w:hanging="720"/>
        <w:jc w:val="both"/>
      </w:pPr>
      <w:r>
        <w:rPr/>
        <w:t>Robles, I., Arruda, A., Nixon, E., Johnstone, E., Wagner, B., Callaway, E., . . . Garcia, P. (2021). Producer and veterinarian perspectives towards pain management practices in the US cattle industry. Animals, 11(334467105), </w:t>
      </w:r>
      <w:r>
        <w:rPr>
          <w:spacing w:val="-4"/>
        </w:rPr>
        <w:t>209.</w:t>
      </w:r>
    </w:p>
    <w:p>
      <w:pPr>
        <w:pStyle w:val="BodyText"/>
        <w:spacing w:before="5"/>
        <w:ind w:left="0"/>
      </w:pPr>
    </w:p>
    <w:p>
      <w:pPr>
        <w:pStyle w:val="BodyText"/>
      </w:pPr>
      <w:r>
        <w:rPr/>
        <w:t>Roche,</w:t>
      </w:r>
      <w:r>
        <w:rPr>
          <w:spacing w:val="-13"/>
        </w:rPr>
        <w:t> </w:t>
      </w:r>
      <w:r>
        <w:rPr/>
        <w:t>S.,</w:t>
      </w:r>
      <w:r>
        <w:rPr>
          <w:spacing w:val="-10"/>
        </w:rPr>
        <w:t> </w:t>
      </w:r>
      <w:r>
        <w:rPr/>
        <w:t>Renaud,</w:t>
      </w:r>
      <w:r>
        <w:rPr>
          <w:spacing w:val="-8"/>
        </w:rPr>
        <w:t> </w:t>
      </w:r>
      <w:r>
        <w:rPr/>
        <w:t>D.,</w:t>
      </w:r>
      <w:r>
        <w:rPr>
          <w:spacing w:val="-8"/>
        </w:rPr>
        <w:t> </w:t>
      </w:r>
      <w:r>
        <w:rPr/>
        <w:t>Bauman,</w:t>
      </w:r>
      <w:r>
        <w:rPr>
          <w:spacing w:val="-10"/>
        </w:rPr>
        <w:t> </w:t>
      </w:r>
      <w:r>
        <w:rPr/>
        <w:t>C.,</w:t>
      </w:r>
      <w:r>
        <w:rPr>
          <w:spacing w:val="-6"/>
        </w:rPr>
        <w:t> </w:t>
      </w:r>
      <w:r>
        <w:rPr/>
        <w:t>Lombard,</w:t>
      </w:r>
      <w:r>
        <w:rPr>
          <w:spacing w:val="-8"/>
        </w:rPr>
        <w:t> </w:t>
      </w:r>
      <w:r>
        <w:rPr/>
        <w:t>J.,</w:t>
      </w:r>
      <w:r>
        <w:rPr>
          <w:spacing w:val="-13"/>
        </w:rPr>
        <w:t> </w:t>
      </w:r>
      <w:r>
        <w:rPr/>
        <w:t>Short,</w:t>
      </w:r>
      <w:r>
        <w:rPr>
          <w:spacing w:val="-10"/>
        </w:rPr>
        <w:t> </w:t>
      </w:r>
      <w:r>
        <w:rPr/>
        <w:t>D.,</w:t>
      </w:r>
      <w:r>
        <w:rPr>
          <w:spacing w:val="-11"/>
        </w:rPr>
        <w:t> </w:t>
      </w:r>
      <w:r>
        <w:rPr/>
        <w:t>Saracenil,</w:t>
      </w:r>
      <w:r>
        <w:rPr>
          <w:spacing w:val="-11"/>
        </w:rPr>
        <w:t> </w:t>
      </w:r>
      <w:r>
        <w:rPr/>
        <w:t>J.,</w:t>
      </w:r>
      <w:r>
        <w:rPr>
          <w:spacing w:val="-10"/>
        </w:rPr>
        <w:t> </w:t>
      </w:r>
      <w:r>
        <w:rPr/>
        <w:t>&amp;</w:t>
      </w:r>
      <w:r>
        <w:rPr>
          <w:spacing w:val="-7"/>
        </w:rPr>
        <w:t> </w:t>
      </w:r>
      <w:r>
        <w:rPr>
          <w:spacing w:val="-2"/>
        </w:rPr>
        <w:t>Kelton,</w:t>
      </w:r>
    </w:p>
    <w:p>
      <w:pPr>
        <w:pStyle w:val="BodyText"/>
        <w:spacing w:before="142"/>
        <w:ind w:left="0"/>
      </w:pPr>
    </w:p>
    <w:p>
      <w:pPr>
        <w:pStyle w:val="BodyText"/>
        <w:spacing w:line="360" w:lineRule="auto"/>
        <w:ind w:left="1855" w:right="843" w:hanging="720"/>
        <w:jc w:val="both"/>
      </w:pPr>
      <w:r>
        <w:rPr/>
        <w:t>Roder,</w:t>
      </w:r>
      <w:r>
        <w:rPr>
          <w:spacing w:val="-10"/>
        </w:rPr>
        <w:t> </w:t>
      </w:r>
      <w:r>
        <w:rPr/>
        <w:t>M.,</w:t>
      </w:r>
      <w:r>
        <w:rPr>
          <w:spacing w:val="-7"/>
        </w:rPr>
        <w:t> </w:t>
      </w:r>
      <w:r>
        <w:rPr/>
        <w:t>Heuwieser,</w:t>
      </w:r>
      <w:r>
        <w:rPr>
          <w:spacing w:val="-7"/>
        </w:rPr>
        <w:t> </w:t>
      </w:r>
      <w:r>
        <w:rPr/>
        <w:t>W.,</w:t>
      </w:r>
      <w:r>
        <w:rPr>
          <w:spacing w:val="-7"/>
        </w:rPr>
        <w:t> </w:t>
      </w:r>
      <w:r>
        <w:rPr/>
        <w:t>Borchardt,</w:t>
      </w:r>
      <w:r>
        <w:rPr>
          <w:spacing w:val="-9"/>
        </w:rPr>
        <w:t> </w:t>
      </w:r>
      <w:r>
        <w:rPr/>
        <w:t>S.,</w:t>
      </w:r>
      <w:r>
        <w:rPr>
          <w:spacing w:val="-7"/>
        </w:rPr>
        <w:t> </w:t>
      </w:r>
      <w:r>
        <w:rPr/>
        <w:t>Plenio,</w:t>
      </w:r>
      <w:r>
        <w:rPr>
          <w:spacing w:val="-12"/>
        </w:rPr>
        <w:t> </w:t>
      </w:r>
      <w:r>
        <w:rPr/>
        <w:t>J.,</w:t>
      </w:r>
      <w:r>
        <w:rPr>
          <w:spacing w:val="-7"/>
        </w:rPr>
        <w:t> </w:t>
      </w:r>
      <w:r>
        <w:rPr/>
        <w:t>Palme,</w:t>
      </w:r>
      <w:r>
        <w:rPr>
          <w:spacing w:val="-7"/>
        </w:rPr>
        <w:t> </w:t>
      </w:r>
      <w:r>
        <w:rPr/>
        <w:t>R.,</w:t>
      </w:r>
      <w:r>
        <w:rPr>
          <w:spacing w:val="-11"/>
        </w:rPr>
        <w:t> </w:t>
      </w:r>
      <w:r>
        <w:rPr/>
        <w:t>&amp;</w:t>
      </w:r>
      <w:r>
        <w:rPr>
          <w:spacing w:val="-12"/>
        </w:rPr>
        <w:t> </w:t>
      </w:r>
      <w:r>
        <w:rPr/>
        <w:t>Sutter,</w:t>
      </w:r>
      <w:r>
        <w:rPr>
          <w:spacing w:val="-7"/>
        </w:rPr>
        <w:t> </w:t>
      </w:r>
      <w:r>
        <w:rPr/>
        <w:t>F.</w:t>
      </w:r>
      <w:r>
        <w:rPr>
          <w:spacing w:val="-7"/>
        </w:rPr>
        <w:t> </w:t>
      </w:r>
      <w:r>
        <w:rPr/>
        <w:t>(2020). </w:t>
      </w:r>
      <w:r>
        <w:rPr>
          <w:spacing w:val="-4"/>
        </w:rPr>
        <w:t>The</w:t>
      </w:r>
      <w:r>
        <w:rPr>
          <w:spacing w:val="-8"/>
        </w:rPr>
        <w:t> </w:t>
      </w:r>
      <w:r>
        <w:rPr>
          <w:spacing w:val="-4"/>
        </w:rPr>
        <w:t>effect of</w:t>
      </w:r>
      <w:r>
        <w:rPr>
          <w:spacing w:val="-8"/>
        </w:rPr>
        <w:t> </w:t>
      </w:r>
      <w:r>
        <w:rPr>
          <w:spacing w:val="-4"/>
        </w:rPr>
        <w:t>transdermal flunixin</w:t>
      </w:r>
      <w:r>
        <w:rPr>
          <w:spacing w:val="-5"/>
        </w:rPr>
        <w:t> </w:t>
      </w:r>
      <w:r>
        <w:rPr>
          <w:spacing w:val="-4"/>
        </w:rPr>
        <w:t>meglumine</w:t>
      </w:r>
      <w:r>
        <w:rPr>
          <w:spacing w:val="-6"/>
        </w:rPr>
        <w:t> </w:t>
      </w:r>
      <w:r>
        <w:rPr>
          <w:spacing w:val="-4"/>
        </w:rPr>
        <w:t>on</w:t>
      </w:r>
      <w:r>
        <w:rPr>
          <w:spacing w:val="-6"/>
        </w:rPr>
        <w:t> </w:t>
      </w:r>
      <w:r>
        <w:rPr>
          <w:spacing w:val="-4"/>
        </w:rPr>
        <w:t>blood</w:t>
      </w:r>
      <w:r>
        <w:rPr>
          <w:spacing w:val="-5"/>
        </w:rPr>
        <w:t> </w:t>
      </w:r>
      <w:r>
        <w:rPr>
          <w:spacing w:val="-4"/>
        </w:rPr>
        <w:t>cortisol</w:t>
      </w:r>
      <w:r>
        <w:rPr>
          <w:spacing w:val="-5"/>
        </w:rPr>
        <w:t> </w:t>
      </w:r>
      <w:r>
        <w:rPr>
          <w:spacing w:val="-4"/>
        </w:rPr>
        <w:t>levels</w:t>
      </w:r>
      <w:r>
        <w:rPr>
          <w:spacing w:val="-5"/>
        </w:rPr>
        <w:t> </w:t>
      </w:r>
      <w:r>
        <w:rPr>
          <w:spacing w:val="-4"/>
        </w:rPr>
        <w:t>in</w:t>
      </w:r>
      <w:r>
        <w:rPr>
          <w:spacing w:val="-6"/>
        </w:rPr>
        <w:t> </w:t>
      </w:r>
      <w:r>
        <w:rPr>
          <w:spacing w:val="-4"/>
        </w:rPr>
        <w:t>dairy </w:t>
      </w:r>
      <w:r>
        <w:rPr/>
        <w:t>calves after cautery disbudding with local anesthesia. Journala of Dairy science, 105(4), 3468-3476.</w:t>
      </w:r>
    </w:p>
    <w:p>
      <w:pPr>
        <w:pStyle w:val="BodyText"/>
        <w:spacing w:before="5"/>
        <w:ind w:left="0"/>
      </w:pPr>
    </w:p>
    <w:p>
      <w:pPr>
        <w:pStyle w:val="BodyText"/>
        <w:spacing w:line="360" w:lineRule="auto"/>
        <w:ind w:left="1855" w:right="854" w:hanging="720"/>
        <w:jc w:val="both"/>
      </w:pPr>
      <w:r>
        <w:rPr/>
        <w:t>Sadananda, V., MK, J., Hegde, M. N., Shetty, A., &amp; Gatti, P. (2022). Comparison of buffered and non buffered lidocaine: pH and pain perception. World Academy of Sciences Journal, 4(5), 1-4.</w:t>
      </w:r>
    </w:p>
    <w:p>
      <w:pPr>
        <w:pStyle w:val="BodyText"/>
        <w:spacing w:before="4"/>
        <w:ind w:left="0"/>
      </w:pPr>
    </w:p>
    <w:p>
      <w:pPr>
        <w:pStyle w:val="BodyText"/>
        <w:spacing w:line="360" w:lineRule="auto" w:before="1"/>
        <w:ind w:left="1855" w:right="846" w:hanging="720"/>
        <w:jc w:val="both"/>
      </w:pPr>
      <w:r>
        <w:rPr/>
        <w:t>Saraceni, J., Reedman, C., &amp; Winder, C. (2021). Pain management strategies for disbudding and dehorning in dairy calves: A review. Veterinary Clinics of North America: Food Animal Practice, 37(2), 243-259.</w:t>
      </w:r>
    </w:p>
    <w:p>
      <w:pPr>
        <w:pStyle w:val="BodyText"/>
        <w:spacing w:before="3"/>
        <w:ind w:left="0"/>
      </w:pPr>
    </w:p>
    <w:p>
      <w:pPr>
        <w:pStyle w:val="BodyText"/>
        <w:spacing w:line="360" w:lineRule="auto"/>
        <w:ind w:left="1855" w:right="842" w:hanging="720"/>
        <w:jc w:val="both"/>
      </w:pPr>
      <w:r>
        <w:rPr/>
        <w:t>Saraceni, J., Renaud, D., Nelson, E., Van os, J., Milltenburg, C., &amp; Winder, C. (2022). Ontario dairy producers perceived barriers and motivations to the Use</w:t>
      </w:r>
      <w:r>
        <w:rPr>
          <w:spacing w:val="26"/>
        </w:rPr>
        <w:t> </w:t>
      </w:r>
      <w:r>
        <w:rPr/>
        <w:t>of</w:t>
      </w:r>
      <w:r>
        <w:rPr>
          <w:spacing w:val="30"/>
        </w:rPr>
        <w:t> </w:t>
      </w:r>
      <w:r>
        <w:rPr/>
        <w:t>Pain</w:t>
      </w:r>
      <w:r>
        <w:rPr>
          <w:spacing w:val="31"/>
        </w:rPr>
        <w:t> </w:t>
      </w:r>
      <w:r>
        <w:rPr/>
        <w:t>Control</w:t>
      </w:r>
      <w:r>
        <w:rPr>
          <w:spacing w:val="31"/>
        </w:rPr>
        <w:t> </w:t>
      </w:r>
      <w:r>
        <w:rPr/>
        <w:t>for</w:t>
      </w:r>
      <w:r>
        <w:rPr>
          <w:spacing w:val="29"/>
        </w:rPr>
        <w:t> </w:t>
      </w:r>
      <w:r>
        <w:rPr/>
        <w:t>disbudding</w:t>
      </w:r>
      <w:r>
        <w:rPr>
          <w:spacing w:val="28"/>
        </w:rPr>
        <w:t> </w:t>
      </w:r>
      <w:r>
        <w:rPr/>
        <w:t>and</w:t>
      </w:r>
      <w:r>
        <w:rPr>
          <w:spacing w:val="30"/>
        </w:rPr>
        <w:t> </w:t>
      </w:r>
      <w:r>
        <w:rPr/>
        <w:t>dehorning</w:t>
      </w:r>
      <w:r>
        <w:rPr>
          <w:spacing w:val="28"/>
        </w:rPr>
        <w:t> </w:t>
      </w:r>
      <w:r>
        <w:rPr/>
        <w:t>calves:</w:t>
      </w:r>
      <w:r>
        <w:rPr>
          <w:spacing w:val="31"/>
        </w:rPr>
        <w:t> </w:t>
      </w:r>
      <w:r>
        <w:rPr/>
        <w:t>A</w:t>
      </w:r>
      <w:r>
        <w:rPr>
          <w:spacing w:val="30"/>
        </w:rPr>
        <w:t> </w:t>
      </w:r>
      <w:r>
        <w:rPr>
          <w:spacing w:val="-2"/>
        </w:rPr>
        <w:t>Qualitative</w:t>
      </w:r>
    </w:p>
    <w:p>
      <w:pPr>
        <w:pStyle w:val="BodyText"/>
        <w:spacing w:after="0" w:line="360" w:lineRule="auto"/>
        <w:jc w:val="both"/>
        <w:sectPr>
          <w:pgSz w:w="11900" w:h="16860"/>
          <w:pgMar w:header="0" w:footer="1084" w:top="1620" w:bottom="1280" w:left="1133" w:right="850"/>
        </w:sectPr>
      </w:pPr>
    </w:p>
    <w:p>
      <w:pPr>
        <w:pStyle w:val="BodyText"/>
        <w:spacing w:before="70"/>
        <w:ind w:left="1855"/>
      </w:pPr>
      <w:r>
        <w:rPr/>
        <w:t>study.</w:t>
      </w:r>
      <w:r>
        <w:rPr>
          <w:spacing w:val="-4"/>
        </w:rPr>
        <w:t> </w:t>
      </w:r>
      <w:r>
        <w:rPr/>
        <w:t>Animals,</w:t>
      </w:r>
      <w:r>
        <w:rPr>
          <w:spacing w:val="-2"/>
        </w:rPr>
        <w:t> </w:t>
      </w:r>
      <w:r>
        <w:rPr/>
        <w:t>12(8),</w:t>
      </w:r>
      <w:r>
        <w:rPr>
          <w:spacing w:val="-1"/>
        </w:rPr>
        <w:t> </w:t>
      </w:r>
      <w:r>
        <w:rPr>
          <w:spacing w:val="-4"/>
        </w:rPr>
        <w:t>973.</w:t>
      </w:r>
    </w:p>
    <w:p>
      <w:pPr>
        <w:pStyle w:val="BodyText"/>
        <w:spacing w:before="142"/>
        <w:ind w:left="0"/>
      </w:pPr>
    </w:p>
    <w:p>
      <w:pPr>
        <w:pStyle w:val="BodyText"/>
        <w:spacing w:line="360" w:lineRule="auto"/>
        <w:ind w:left="1855" w:right="846" w:hanging="720"/>
        <w:jc w:val="both"/>
      </w:pPr>
      <w:r>
        <w:rPr/>
        <w:t>Saraceni, S., Winder, C., Renaud, D., Miltenburg, C., Nelsom, E., &amp; Van Os, J. (2021).</w:t>
      </w:r>
      <w:r>
        <w:rPr>
          <w:spacing w:val="-1"/>
        </w:rPr>
        <w:t> </w:t>
      </w:r>
      <w:r>
        <w:rPr/>
        <w:t>Disbudding</w:t>
      </w:r>
      <w:r>
        <w:rPr>
          <w:spacing w:val="-3"/>
        </w:rPr>
        <w:t> </w:t>
      </w:r>
      <w:r>
        <w:rPr/>
        <w:t>and dehorning</w:t>
      </w:r>
      <w:r>
        <w:rPr>
          <w:spacing w:val="-3"/>
        </w:rPr>
        <w:t> </w:t>
      </w:r>
      <w:r>
        <w:rPr/>
        <w:t>practices for</w:t>
      </w:r>
      <w:r>
        <w:rPr>
          <w:spacing w:val="-2"/>
        </w:rPr>
        <w:t> </w:t>
      </w:r>
      <w:r>
        <w:rPr/>
        <w:t>preweaned dairy</w:t>
      </w:r>
      <w:r>
        <w:rPr>
          <w:spacing w:val="-5"/>
        </w:rPr>
        <w:t> </w:t>
      </w:r>
      <w:r>
        <w:rPr/>
        <w:t>calves</w:t>
      </w:r>
      <w:r>
        <w:rPr>
          <w:spacing w:val="-1"/>
        </w:rPr>
        <w:t> </w:t>
      </w:r>
      <w:r>
        <w:rPr/>
        <w:t>by farmers in Wisconsin, USA. Journal of dairy science, 104(11), 11995-</w:t>
      </w:r>
      <w:r>
        <w:rPr>
          <w:spacing w:val="-2"/>
        </w:rPr>
        <w:t>12008.</w:t>
      </w:r>
    </w:p>
    <w:p>
      <w:pPr>
        <w:pStyle w:val="BodyText"/>
        <w:spacing w:before="5"/>
        <w:ind w:left="0"/>
      </w:pPr>
    </w:p>
    <w:p>
      <w:pPr>
        <w:pStyle w:val="BodyText"/>
        <w:spacing w:line="360" w:lineRule="auto"/>
        <w:ind w:left="1855" w:right="849" w:hanging="720"/>
        <w:jc w:val="both"/>
      </w:pPr>
      <w:r>
        <w:rPr/>
        <w:t>Scerri, T., Lomax, S., Thomson, P., Kimble, B., White, P., Govendir, M., . . . Van der</w:t>
      </w:r>
      <w:r>
        <w:rPr>
          <w:spacing w:val="-12"/>
        </w:rPr>
        <w:t> </w:t>
      </w:r>
      <w:r>
        <w:rPr/>
        <w:t>Saag,</w:t>
      </w:r>
      <w:r>
        <w:rPr>
          <w:spacing w:val="-12"/>
        </w:rPr>
        <w:t> </w:t>
      </w:r>
      <w:r>
        <w:rPr/>
        <w:t>D.</w:t>
      </w:r>
      <w:r>
        <w:rPr>
          <w:spacing w:val="-12"/>
        </w:rPr>
        <w:t> </w:t>
      </w:r>
      <w:r>
        <w:rPr/>
        <w:t>(2025).</w:t>
      </w:r>
      <w:r>
        <w:rPr>
          <w:spacing w:val="-12"/>
        </w:rPr>
        <w:t> </w:t>
      </w:r>
      <w:r>
        <w:rPr/>
        <w:t>Medicated</w:t>
      </w:r>
      <w:r>
        <w:rPr>
          <w:spacing w:val="-12"/>
        </w:rPr>
        <w:t> </w:t>
      </w:r>
      <w:r>
        <w:rPr/>
        <w:t>Meloxicam</w:t>
      </w:r>
      <w:r>
        <w:rPr>
          <w:spacing w:val="-12"/>
        </w:rPr>
        <w:t> </w:t>
      </w:r>
      <w:r>
        <w:rPr/>
        <w:t>Pellets</w:t>
      </w:r>
      <w:r>
        <w:rPr>
          <w:spacing w:val="-12"/>
        </w:rPr>
        <w:t> </w:t>
      </w:r>
      <w:r>
        <w:rPr/>
        <w:t>Reduce</w:t>
      </w:r>
      <w:r>
        <w:rPr>
          <w:spacing w:val="-13"/>
        </w:rPr>
        <w:t> </w:t>
      </w:r>
      <w:r>
        <w:rPr/>
        <w:t>Some</w:t>
      </w:r>
      <w:r>
        <w:rPr>
          <w:spacing w:val="-11"/>
        </w:rPr>
        <w:t> </w:t>
      </w:r>
      <w:r>
        <w:rPr/>
        <w:t>Indicators of Pain in Disbudded Dairy Calves. Animals, 15(11), 1641.</w:t>
      </w:r>
    </w:p>
    <w:p>
      <w:pPr>
        <w:pStyle w:val="BodyText"/>
        <w:spacing w:before="4"/>
        <w:ind w:left="0"/>
      </w:pPr>
    </w:p>
    <w:p>
      <w:pPr>
        <w:pStyle w:val="BodyText"/>
      </w:pPr>
      <w:r>
        <w:rPr/>
        <w:t>Schoiswohl,</w:t>
      </w:r>
      <w:r>
        <w:rPr>
          <w:spacing w:val="-10"/>
        </w:rPr>
        <w:t> </w:t>
      </w:r>
      <w:r>
        <w:rPr/>
        <w:t>J.,</w:t>
      </w:r>
      <w:r>
        <w:rPr>
          <w:spacing w:val="-11"/>
        </w:rPr>
        <w:t> </w:t>
      </w:r>
      <w:r>
        <w:rPr/>
        <w:t>Stanitznig</w:t>
      </w:r>
      <w:r>
        <w:rPr>
          <w:spacing w:val="-9"/>
        </w:rPr>
        <w:t> </w:t>
      </w:r>
      <w:r>
        <w:rPr/>
        <w:t>,</w:t>
      </w:r>
      <w:r>
        <w:rPr>
          <w:spacing w:val="-9"/>
        </w:rPr>
        <w:t> </w:t>
      </w:r>
      <w:r>
        <w:rPr/>
        <w:t>A.,</w:t>
      </w:r>
      <w:r>
        <w:rPr>
          <w:spacing w:val="-6"/>
        </w:rPr>
        <w:t> </w:t>
      </w:r>
      <w:r>
        <w:rPr/>
        <w:t>Smetanig,</w:t>
      </w:r>
      <w:r>
        <w:rPr>
          <w:spacing w:val="-8"/>
        </w:rPr>
        <w:t> </w:t>
      </w:r>
      <w:r>
        <w:rPr/>
        <w:t>C.,</w:t>
      </w:r>
      <w:r>
        <w:rPr>
          <w:spacing w:val="-6"/>
        </w:rPr>
        <w:t> </w:t>
      </w:r>
      <w:r>
        <w:rPr/>
        <w:t>Kneissl,</w:t>
      </w:r>
      <w:r>
        <w:rPr>
          <w:spacing w:val="-5"/>
        </w:rPr>
        <w:t> </w:t>
      </w:r>
      <w:r>
        <w:rPr/>
        <w:t>S.,</w:t>
      </w:r>
      <w:r>
        <w:rPr>
          <w:spacing w:val="-8"/>
        </w:rPr>
        <w:t> </w:t>
      </w:r>
      <w:r>
        <w:rPr/>
        <w:t>Thaller,</w:t>
      </w:r>
      <w:r>
        <w:rPr>
          <w:spacing w:val="-7"/>
        </w:rPr>
        <w:t> </w:t>
      </w:r>
      <w:r>
        <w:rPr/>
        <w:t>D.,</w:t>
      </w:r>
      <w:r>
        <w:rPr>
          <w:spacing w:val="-9"/>
        </w:rPr>
        <w:t> </w:t>
      </w:r>
      <w:r>
        <w:rPr/>
        <w:t>Juffinger,</w:t>
      </w:r>
      <w:r>
        <w:rPr>
          <w:spacing w:val="-8"/>
        </w:rPr>
        <w:t> </w:t>
      </w:r>
      <w:r>
        <w:rPr>
          <w:spacing w:val="-5"/>
        </w:rPr>
        <w:t>A.,</w:t>
      </w:r>
    </w:p>
    <w:p>
      <w:pPr>
        <w:pStyle w:val="BodyText"/>
        <w:spacing w:before="142"/>
        <w:ind w:left="0"/>
      </w:pPr>
    </w:p>
    <w:p>
      <w:pPr>
        <w:pStyle w:val="BodyText"/>
        <w:spacing w:line="360" w:lineRule="auto"/>
        <w:ind w:left="1855" w:right="846" w:hanging="720"/>
        <w:jc w:val="both"/>
      </w:pPr>
      <w:r>
        <w:rPr/>
        <w:t>Sheedy, D., Aly , S., Tucker, C., &amp; Lehenbauer, T. (2024). The history and future of the cornual nerve block for calf disbudding. Journal of Dairy Science Communications, 5(4), 305–309.</w:t>
      </w:r>
    </w:p>
    <w:p>
      <w:pPr>
        <w:pStyle w:val="BodyText"/>
        <w:spacing w:before="4"/>
        <w:ind w:left="0"/>
      </w:pPr>
    </w:p>
    <w:p>
      <w:pPr>
        <w:pStyle w:val="BodyText"/>
        <w:spacing w:line="360" w:lineRule="auto"/>
        <w:ind w:left="1855" w:right="848" w:hanging="720"/>
        <w:jc w:val="both"/>
      </w:pPr>
      <w:r>
        <w:rPr/>
        <w:t>Souza, K., Tavares, V., Gercina, A., Groppo, F., &amp; Almeida, L. (2020). Buffered 2% articaine versus non-buffered 4% articaine in maxillary. Clinical Oral Investigations, 25(2021), 3527–3533.</w:t>
      </w:r>
    </w:p>
    <w:p>
      <w:pPr>
        <w:pStyle w:val="BodyText"/>
        <w:spacing w:before="4"/>
        <w:ind w:left="0"/>
      </w:pPr>
    </w:p>
    <w:p>
      <w:pPr>
        <w:pStyle w:val="BodyText"/>
        <w:spacing w:line="360" w:lineRule="auto"/>
        <w:ind w:left="1855" w:right="854" w:hanging="720"/>
        <w:jc w:val="both"/>
      </w:pPr>
      <w:r>
        <w:rPr/>
        <w:t>Stafford, K., &amp; Mellor, D. (2004). Dehorning and disbudding distress and its alleviation in calves. The Veterinary journal, 169(2005), 337-349.</w:t>
      </w:r>
    </w:p>
    <w:p>
      <w:pPr>
        <w:pStyle w:val="BodyText"/>
        <w:spacing w:before="5"/>
        <w:ind w:left="0"/>
      </w:pPr>
    </w:p>
    <w:p>
      <w:pPr>
        <w:pStyle w:val="BodyText"/>
      </w:pPr>
      <w:r>
        <w:rPr/>
        <w:t>Stock,</w:t>
      </w:r>
      <w:r>
        <w:rPr>
          <w:spacing w:val="-17"/>
        </w:rPr>
        <w:t> </w:t>
      </w:r>
      <w:r>
        <w:rPr/>
        <w:t>M.,</w:t>
      </w:r>
      <w:r>
        <w:rPr>
          <w:spacing w:val="-14"/>
        </w:rPr>
        <w:t> </w:t>
      </w:r>
      <w:r>
        <w:rPr/>
        <w:t>Kleingenz,</w:t>
      </w:r>
      <w:r>
        <w:rPr>
          <w:spacing w:val="-10"/>
        </w:rPr>
        <w:t> </w:t>
      </w:r>
      <w:r>
        <w:rPr/>
        <w:t>M.,</w:t>
      </w:r>
      <w:r>
        <w:rPr>
          <w:spacing w:val="-12"/>
        </w:rPr>
        <w:t> </w:t>
      </w:r>
      <w:r>
        <w:rPr/>
        <w:t>Mazloom,</w:t>
      </w:r>
      <w:r>
        <w:rPr>
          <w:spacing w:val="-10"/>
        </w:rPr>
        <w:t> </w:t>
      </w:r>
      <w:r>
        <w:rPr/>
        <w:t>R.,</w:t>
      </w:r>
      <w:r>
        <w:rPr>
          <w:spacing w:val="-15"/>
        </w:rPr>
        <w:t> </w:t>
      </w:r>
      <w:r>
        <w:rPr/>
        <w:t>Jaberi,</w:t>
      </w:r>
      <w:r>
        <w:rPr>
          <w:spacing w:val="-13"/>
        </w:rPr>
        <w:t> </w:t>
      </w:r>
      <w:r>
        <w:rPr/>
        <w:t>M.,</w:t>
      </w:r>
      <w:r>
        <w:rPr>
          <w:spacing w:val="-10"/>
        </w:rPr>
        <w:t> </w:t>
      </w:r>
      <w:r>
        <w:rPr/>
        <w:t>Barth,</w:t>
      </w:r>
      <w:r>
        <w:rPr>
          <w:spacing w:val="-9"/>
        </w:rPr>
        <w:t> </w:t>
      </w:r>
      <w:r>
        <w:rPr/>
        <w:t>L.,</w:t>
      </w:r>
      <w:r>
        <w:rPr>
          <w:spacing w:val="-7"/>
        </w:rPr>
        <w:t> </w:t>
      </w:r>
      <w:r>
        <w:rPr/>
        <w:t>Van,</w:t>
      </w:r>
      <w:r>
        <w:rPr>
          <w:spacing w:val="-13"/>
        </w:rPr>
        <w:t> </w:t>
      </w:r>
      <w:r>
        <w:rPr/>
        <w:t>N.,</w:t>
      </w:r>
      <w:r>
        <w:rPr>
          <w:spacing w:val="-9"/>
        </w:rPr>
        <w:t> </w:t>
      </w:r>
      <w:r>
        <w:rPr/>
        <w:t>.</w:t>
      </w:r>
      <w:r>
        <w:rPr>
          <w:spacing w:val="-10"/>
        </w:rPr>
        <w:t> </w:t>
      </w:r>
      <w:r>
        <w:rPr/>
        <w:t>.</w:t>
      </w:r>
      <w:r>
        <w:rPr>
          <w:spacing w:val="-13"/>
        </w:rPr>
        <w:t> </w:t>
      </w:r>
      <w:r>
        <w:rPr/>
        <w:t>.</w:t>
      </w:r>
      <w:r>
        <w:rPr>
          <w:spacing w:val="-10"/>
        </w:rPr>
        <w:t> </w:t>
      </w:r>
      <w:r>
        <w:rPr>
          <w:spacing w:val="-2"/>
        </w:rPr>
        <w:t>Coetzee,</w:t>
      </w:r>
    </w:p>
    <w:p>
      <w:pPr>
        <w:pStyle w:val="BodyText"/>
        <w:spacing w:before="141"/>
        <w:ind w:left="0"/>
      </w:pPr>
    </w:p>
    <w:p>
      <w:pPr>
        <w:pStyle w:val="BodyText"/>
        <w:spacing w:line="360" w:lineRule="auto"/>
        <w:ind w:left="1855" w:right="846" w:hanging="720"/>
        <w:jc w:val="both"/>
      </w:pPr>
      <w:r>
        <w:rPr/>
        <w:t>Trevisan,</w:t>
      </w:r>
      <w:r>
        <w:rPr>
          <w:spacing w:val="-5"/>
        </w:rPr>
        <w:t> </w:t>
      </w:r>
      <w:r>
        <w:rPr/>
        <w:t>G.,</w:t>
      </w:r>
      <w:r>
        <w:rPr>
          <w:spacing w:val="-5"/>
        </w:rPr>
        <w:t> </w:t>
      </w:r>
      <w:r>
        <w:rPr/>
        <w:t>Pinho,</w:t>
      </w:r>
      <w:r>
        <w:rPr>
          <w:spacing w:val="-4"/>
        </w:rPr>
        <w:t> </w:t>
      </w:r>
      <w:r>
        <w:rPr/>
        <w:t>R.,</w:t>
      </w:r>
      <w:r>
        <w:rPr>
          <w:spacing w:val="-7"/>
        </w:rPr>
        <w:t> </w:t>
      </w:r>
      <w:r>
        <w:rPr/>
        <w:t>do</w:t>
      </w:r>
      <w:r>
        <w:rPr>
          <w:spacing w:val="-7"/>
        </w:rPr>
        <w:t> </w:t>
      </w:r>
      <w:r>
        <w:rPr/>
        <w:t>AmaraP,</w:t>
      </w:r>
      <w:r>
        <w:rPr>
          <w:spacing w:val="-6"/>
        </w:rPr>
        <w:t> </w:t>
      </w:r>
      <w:r>
        <w:rPr/>
        <w:t>J.,</w:t>
      </w:r>
      <w:r>
        <w:rPr>
          <w:spacing w:val="-5"/>
        </w:rPr>
        <w:t> </w:t>
      </w:r>
      <w:r>
        <w:rPr/>
        <w:t>&amp;</w:t>
      </w:r>
      <w:r>
        <w:rPr>
          <w:spacing w:val="-4"/>
        </w:rPr>
        <w:t> </w:t>
      </w:r>
      <w:r>
        <w:rPr/>
        <w:t>Loureiro,</w:t>
      </w:r>
      <w:r>
        <w:rPr>
          <w:spacing w:val="-7"/>
        </w:rPr>
        <w:t> </w:t>
      </w:r>
      <w:r>
        <w:rPr/>
        <w:t>S.</w:t>
      </w:r>
      <w:r>
        <w:rPr>
          <w:spacing w:val="-5"/>
        </w:rPr>
        <w:t> </w:t>
      </w:r>
      <w:r>
        <w:rPr/>
        <w:t>(2022).</w:t>
      </w:r>
      <w:r>
        <w:rPr>
          <w:spacing w:val="-7"/>
        </w:rPr>
        <w:t> </w:t>
      </w:r>
      <w:r>
        <w:rPr/>
        <w:t>The</w:t>
      </w:r>
      <w:r>
        <w:rPr>
          <w:spacing w:val="-6"/>
        </w:rPr>
        <w:t> </w:t>
      </w:r>
      <w:r>
        <w:rPr/>
        <w:t>analgesic</w:t>
      </w:r>
      <w:r>
        <w:rPr>
          <w:spacing w:val="-3"/>
        </w:rPr>
        <w:t> </w:t>
      </w:r>
      <w:r>
        <w:rPr/>
        <w:t>effect of preventive administration of meloxicam in calves submitted to hot-iron dehorning. Ciencia Rural, 52(10), e20210302.</w:t>
      </w:r>
    </w:p>
    <w:p>
      <w:pPr>
        <w:pStyle w:val="BodyText"/>
        <w:spacing w:before="5"/>
        <w:ind w:left="0"/>
      </w:pPr>
    </w:p>
    <w:p>
      <w:pPr>
        <w:pStyle w:val="BodyText"/>
        <w:spacing w:line="360" w:lineRule="auto"/>
        <w:ind w:left="1855" w:right="847" w:hanging="720"/>
        <w:jc w:val="both"/>
      </w:pPr>
      <w:r>
        <w:rPr/>
        <w:t>Tschoner, T. (2021). Methods for pain assessment in calves and their use for the evaluation of pain duringvdifferent procedures- a review. Animals, 11(5), </w:t>
      </w:r>
      <w:r>
        <w:rPr>
          <w:spacing w:val="-2"/>
        </w:rPr>
        <w:t>1235.</w:t>
      </w:r>
    </w:p>
    <w:p>
      <w:pPr>
        <w:pStyle w:val="BodyText"/>
        <w:spacing w:before="3"/>
        <w:ind w:left="0"/>
      </w:pPr>
    </w:p>
    <w:p>
      <w:pPr>
        <w:pStyle w:val="BodyText"/>
        <w:spacing w:line="360" w:lineRule="auto"/>
        <w:ind w:left="1855" w:right="848" w:hanging="720"/>
        <w:jc w:val="both"/>
      </w:pPr>
      <w:r>
        <w:rPr/>
        <w:t>Venkatachalam, D., Kells, N., Chambers, P., Jacob, A., Ward, N., &amp; Singh, P. (2022).</w:t>
      </w:r>
      <w:r>
        <w:rPr>
          <w:spacing w:val="10"/>
        </w:rPr>
        <w:t> </w:t>
      </w:r>
      <w:r>
        <w:rPr/>
        <w:t>Pharmacokinetics</w:t>
      </w:r>
      <w:r>
        <w:rPr>
          <w:spacing w:val="14"/>
        </w:rPr>
        <w:t> </w:t>
      </w:r>
      <w:r>
        <w:rPr/>
        <w:t>and</w:t>
      </w:r>
      <w:r>
        <w:rPr>
          <w:spacing w:val="13"/>
        </w:rPr>
        <w:t> </w:t>
      </w:r>
      <w:r>
        <w:rPr/>
        <w:t>efficacy</w:t>
      </w:r>
      <w:r>
        <w:rPr>
          <w:spacing w:val="9"/>
        </w:rPr>
        <w:t> </w:t>
      </w:r>
      <w:r>
        <w:rPr/>
        <w:t>of</w:t>
      </w:r>
      <w:r>
        <w:rPr>
          <w:spacing w:val="15"/>
        </w:rPr>
        <w:t> </w:t>
      </w:r>
      <w:r>
        <w:rPr/>
        <w:t>a</w:t>
      </w:r>
      <w:r>
        <w:rPr>
          <w:spacing w:val="12"/>
        </w:rPr>
        <w:t> </w:t>
      </w:r>
      <w:r>
        <w:rPr/>
        <w:t>novel</w:t>
      </w:r>
      <w:r>
        <w:rPr>
          <w:spacing w:val="16"/>
        </w:rPr>
        <w:t> </w:t>
      </w:r>
      <w:r>
        <w:rPr/>
        <w:t>long-acting</w:t>
      </w:r>
      <w:r>
        <w:rPr>
          <w:spacing w:val="11"/>
        </w:rPr>
        <w:t> </w:t>
      </w:r>
      <w:r>
        <w:rPr>
          <w:spacing w:val="-2"/>
        </w:rPr>
        <w:t>bupivacaine</w:t>
      </w:r>
    </w:p>
    <w:p>
      <w:pPr>
        <w:pStyle w:val="BodyText"/>
        <w:spacing w:after="0" w:line="360" w:lineRule="auto"/>
        <w:jc w:val="both"/>
        <w:sectPr>
          <w:pgSz w:w="11900" w:h="16860"/>
          <w:pgMar w:header="0" w:footer="1084" w:top="1620" w:bottom="1280" w:left="1133" w:right="850"/>
        </w:sectPr>
      </w:pPr>
    </w:p>
    <w:p>
      <w:pPr>
        <w:pStyle w:val="BodyText"/>
        <w:spacing w:line="360" w:lineRule="auto" w:before="70"/>
        <w:ind w:left="1855" w:right="849"/>
      </w:pPr>
      <w:r>
        <w:rPr/>
        <w:t>formulation</w:t>
      </w:r>
      <w:r>
        <w:rPr>
          <w:spacing w:val="40"/>
        </w:rPr>
        <w:t> </w:t>
      </w:r>
      <w:r>
        <w:rPr/>
        <w:t>for</w:t>
      </w:r>
      <w:r>
        <w:rPr>
          <w:spacing w:val="40"/>
        </w:rPr>
        <w:t> </w:t>
      </w:r>
      <w:r>
        <w:rPr/>
        <w:t>cornual</w:t>
      </w:r>
      <w:r>
        <w:rPr>
          <w:spacing w:val="40"/>
        </w:rPr>
        <w:t> </w:t>
      </w:r>
      <w:r>
        <w:rPr/>
        <w:t>nerve</w:t>
      </w:r>
      <w:r>
        <w:rPr>
          <w:spacing w:val="40"/>
        </w:rPr>
        <w:t> </w:t>
      </w:r>
      <w:r>
        <w:rPr/>
        <w:t>block</w:t>
      </w:r>
      <w:r>
        <w:rPr>
          <w:spacing w:val="40"/>
        </w:rPr>
        <w:t> </w:t>
      </w:r>
      <w:r>
        <w:rPr/>
        <w:t>in</w:t>
      </w:r>
      <w:r>
        <w:rPr>
          <w:spacing w:val="40"/>
        </w:rPr>
        <w:t> </w:t>
      </w:r>
      <w:r>
        <w:rPr/>
        <w:t>calves.</w:t>
      </w:r>
      <w:r>
        <w:rPr>
          <w:spacing w:val="40"/>
        </w:rPr>
        <w:t> </w:t>
      </w:r>
      <w:r>
        <w:rPr/>
        <w:t>Frontiers</w:t>
      </w:r>
      <w:r>
        <w:rPr>
          <w:spacing w:val="40"/>
        </w:rPr>
        <w:t> </w:t>
      </w:r>
      <w:r>
        <w:rPr/>
        <w:t>in</w:t>
      </w:r>
      <w:r>
        <w:rPr>
          <w:spacing w:val="40"/>
        </w:rPr>
        <w:t> </w:t>
      </w:r>
      <w:r>
        <w:rPr/>
        <w:t>Veterinary Science, 9, 1060951.</w:t>
      </w:r>
    </w:p>
    <w:p>
      <w:pPr>
        <w:pStyle w:val="BodyText"/>
        <w:spacing w:before="5"/>
        <w:ind w:left="0"/>
      </w:pPr>
    </w:p>
    <w:p>
      <w:pPr>
        <w:pStyle w:val="BodyText"/>
        <w:spacing w:line="360" w:lineRule="auto"/>
        <w:ind w:left="1855" w:right="847" w:hanging="720"/>
        <w:jc w:val="both"/>
      </w:pPr>
      <w:r>
        <w:rPr/>
        <w:t>Vent, A., Surber, C., Tracy, N., Figueiredo, V., Schönbächler, G., Imhof, L., . . . Hafner, J. (2020). Buffered lidocaine 1%/epinephrine 1:100,000 with sodium bicarbonate (sodium hydrogen carbonate) in a 3:1 ratio is less painful than a 9:1 ratio: A double-blind, randomized, placebo-controlled, crossover trial. Journal of the American Academy of Dermatology, 83(1), </w:t>
      </w:r>
      <w:r>
        <w:rPr>
          <w:spacing w:val="-2"/>
        </w:rPr>
        <w:t>159-167.</w:t>
      </w:r>
    </w:p>
    <w:p>
      <w:pPr>
        <w:pStyle w:val="BodyText"/>
        <w:spacing w:before="3"/>
        <w:ind w:left="0"/>
      </w:pPr>
    </w:p>
    <w:p>
      <w:pPr>
        <w:pStyle w:val="BodyText"/>
        <w:spacing w:line="360" w:lineRule="auto" w:before="1"/>
        <w:ind w:left="1855" w:right="848" w:hanging="720"/>
        <w:jc w:val="both"/>
      </w:pPr>
      <w:r>
        <w:rPr/>
        <w:t>Viscardi, A., Kleinhenz, M., Martin, M., Montgomery, S., Cull, C., Seagren, J., Lechtenberg,</w:t>
      </w:r>
      <w:r>
        <w:rPr>
          <w:spacing w:val="-3"/>
        </w:rPr>
        <w:t> </w:t>
      </w:r>
      <w:r>
        <w:rPr/>
        <w:t>K.,</w:t>
      </w:r>
      <w:r>
        <w:rPr>
          <w:spacing w:val="-3"/>
        </w:rPr>
        <w:t> </w:t>
      </w:r>
      <w:r>
        <w:rPr/>
        <w:t>&amp;</w:t>
      </w:r>
      <w:r>
        <w:rPr>
          <w:spacing w:val="-6"/>
        </w:rPr>
        <w:t> </w:t>
      </w:r>
      <w:r>
        <w:rPr/>
        <w:t>Coetzee,</w:t>
      </w:r>
      <w:r>
        <w:rPr>
          <w:spacing w:val="-3"/>
        </w:rPr>
        <w:t> </w:t>
      </w:r>
      <w:r>
        <w:rPr/>
        <w:t>J.</w:t>
      </w:r>
      <w:r>
        <w:rPr>
          <w:spacing w:val="-3"/>
        </w:rPr>
        <w:t> </w:t>
      </w:r>
      <w:r>
        <w:rPr/>
        <w:t>(2022).</w:t>
      </w:r>
      <w:r>
        <w:rPr>
          <w:spacing w:val="-3"/>
        </w:rPr>
        <w:t> </w:t>
      </w:r>
      <w:r>
        <w:rPr/>
        <w:t>Evaluating</w:t>
      </w:r>
      <w:r>
        <w:rPr>
          <w:spacing w:val="-5"/>
        </w:rPr>
        <w:t> </w:t>
      </w:r>
      <w:r>
        <w:rPr/>
        <w:t>the</w:t>
      </w:r>
      <w:r>
        <w:rPr>
          <w:spacing w:val="-3"/>
        </w:rPr>
        <w:t> </w:t>
      </w:r>
      <w:r>
        <w:rPr/>
        <w:t>efficacy</w:t>
      </w:r>
      <w:r>
        <w:rPr>
          <w:spacing w:val="-11"/>
        </w:rPr>
        <w:t> </w:t>
      </w:r>
      <w:r>
        <w:rPr/>
        <w:t>of</w:t>
      </w:r>
      <w:r>
        <w:rPr>
          <w:spacing w:val="-3"/>
        </w:rPr>
        <w:t> </w:t>
      </w:r>
      <w:r>
        <w:rPr/>
        <w:t>two</w:t>
      </w:r>
      <w:r>
        <w:rPr>
          <w:spacing w:val="-3"/>
        </w:rPr>
        <w:t> </w:t>
      </w:r>
      <w:r>
        <w:rPr/>
        <w:t>local anesthetics to extend analgesia in Holstein calves after dehorning. AABP Proceedings, 55(1), 178.</w:t>
      </w:r>
    </w:p>
    <w:p>
      <w:pPr>
        <w:pStyle w:val="BodyText"/>
        <w:spacing w:before="4"/>
        <w:ind w:left="0"/>
      </w:pPr>
    </w:p>
    <w:p>
      <w:pPr>
        <w:pStyle w:val="BodyText"/>
        <w:spacing w:line="360" w:lineRule="auto" w:before="1"/>
        <w:ind w:left="1855" w:right="850" w:hanging="720"/>
        <w:jc w:val="both"/>
      </w:pPr>
      <w:r>
        <w:rPr/>
        <w:t>Winder, C. B., et al. (2020). Effects of local anesthetic or systemic analgesia on pain</w:t>
      </w:r>
      <w:r>
        <w:rPr>
          <w:spacing w:val="-6"/>
        </w:rPr>
        <w:t> </w:t>
      </w:r>
      <w:r>
        <w:rPr/>
        <w:t>associated</w:t>
      </w:r>
      <w:r>
        <w:rPr>
          <w:spacing w:val="-7"/>
        </w:rPr>
        <w:t> </w:t>
      </w:r>
      <w:r>
        <w:rPr/>
        <w:t>with</w:t>
      </w:r>
      <w:r>
        <w:rPr>
          <w:spacing w:val="-6"/>
        </w:rPr>
        <w:t> </w:t>
      </w:r>
      <w:r>
        <w:rPr/>
        <w:t>cautery</w:t>
      </w:r>
      <w:r>
        <w:rPr>
          <w:spacing w:val="-11"/>
        </w:rPr>
        <w:t> </w:t>
      </w:r>
      <w:r>
        <w:rPr/>
        <w:t>disbudding</w:t>
      </w:r>
      <w:r>
        <w:rPr>
          <w:spacing w:val="-9"/>
        </w:rPr>
        <w:t> </w:t>
      </w:r>
      <w:r>
        <w:rPr/>
        <w:t>in</w:t>
      </w:r>
      <w:r>
        <w:rPr>
          <w:spacing w:val="-6"/>
        </w:rPr>
        <w:t> </w:t>
      </w:r>
      <w:r>
        <w:rPr/>
        <w:t>calves:</w:t>
      </w:r>
      <w:r>
        <w:rPr>
          <w:spacing w:val="-6"/>
        </w:rPr>
        <w:t> </w:t>
      </w:r>
      <w:r>
        <w:rPr/>
        <w:t>A</w:t>
      </w:r>
      <w:r>
        <w:rPr>
          <w:spacing w:val="-7"/>
        </w:rPr>
        <w:t> </w:t>
      </w:r>
      <w:r>
        <w:rPr/>
        <w:t>systematic</w:t>
      </w:r>
      <w:r>
        <w:rPr>
          <w:spacing w:val="-8"/>
        </w:rPr>
        <w:t> </w:t>
      </w:r>
      <w:r>
        <w:rPr/>
        <w:t>review</w:t>
      </w:r>
      <w:r>
        <w:rPr>
          <w:spacing w:val="-8"/>
        </w:rPr>
        <w:t> </w:t>
      </w:r>
      <w:r>
        <w:rPr/>
        <w:t>and meta-analysis. Journal of Dairy Science, 101(6), 5411–5427.</w:t>
      </w:r>
    </w:p>
    <w:p>
      <w:pPr>
        <w:pStyle w:val="BodyText"/>
        <w:spacing w:before="3"/>
        <w:ind w:left="0"/>
      </w:pPr>
    </w:p>
    <w:p>
      <w:pPr>
        <w:pStyle w:val="BodyText"/>
        <w:spacing w:line="360" w:lineRule="auto" w:before="1"/>
        <w:ind w:right="793"/>
      </w:pPr>
      <w:r>
        <w:rPr/>
        <w:t>Wittek, T. (2022). Comparison of alternative methods for thermal disbudding in</w:t>
      </w:r>
      <w:r>
        <w:rPr>
          <w:spacing w:val="40"/>
        </w:rPr>
        <w:t> </w:t>
      </w:r>
      <w:r>
        <w:rPr/>
        <w:t>calves. Journal of Veterinary Behavior, 51, 35-42.</w:t>
      </w:r>
    </w:p>
    <w:p>
      <w:pPr>
        <w:pStyle w:val="BodyText"/>
        <w:spacing w:before="4"/>
        <w:ind w:left="0"/>
      </w:pPr>
    </w:p>
    <w:p>
      <w:pPr>
        <w:pStyle w:val="BodyText"/>
        <w:spacing w:line="360" w:lineRule="auto" w:before="1"/>
        <w:ind w:left="1855" w:right="845" w:hanging="720"/>
        <w:jc w:val="both"/>
      </w:pPr>
      <w:r>
        <w:rPr/>
        <w:t>Xu,</w:t>
      </w:r>
      <w:r>
        <w:rPr>
          <w:spacing w:val="-3"/>
        </w:rPr>
        <w:t> </w:t>
      </w:r>
      <w:r>
        <w:rPr/>
        <w:t>X.,</w:t>
      </w:r>
      <w:r>
        <w:rPr>
          <w:spacing w:val="-3"/>
        </w:rPr>
        <w:t> </w:t>
      </w:r>
      <w:r>
        <w:rPr/>
        <w:t>Yan</w:t>
      </w:r>
      <w:r>
        <w:rPr>
          <w:spacing w:val="-2"/>
        </w:rPr>
        <w:t> </w:t>
      </w:r>
      <w:r>
        <w:rPr/>
        <w:t>,</w:t>
      </w:r>
      <w:r>
        <w:rPr>
          <w:spacing w:val="-2"/>
        </w:rPr>
        <w:t> </w:t>
      </w:r>
      <w:r>
        <w:rPr/>
        <w:t>W.,</w:t>
      </w:r>
      <w:r>
        <w:rPr>
          <w:spacing w:val="-2"/>
        </w:rPr>
        <w:t> </w:t>
      </w:r>
      <w:r>
        <w:rPr/>
        <w:t>Guo,</w:t>
      </w:r>
      <w:r>
        <w:rPr>
          <w:spacing w:val="-3"/>
        </w:rPr>
        <w:t> </w:t>
      </w:r>
      <w:r>
        <w:rPr/>
        <w:t>J.,</w:t>
      </w:r>
      <w:r>
        <w:rPr>
          <w:spacing w:val="-2"/>
        </w:rPr>
        <w:t> </w:t>
      </w:r>
      <w:r>
        <w:rPr/>
        <w:t>Dai</w:t>
      </w:r>
      <w:r>
        <w:rPr>
          <w:spacing w:val="-2"/>
        </w:rPr>
        <w:t> </w:t>
      </w:r>
      <w:r>
        <w:rPr/>
        <w:t>,</w:t>
      </w:r>
      <w:r>
        <w:rPr>
          <w:spacing w:val="-2"/>
        </w:rPr>
        <w:t> </w:t>
      </w:r>
      <w:r>
        <w:rPr/>
        <w:t>D., Li</w:t>
      </w:r>
      <w:r>
        <w:rPr>
          <w:spacing w:val="-2"/>
        </w:rPr>
        <w:t> </w:t>
      </w:r>
      <w:r>
        <w:rPr/>
        <w:t>, L., &amp; Zhang, H.</w:t>
      </w:r>
      <w:r>
        <w:rPr>
          <w:spacing w:val="-3"/>
        </w:rPr>
        <w:t> </w:t>
      </w:r>
      <w:r>
        <w:rPr/>
        <w:t>(2025). The</w:t>
      </w:r>
      <w:r>
        <w:rPr>
          <w:spacing w:val="-4"/>
        </w:rPr>
        <w:t> </w:t>
      </w:r>
      <w:r>
        <w:rPr/>
        <w:t>Development of Horns in Bovidae and the Genetic Mechanisms Underpinning This Process. Biology, 14(8), 1027.</w:t>
      </w:r>
    </w:p>
    <w:p>
      <w:pPr>
        <w:pStyle w:val="BodyText"/>
        <w:spacing w:before="4"/>
        <w:ind w:left="0"/>
      </w:pPr>
    </w:p>
    <w:p>
      <w:pPr>
        <w:pStyle w:val="BodyText"/>
        <w:spacing w:line="360" w:lineRule="auto"/>
        <w:ind w:left="1855" w:right="850" w:hanging="720"/>
        <w:jc w:val="both"/>
      </w:pPr>
      <w:r>
        <w:rPr/>
        <w:t>Zoltick, A., Mann, S., &amp; Coetzee, J. (2024). Pain pathophysiology and pharmacology of cattle: how improved understanding can enhance pain prevention, mitigation, and welfare. Frontiers in Pain Research, 27(5), </w:t>
      </w:r>
      <w:r>
        <w:rPr>
          <w:spacing w:val="-2"/>
        </w:rPr>
        <w:t>1396992.</w:t>
      </w:r>
    </w:p>
    <w:p>
      <w:pPr>
        <w:pStyle w:val="BodyText"/>
        <w:spacing w:after="0" w:line="360" w:lineRule="auto"/>
        <w:jc w:val="both"/>
        <w:sectPr>
          <w:pgSz w:w="11900" w:h="16860"/>
          <w:pgMar w:header="0" w:footer="1084" w:top="1620" w:bottom="1280" w:left="1133" w:right="850"/>
        </w:sectPr>
      </w:pPr>
    </w:p>
    <w:p>
      <w:pPr>
        <w:pStyle w:val="Heading1"/>
        <w:ind w:left="1704"/>
      </w:pPr>
      <w:r>
        <w:rPr>
          <w:spacing w:val="-2"/>
        </w:rPr>
        <w:t>ANEXOS</w:t>
      </w:r>
    </w:p>
    <w:p>
      <w:pPr>
        <w:pStyle w:val="BodyText"/>
        <w:spacing w:before="101"/>
        <w:ind w:left="0"/>
        <w:rPr>
          <w:b/>
        </w:rPr>
      </w:pPr>
    </w:p>
    <w:p>
      <w:pPr>
        <w:spacing w:before="0"/>
        <w:ind w:left="1135" w:right="0" w:firstLine="0"/>
        <w:jc w:val="left"/>
        <w:rPr>
          <w:sz w:val="24"/>
        </w:rPr>
      </w:pPr>
      <w:bookmarkStart w:name="_bookmark70" w:id="71"/>
      <w:bookmarkEnd w:id="71"/>
      <w:r>
        <w:rPr/>
      </w:r>
      <w:r>
        <w:rPr>
          <w:b/>
          <w:sz w:val="24"/>
        </w:rPr>
        <w:t>Anexo</w:t>
      </w:r>
      <w:r>
        <w:rPr>
          <w:b/>
          <w:spacing w:val="-3"/>
          <w:sz w:val="24"/>
        </w:rPr>
        <w:t> </w:t>
      </w:r>
      <w:r>
        <w:rPr>
          <w:b/>
          <w:sz w:val="24"/>
        </w:rPr>
        <w:t>1</w:t>
      </w:r>
      <w:r>
        <w:rPr>
          <w:b/>
          <w:spacing w:val="60"/>
          <w:sz w:val="24"/>
        </w:rPr>
        <w:t> </w:t>
      </w:r>
      <w:r>
        <w:rPr>
          <w:sz w:val="24"/>
        </w:rPr>
        <w:t>Lugar</w:t>
      </w:r>
      <w:r>
        <w:rPr>
          <w:spacing w:val="-1"/>
          <w:sz w:val="24"/>
        </w:rPr>
        <w:t> </w:t>
      </w:r>
      <w:r>
        <w:rPr>
          <w:sz w:val="24"/>
        </w:rPr>
        <w:t>de</w:t>
      </w:r>
      <w:r>
        <w:rPr>
          <w:spacing w:val="-5"/>
          <w:sz w:val="24"/>
        </w:rPr>
        <w:t> </w:t>
      </w:r>
      <w:r>
        <w:rPr>
          <w:spacing w:val="-2"/>
          <w:sz w:val="24"/>
        </w:rPr>
        <w:t>investigación</w:t>
      </w:r>
    </w:p>
    <w:p>
      <w:pPr>
        <w:pStyle w:val="BodyText"/>
        <w:spacing w:before="5"/>
        <w:ind w:left="0"/>
        <w:rPr>
          <w:sz w:val="15"/>
        </w:rPr>
      </w:pPr>
      <w:r>
        <w:rPr>
          <w:sz w:val="15"/>
        </w:rPr>
        <mc:AlternateContent>
          <mc:Choice Requires="wps">
            <w:drawing>
              <wp:anchor distT="0" distB="0" distL="0" distR="0" allowOverlap="1" layoutInCell="1" locked="0" behindDoc="1" simplePos="0" relativeHeight="487595520">
                <wp:simplePos x="0" y="0"/>
                <wp:positionH relativeFrom="page">
                  <wp:posOffset>1440180</wp:posOffset>
                </wp:positionH>
                <wp:positionV relativeFrom="paragraph">
                  <wp:posOffset>128060</wp:posOffset>
                </wp:positionV>
                <wp:extent cx="5036185" cy="2835275"/>
                <wp:effectExtent l="0" t="0" r="0" b="0"/>
                <wp:wrapTopAndBottom/>
                <wp:docPr id="38" name="Group 38"/>
                <wp:cNvGraphicFramePr>
                  <a:graphicFrameLocks/>
                </wp:cNvGraphicFramePr>
                <a:graphic>
                  <a:graphicData uri="http://schemas.microsoft.com/office/word/2010/wordprocessingGroup">
                    <wpg:wgp>
                      <wpg:cNvPr id="38" name="Group 38"/>
                      <wpg:cNvGrpSpPr/>
                      <wpg:grpSpPr>
                        <a:xfrm>
                          <a:off x="0" y="0"/>
                          <a:ext cx="5036185" cy="2835275"/>
                          <a:chExt cx="5036185" cy="2835275"/>
                        </a:xfrm>
                      </wpg:grpSpPr>
                      <pic:pic>
                        <pic:nvPicPr>
                          <pic:cNvPr id="39" name="Image 39"/>
                          <pic:cNvPicPr/>
                        </pic:nvPicPr>
                        <pic:blipFill>
                          <a:blip r:embed="rId34" cstate="print"/>
                          <a:stretch>
                            <a:fillRect/>
                          </a:stretch>
                        </pic:blipFill>
                        <pic:spPr>
                          <a:xfrm>
                            <a:off x="0" y="0"/>
                            <a:ext cx="5036185" cy="2828925"/>
                          </a:xfrm>
                          <a:prstGeom prst="rect">
                            <a:avLst/>
                          </a:prstGeom>
                        </pic:spPr>
                      </pic:pic>
                      <wps:wsp>
                        <wps:cNvPr id="40" name="Graphic 40"/>
                        <wps:cNvSpPr/>
                        <wps:spPr>
                          <a:xfrm>
                            <a:off x="1972310" y="1396364"/>
                            <a:ext cx="1943100" cy="1424305"/>
                          </a:xfrm>
                          <a:custGeom>
                            <a:avLst/>
                            <a:gdLst/>
                            <a:ahLst/>
                            <a:cxnLst/>
                            <a:rect l="l" t="t" r="r" b="b"/>
                            <a:pathLst>
                              <a:path w="1943100" h="1424305">
                                <a:moveTo>
                                  <a:pt x="0" y="712088"/>
                                </a:moveTo>
                                <a:lnTo>
                                  <a:pt x="1524" y="671576"/>
                                </a:lnTo>
                                <a:lnTo>
                                  <a:pt x="6096" y="631825"/>
                                </a:lnTo>
                                <a:lnTo>
                                  <a:pt x="13588" y="592708"/>
                                </a:lnTo>
                                <a:lnTo>
                                  <a:pt x="24002" y="554227"/>
                                </a:lnTo>
                                <a:lnTo>
                                  <a:pt x="37084" y="516508"/>
                                </a:lnTo>
                                <a:lnTo>
                                  <a:pt x="52959" y="479678"/>
                                </a:lnTo>
                                <a:lnTo>
                                  <a:pt x="71374" y="443737"/>
                                </a:lnTo>
                                <a:lnTo>
                                  <a:pt x="92329" y="408685"/>
                                </a:lnTo>
                                <a:lnTo>
                                  <a:pt x="115697" y="374650"/>
                                </a:lnTo>
                                <a:lnTo>
                                  <a:pt x="141477" y="341756"/>
                                </a:lnTo>
                                <a:lnTo>
                                  <a:pt x="169545" y="310006"/>
                                </a:lnTo>
                                <a:lnTo>
                                  <a:pt x="199771" y="279400"/>
                                </a:lnTo>
                                <a:lnTo>
                                  <a:pt x="232156" y="250062"/>
                                </a:lnTo>
                                <a:lnTo>
                                  <a:pt x="266573" y="221996"/>
                                </a:lnTo>
                                <a:lnTo>
                                  <a:pt x="303022" y="195325"/>
                                </a:lnTo>
                                <a:lnTo>
                                  <a:pt x="341249" y="170179"/>
                                </a:lnTo>
                                <a:lnTo>
                                  <a:pt x="381254" y="146430"/>
                                </a:lnTo>
                                <a:lnTo>
                                  <a:pt x="423037" y="124205"/>
                                </a:lnTo>
                                <a:lnTo>
                                  <a:pt x="466344" y="103631"/>
                                </a:lnTo>
                                <a:lnTo>
                                  <a:pt x="511301" y="84708"/>
                                </a:lnTo>
                                <a:lnTo>
                                  <a:pt x="557657" y="67563"/>
                                </a:lnTo>
                                <a:lnTo>
                                  <a:pt x="605409" y="52197"/>
                                </a:lnTo>
                                <a:lnTo>
                                  <a:pt x="654558" y="38734"/>
                                </a:lnTo>
                                <a:lnTo>
                                  <a:pt x="704723" y="27177"/>
                                </a:lnTo>
                                <a:lnTo>
                                  <a:pt x="756158" y="17525"/>
                                </a:lnTo>
                                <a:lnTo>
                                  <a:pt x="808609" y="9905"/>
                                </a:lnTo>
                                <a:lnTo>
                                  <a:pt x="862076" y="4445"/>
                                </a:lnTo>
                                <a:lnTo>
                                  <a:pt x="916432" y="1143"/>
                                </a:lnTo>
                                <a:lnTo>
                                  <a:pt x="971550" y="0"/>
                                </a:lnTo>
                                <a:lnTo>
                                  <a:pt x="1026668" y="1143"/>
                                </a:lnTo>
                                <a:lnTo>
                                  <a:pt x="1081024" y="4445"/>
                                </a:lnTo>
                                <a:lnTo>
                                  <a:pt x="1134490" y="9905"/>
                                </a:lnTo>
                                <a:lnTo>
                                  <a:pt x="1186942" y="17525"/>
                                </a:lnTo>
                                <a:lnTo>
                                  <a:pt x="1238377" y="27177"/>
                                </a:lnTo>
                                <a:lnTo>
                                  <a:pt x="1288542" y="38734"/>
                                </a:lnTo>
                                <a:lnTo>
                                  <a:pt x="1337690" y="52197"/>
                                </a:lnTo>
                                <a:lnTo>
                                  <a:pt x="1385443" y="67563"/>
                                </a:lnTo>
                                <a:lnTo>
                                  <a:pt x="1431798" y="84708"/>
                                </a:lnTo>
                                <a:lnTo>
                                  <a:pt x="1476756" y="103631"/>
                                </a:lnTo>
                                <a:lnTo>
                                  <a:pt x="1520063" y="124205"/>
                                </a:lnTo>
                                <a:lnTo>
                                  <a:pt x="1561846" y="146430"/>
                                </a:lnTo>
                                <a:lnTo>
                                  <a:pt x="1601851" y="170179"/>
                                </a:lnTo>
                                <a:lnTo>
                                  <a:pt x="1640077" y="195325"/>
                                </a:lnTo>
                                <a:lnTo>
                                  <a:pt x="1676527" y="221996"/>
                                </a:lnTo>
                                <a:lnTo>
                                  <a:pt x="1710944" y="250062"/>
                                </a:lnTo>
                                <a:lnTo>
                                  <a:pt x="1743329" y="279400"/>
                                </a:lnTo>
                                <a:lnTo>
                                  <a:pt x="1773555" y="310006"/>
                                </a:lnTo>
                                <a:lnTo>
                                  <a:pt x="1801622" y="341756"/>
                                </a:lnTo>
                                <a:lnTo>
                                  <a:pt x="1827402" y="374650"/>
                                </a:lnTo>
                                <a:lnTo>
                                  <a:pt x="1850771" y="408685"/>
                                </a:lnTo>
                                <a:lnTo>
                                  <a:pt x="1871726" y="443737"/>
                                </a:lnTo>
                                <a:lnTo>
                                  <a:pt x="1890140" y="479678"/>
                                </a:lnTo>
                                <a:lnTo>
                                  <a:pt x="1906015" y="516508"/>
                                </a:lnTo>
                                <a:lnTo>
                                  <a:pt x="1919097" y="554227"/>
                                </a:lnTo>
                                <a:lnTo>
                                  <a:pt x="1929511" y="592708"/>
                                </a:lnTo>
                                <a:lnTo>
                                  <a:pt x="1937004" y="631825"/>
                                </a:lnTo>
                                <a:lnTo>
                                  <a:pt x="1941576" y="671576"/>
                                </a:lnTo>
                                <a:lnTo>
                                  <a:pt x="1943100" y="712088"/>
                                </a:lnTo>
                                <a:lnTo>
                                  <a:pt x="1941576" y="752475"/>
                                </a:lnTo>
                                <a:lnTo>
                                  <a:pt x="1937004" y="792226"/>
                                </a:lnTo>
                                <a:lnTo>
                                  <a:pt x="1929511" y="831469"/>
                                </a:lnTo>
                                <a:lnTo>
                                  <a:pt x="1919097" y="869950"/>
                                </a:lnTo>
                                <a:lnTo>
                                  <a:pt x="1906015" y="907542"/>
                                </a:lnTo>
                                <a:lnTo>
                                  <a:pt x="1890140" y="944499"/>
                                </a:lnTo>
                                <a:lnTo>
                                  <a:pt x="1871726" y="980439"/>
                                </a:lnTo>
                                <a:lnTo>
                                  <a:pt x="1850771" y="1015491"/>
                                </a:lnTo>
                                <a:lnTo>
                                  <a:pt x="1827402" y="1049401"/>
                                </a:lnTo>
                                <a:lnTo>
                                  <a:pt x="1801622" y="1082420"/>
                                </a:lnTo>
                                <a:lnTo>
                                  <a:pt x="1773555" y="1114170"/>
                                </a:lnTo>
                                <a:lnTo>
                                  <a:pt x="1743329" y="1144777"/>
                                </a:lnTo>
                                <a:lnTo>
                                  <a:pt x="1710944" y="1174114"/>
                                </a:lnTo>
                                <a:lnTo>
                                  <a:pt x="1676527" y="1202181"/>
                                </a:lnTo>
                                <a:lnTo>
                                  <a:pt x="1640077" y="1228852"/>
                                </a:lnTo>
                                <a:lnTo>
                                  <a:pt x="1601851" y="1253998"/>
                                </a:lnTo>
                                <a:lnTo>
                                  <a:pt x="1561846" y="1277746"/>
                                </a:lnTo>
                                <a:lnTo>
                                  <a:pt x="1520063" y="1299971"/>
                                </a:lnTo>
                                <a:lnTo>
                                  <a:pt x="1476756" y="1320545"/>
                                </a:lnTo>
                                <a:lnTo>
                                  <a:pt x="1431798" y="1339468"/>
                                </a:lnTo>
                                <a:lnTo>
                                  <a:pt x="1385443" y="1356614"/>
                                </a:lnTo>
                                <a:lnTo>
                                  <a:pt x="1337690" y="1371980"/>
                                </a:lnTo>
                                <a:lnTo>
                                  <a:pt x="1288542" y="1385442"/>
                                </a:lnTo>
                                <a:lnTo>
                                  <a:pt x="1238377" y="1397127"/>
                                </a:lnTo>
                                <a:lnTo>
                                  <a:pt x="1186942" y="1406652"/>
                                </a:lnTo>
                                <a:lnTo>
                                  <a:pt x="1134490" y="1414271"/>
                                </a:lnTo>
                                <a:lnTo>
                                  <a:pt x="1081024" y="1419732"/>
                                </a:lnTo>
                                <a:lnTo>
                                  <a:pt x="1026668" y="1423162"/>
                                </a:lnTo>
                                <a:lnTo>
                                  <a:pt x="971550" y="1424304"/>
                                </a:lnTo>
                                <a:lnTo>
                                  <a:pt x="916432" y="1423162"/>
                                </a:lnTo>
                                <a:lnTo>
                                  <a:pt x="862076" y="1419732"/>
                                </a:lnTo>
                                <a:lnTo>
                                  <a:pt x="808609" y="1414271"/>
                                </a:lnTo>
                                <a:lnTo>
                                  <a:pt x="756158" y="1406652"/>
                                </a:lnTo>
                                <a:lnTo>
                                  <a:pt x="704723" y="1397127"/>
                                </a:lnTo>
                                <a:lnTo>
                                  <a:pt x="654558" y="1385442"/>
                                </a:lnTo>
                                <a:lnTo>
                                  <a:pt x="605409" y="1371980"/>
                                </a:lnTo>
                                <a:lnTo>
                                  <a:pt x="557657" y="1356614"/>
                                </a:lnTo>
                                <a:lnTo>
                                  <a:pt x="511301" y="1339468"/>
                                </a:lnTo>
                                <a:lnTo>
                                  <a:pt x="466344" y="1320545"/>
                                </a:lnTo>
                                <a:lnTo>
                                  <a:pt x="423037" y="1299971"/>
                                </a:lnTo>
                                <a:lnTo>
                                  <a:pt x="381254" y="1277746"/>
                                </a:lnTo>
                                <a:lnTo>
                                  <a:pt x="341249" y="1253998"/>
                                </a:lnTo>
                                <a:lnTo>
                                  <a:pt x="303022" y="1228852"/>
                                </a:lnTo>
                                <a:lnTo>
                                  <a:pt x="266573" y="1202181"/>
                                </a:lnTo>
                                <a:lnTo>
                                  <a:pt x="232156" y="1174114"/>
                                </a:lnTo>
                                <a:lnTo>
                                  <a:pt x="199771" y="1144777"/>
                                </a:lnTo>
                                <a:lnTo>
                                  <a:pt x="169545" y="1114170"/>
                                </a:lnTo>
                                <a:lnTo>
                                  <a:pt x="141477" y="1082420"/>
                                </a:lnTo>
                                <a:lnTo>
                                  <a:pt x="115697" y="1049401"/>
                                </a:lnTo>
                                <a:lnTo>
                                  <a:pt x="92329" y="1015491"/>
                                </a:lnTo>
                                <a:lnTo>
                                  <a:pt x="71374" y="980439"/>
                                </a:lnTo>
                                <a:lnTo>
                                  <a:pt x="52959" y="944499"/>
                                </a:lnTo>
                                <a:lnTo>
                                  <a:pt x="37084" y="907542"/>
                                </a:lnTo>
                                <a:lnTo>
                                  <a:pt x="24002" y="869950"/>
                                </a:lnTo>
                                <a:lnTo>
                                  <a:pt x="13588" y="831469"/>
                                </a:lnTo>
                                <a:lnTo>
                                  <a:pt x="6096" y="792226"/>
                                </a:lnTo>
                                <a:lnTo>
                                  <a:pt x="1524" y="752475"/>
                                </a:lnTo>
                                <a:lnTo>
                                  <a:pt x="0" y="712088"/>
                                </a:lnTo>
                                <a:close/>
                              </a:path>
                            </a:pathLst>
                          </a:custGeom>
                          <a:ln w="28573">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3.400002pt;margin-top:10.083515pt;width:396.55pt;height:223.25pt;mso-position-horizontal-relative:page;mso-position-vertical-relative:paragraph;z-index:-15720960;mso-wrap-distance-left:0;mso-wrap-distance-right:0" id="docshapegroup22" coordorigin="2268,202" coordsize="7931,4465">
                <v:shape style="position:absolute;left:2268;top:201;width:7931;height:4455" type="#_x0000_t75" id="docshape23" stroked="false">
                  <v:imagedata r:id="rId34" o:title=""/>
                </v:shape>
                <v:shape style="position:absolute;left:5374;top:2400;width:3060;height:2243" id="docshape24" coordorigin="5374,2401" coordsize="3060,2243" path="m5374,3522l5376,3458,5384,3396,5395,3334,5412,3273,5432,3214,5457,3156,5486,3099,5519,3044,5556,2991,5597,2939,5641,2889,5689,2841,5740,2794,5794,2750,5851,2708,5911,2669,5974,2631,6040,2596,6108,2564,6179,2534,6252,2507,6327,2483,6405,2462,6484,2443,6565,2428,6647,2416,6732,2408,6817,2402,6904,2401,6991,2402,7076,2408,7161,2416,7243,2428,7324,2443,7403,2462,7481,2483,7556,2507,7629,2534,7700,2564,7768,2596,7834,2631,7897,2669,7957,2708,8014,2750,8068,2794,8119,2841,8167,2889,8211,2939,8252,2991,8289,3044,8322,3099,8351,3156,8376,3214,8396,3273,8413,3334,8424,3396,8432,3458,8434,3522,8432,3586,8424,3648,8413,3710,8396,3771,8376,3830,8351,3888,8322,3945,8289,4000,8252,4053,8211,4105,8167,4155,8119,4203,8068,4250,8014,4294,7957,4336,7897,4375,7834,4413,7768,4448,7700,4480,7629,4510,7556,4537,7481,4561,7403,4582,7324,4601,7243,4616,7161,4628,7076,4636,6991,4642,6904,4644,6817,4642,6732,4636,6647,4628,6565,4616,6484,4601,6405,4582,6327,4561,6252,4537,6179,4510,6108,4480,6040,4448,5974,4413,5911,4375,5851,4336,5794,4294,5740,4250,5689,4203,5641,4155,5597,4105,5556,4053,5519,4000,5486,3945,5457,3888,5432,3830,5412,3771,5395,3710,5384,3648,5376,3586,5374,3522xe" filled="false" stroked="true" strokeweight="2.249900pt" strokecolor="#ff0000">
                  <v:path arrowok="t"/>
                  <v:stroke dashstyle="solid"/>
                </v:shape>
                <w10:wrap type="topAndBottom"/>
              </v:group>
            </w:pict>
          </mc:Fallback>
        </mc:AlternateContent>
      </w:r>
    </w:p>
    <w:p>
      <w:pPr>
        <w:pStyle w:val="BodyText"/>
        <w:spacing w:after="0"/>
        <w:rPr>
          <w:sz w:val="15"/>
        </w:rPr>
        <w:sectPr>
          <w:footerReference w:type="default" r:id="rId33"/>
          <w:pgSz w:w="11900" w:h="16860"/>
          <w:pgMar w:header="0" w:footer="0" w:top="1620" w:bottom="280" w:left="1133" w:right="850"/>
        </w:sectPr>
      </w:pPr>
    </w:p>
    <w:p>
      <w:pPr>
        <w:spacing w:before="70"/>
        <w:ind w:left="1135" w:right="0" w:firstLine="0"/>
        <w:jc w:val="left"/>
        <w:rPr>
          <w:sz w:val="24"/>
        </w:rPr>
      </w:pPr>
      <w:bookmarkStart w:name="_bookmark71" w:id="72"/>
      <w:bookmarkEnd w:id="72"/>
      <w:r>
        <w:rPr/>
      </w:r>
      <w:r>
        <w:rPr>
          <w:b/>
          <w:sz w:val="24"/>
        </w:rPr>
        <w:t>Anexo</w:t>
      </w:r>
      <w:r>
        <w:rPr>
          <w:b/>
          <w:spacing w:val="-2"/>
          <w:sz w:val="24"/>
        </w:rPr>
        <w:t> </w:t>
      </w:r>
      <w:r>
        <w:rPr>
          <w:b/>
          <w:sz w:val="24"/>
        </w:rPr>
        <w:t>2</w:t>
      </w:r>
      <w:r>
        <w:rPr>
          <w:b/>
          <w:spacing w:val="-1"/>
          <w:sz w:val="24"/>
        </w:rPr>
        <w:t> </w:t>
      </w:r>
      <w:r>
        <w:rPr>
          <w:sz w:val="24"/>
        </w:rPr>
        <w:t>Evidencia </w:t>
      </w:r>
      <w:r>
        <w:rPr>
          <w:spacing w:val="-2"/>
          <w:sz w:val="24"/>
        </w:rPr>
        <w:t>fotográfica</w:t>
      </w:r>
    </w:p>
    <w:p>
      <w:pPr>
        <w:pStyle w:val="BodyText"/>
        <w:spacing w:before="124"/>
        <w:ind w:left="0"/>
        <w:rPr>
          <w:sz w:val="20"/>
        </w:rPr>
      </w:pPr>
      <w:r>
        <w:rPr>
          <w:sz w:val="20"/>
        </w:rPr>
        <w:drawing>
          <wp:anchor distT="0" distB="0" distL="0" distR="0" allowOverlap="1" layoutInCell="1" locked="0" behindDoc="1" simplePos="0" relativeHeight="487596032">
            <wp:simplePos x="0" y="0"/>
            <wp:positionH relativeFrom="page">
              <wp:posOffset>1440180</wp:posOffset>
            </wp:positionH>
            <wp:positionV relativeFrom="paragraph">
              <wp:posOffset>240298</wp:posOffset>
            </wp:positionV>
            <wp:extent cx="2470320" cy="2482024"/>
            <wp:effectExtent l="0" t="0" r="0" b="0"/>
            <wp:wrapTopAndBottom/>
            <wp:docPr id="41" name="Image 41"/>
            <wp:cNvGraphicFramePr>
              <a:graphicFrameLocks/>
            </wp:cNvGraphicFramePr>
            <a:graphic>
              <a:graphicData uri="http://schemas.openxmlformats.org/drawingml/2006/picture">
                <pic:pic>
                  <pic:nvPicPr>
                    <pic:cNvPr id="41" name="Image 41"/>
                    <pic:cNvPicPr/>
                  </pic:nvPicPr>
                  <pic:blipFill>
                    <a:blip r:embed="rId36" cstate="print"/>
                    <a:stretch>
                      <a:fillRect/>
                    </a:stretch>
                  </pic:blipFill>
                  <pic:spPr>
                    <a:xfrm>
                      <a:off x="0" y="0"/>
                      <a:ext cx="2470320" cy="2482024"/>
                    </a:xfrm>
                    <a:prstGeom prst="rect">
                      <a:avLst/>
                    </a:prstGeom>
                  </pic:spPr>
                </pic:pic>
              </a:graphicData>
            </a:graphic>
          </wp:anchor>
        </w:drawing>
      </w:r>
      <w:r>
        <w:rPr>
          <w:sz w:val="20"/>
        </w:rPr>
        <w:drawing>
          <wp:anchor distT="0" distB="0" distL="0" distR="0" allowOverlap="1" layoutInCell="1" locked="0" behindDoc="1" simplePos="0" relativeHeight="487596544">
            <wp:simplePos x="0" y="0"/>
            <wp:positionH relativeFrom="page">
              <wp:posOffset>3999229</wp:posOffset>
            </wp:positionH>
            <wp:positionV relativeFrom="paragraph">
              <wp:posOffset>249950</wp:posOffset>
            </wp:positionV>
            <wp:extent cx="2371380" cy="2518791"/>
            <wp:effectExtent l="0" t="0" r="0" b="0"/>
            <wp:wrapTopAndBottom/>
            <wp:docPr id="42" name="Image 42"/>
            <wp:cNvGraphicFramePr>
              <a:graphicFrameLocks/>
            </wp:cNvGraphicFramePr>
            <a:graphic>
              <a:graphicData uri="http://schemas.openxmlformats.org/drawingml/2006/picture">
                <pic:pic>
                  <pic:nvPicPr>
                    <pic:cNvPr id="42" name="Image 42"/>
                    <pic:cNvPicPr/>
                  </pic:nvPicPr>
                  <pic:blipFill>
                    <a:blip r:embed="rId37" cstate="print"/>
                    <a:stretch>
                      <a:fillRect/>
                    </a:stretch>
                  </pic:blipFill>
                  <pic:spPr>
                    <a:xfrm>
                      <a:off x="0" y="0"/>
                      <a:ext cx="2371380" cy="2518791"/>
                    </a:xfrm>
                    <a:prstGeom prst="rect">
                      <a:avLst/>
                    </a:prstGeom>
                  </pic:spPr>
                </pic:pic>
              </a:graphicData>
            </a:graphic>
          </wp:anchor>
        </w:drawing>
      </w:r>
    </w:p>
    <w:p>
      <w:pPr>
        <w:pStyle w:val="BodyText"/>
        <w:spacing w:before="44"/>
        <w:ind w:left="0"/>
      </w:pPr>
    </w:p>
    <w:p>
      <w:pPr>
        <w:tabs>
          <w:tab w:pos="4219" w:val="left" w:leader="none"/>
        </w:tabs>
        <w:spacing w:before="0"/>
        <w:ind w:left="0" w:right="228" w:firstLine="0"/>
        <w:jc w:val="center"/>
        <w:rPr>
          <w:sz w:val="20"/>
        </w:rPr>
      </w:pPr>
      <w:r>
        <w:rPr>
          <w:sz w:val="20"/>
        </w:rPr>
        <w:t>Pesaje</w:t>
      </w:r>
      <w:r>
        <w:rPr>
          <w:spacing w:val="-5"/>
          <w:sz w:val="20"/>
        </w:rPr>
        <w:t> </w:t>
      </w:r>
      <w:r>
        <w:rPr>
          <w:sz w:val="20"/>
        </w:rPr>
        <w:t>de</w:t>
      </w:r>
      <w:r>
        <w:rPr>
          <w:spacing w:val="-5"/>
          <w:sz w:val="20"/>
        </w:rPr>
        <w:t> </w:t>
      </w:r>
      <w:r>
        <w:rPr>
          <w:sz w:val="20"/>
        </w:rPr>
        <w:t>animales</w:t>
      </w:r>
      <w:r>
        <w:rPr>
          <w:spacing w:val="-5"/>
          <w:sz w:val="20"/>
        </w:rPr>
        <w:t> </w:t>
      </w:r>
      <w:r>
        <w:rPr>
          <w:sz w:val="20"/>
        </w:rPr>
        <w:t>en</w:t>
      </w:r>
      <w:r>
        <w:rPr>
          <w:spacing w:val="-5"/>
          <w:sz w:val="20"/>
        </w:rPr>
        <w:t> </w:t>
      </w:r>
      <w:r>
        <w:rPr>
          <w:spacing w:val="-2"/>
          <w:sz w:val="20"/>
        </w:rPr>
        <w:t>estudio</w:t>
      </w:r>
      <w:r>
        <w:rPr>
          <w:sz w:val="20"/>
        </w:rPr>
        <w:tab/>
        <w:t>Dosificación</w:t>
      </w:r>
      <w:r>
        <w:rPr>
          <w:spacing w:val="-8"/>
          <w:sz w:val="20"/>
        </w:rPr>
        <w:t> </w:t>
      </w:r>
      <w:r>
        <w:rPr>
          <w:sz w:val="20"/>
        </w:rPr>
        <w:t>de</w:t>
      </w:r>
      <w:r>
        <w:rPr>
          <w:spacing w:val="-7"/>
          <w:sz w:val="20"/>
        </w:rPr>
        <w:t> </w:t>
      </w:r>
      <w:r>
        <w:rPr>
          <w:spacing w:val="-2"/>
          <w:sz w:val="20"/>
        </w:rPr>
        <w:t>tratamientos</w:t>
      </w:r>
    </w:p>
    <w:p>
      <w:pPr>
        <w:pStyle w:val="BodyText"/>
        <w:spacing w:before="100"/>
        <w:ind w:left="0"/>
        <w:rPr>
          <w:sz w:val="20"/>
        </w:rPr>
      </w:pPr>
      <w:r>
        <w:rPr>
          <w:sz w:val="20"/>
        </w:rPr>
        <w:drawing>
          <wp:anchor distT="0" distB="0" distL="0" distR="0" allowOverlap="1" layoutInCell="1" locked="0" behindDoc="1" simplePos="0" relativeHeight="487597056">
            <wp:simplePos x="0" y="0"/>
            <wp:positionH relativeFrom="page">
              <wp:posOffset>1440180</wp:posOffset>
            </wp:positionH>
            <wp:positionV relativeFrom="paragraph">
              <wp:posOffset>224944</wp:posOffset>
            </wp:positionV>
            <wp:extent cx="2445865" cy="3260598"/>
            <wp:effectExtent l="0" t="0" r="0" b="0"/>
            <wp:wrapTopAndBottom/>
            <wp:docPr id="43" name="Image 43"/>
            <wp:cNvGraphicFramePr>
              <a:graphicFrameLocks/>
            </wp:cNvGraphicFramePr>
            <a:graphic>
              <a:graphicData uri="http://schemas.openxmlformats.org/drawingml/2006/picture">
                <pic:pic>
                  <pic:nvPicPr>
                    <pic:cNvPr id="43" name="Image 43"/>
                    <pic:cNvPicPr/>
                  </pic:nvPicPr>
                  <pic:blipFill>
                    <a:blip r:embed="rId38" cstate="print"/>
                    <a:stretch>
                      <a:fillRect/>
                    </a:stretch>
                  </pic:blipFill>
                  <pic:spPr>
                    <a:xfrm>
                      <a:off x="0" y="0"/>
                      <a:ext cx="2445865" cy="3260598"/>
                    </a:xfrm>
                    <a:prstGeom prst="rect">
                      <a:avLst/>
                    </a:prstGeom>
                  </pic:spPr>
                </pic:pic>
              </a:graphicData>
            </a:graphic>
          </wp:anchor>
        </w:drawing>
      </w:r>
      <w:r>
        <w:rPr>
          <w:sz w:val="20"/>
        </w:rPr>
        <w:drawing>
          <wp:anchor distT="0" distB="0" distL="0" distR="0" allowOverlap="1" layoutInCell="1" locked="0" behindDoc="1" simplePos="0" relativeHeight="487597568">
            <wp:simplePos x="0" y="0"/>
            <wp:positionH relativeFrom="page">
              <wp:posOffset>3959225</wp:posOffset>
            </wp:positionH>
            <wp:positionV relativeFrom="paragraph">
              <wp:posOffset>235231</wp:posOffset>
            </wp:positionV>
            <wp:extent cx="2445480" cy="3260598"/>
            <wp:effectExtent l="0" t="0" r="0" b="0"/>
            <wp:wrapTopAndBottom/>
            <wp:docPr id="44" name="Image 44"/>
            <wp:cNvGraphicFramePr>
              <a:graphicFrameLocks/>
            </wp:cNvGraphicFramePr>
            <a:graphic>
              <a:graphicData uri="http://schemas.openxmlformats.org/drawingml/2006/picture">
                <pic:pic>
                  <pic:nvPicPr>
                    <pic:cNvPr id="44" name="Image 44"/>
                    <pic:cNvPicPr/>
                  </pic:nvPicPr>
                  <pic:blipFill>
                    <a:blip r:embed="rId39" cstate="print"/>
                    <a:stretch>
                      <a:fillRect/>
                    </a:stretch>
                  </pic:blipFill>
                  <pic:spPr>
                    <a:xfrm>
                      <a:off x="0" y="0"/>
                      <a:ext cx="2445480" cy="3260598"/>
                    </a:xfrm>
                    <a:prstGeom prst="rect">
                      <a:avLst/>
                    </a:prstGeom>
                  </pic:spPr>
                </pic:pic>
              </a:graphicData>
            </a:graphic>
          </wp:anchor>
        </w:drawing>
      </w:r>
    </w:p>
    <w:p>
      <w:pPr>
        <w:pStyle w:val="BodyText"/>
        <w:spacing w:before="76"/>
        <w:ind w:left="0"/>
        <w:rPr>
          <w:sz w:val="20"/>
        </w:rPr>
      </w:pPr>
    </w:p>
    <w:p>
      <w:pPr>
        <w:tabs>
          <w:tab w:pos="4138" w:val="left" w:leader="none"/>
        </w:tabs>
        <w:spacing w:before="0"/>
        <w:ind w:left="0" w:right="368" w:firstLine="0"/>
        <w:jc w:val="center"/>
        <w:rPr>
          <w:sz w:val="20"/>
        </w:rPr>
      </w:pPr>
      <w:r>
        <w:rPr>
          <w:sz w:val="20"/>
        </w:rPr>
        <w:t>Tricotomia</w:t>
      </w:r>
      <w:r>
        <w:rPr>
          <w:spacing w:val="-4"/>
          <w:sz w:val="20"/>
        </w:rPr>
        <w:t> </w:t>
      </w:r>
      <w:r>
        <w:rPr>
          <w:sz w:val="20"/>
        </w:rPr>
        <w:t>en</w:t>
      </w:r>
      <w:r>
        <w:rPr>
          <w:spacing w:val="-4"/>
          <w:sz w:val="20"/>
        </w:rPr>
        <w:t> </w:t>
      </w:r>
      <w:r>
        <w:rPr>
          <w:sz w:val="20"/>
        </w:rPr>
        <w:t>el</w:t>
      </w:r>
      <w:r>
        <w:rPr>
          <w:spacing w:val="-4"/>
          <w:sz w:val="20"/>
        </w:rPr>
        <w:t> </w:t>
      </w:r>
      <w:r>
        <w:rPr>
          <w:sz w:val="20"/>
        </w:rPr>
        <w:t>area</w:t>
      </w:r>
      <w:r>
        <w:rPr>
          <w:spacing w:val="-3"/>
          <w:sz w:val="20"/>
        </w:rPr>
        <w:t> </w:t>
      </w:r>
      <w:r>
        <w:rPr>
          <w:sz w:val="20"/>
        </w:rPr>
        <w:t>del</w:t>
      </w:r>
      <w:r>
        <w:rPr>
          <w:spacing w:val="-3"/>
          <w:sz w:val="20"/>
        </w:rPr>
        <w:t> </w:t>
      </w:r>
      <w:r>
        <w:rPr>
          <w:spacing w:val="-2"/>
          <w:sz w:val="20"/>
        </w:rPr>
        <w:t>cuerno</w:t>
      </w:r>
      <w:r>
        <w:rPr>
          <w:sz w:val="20"/>
        </w:rPr>
        <w:tab/>
        <w:t>Descorne</w:t>
      </w:r>
      <w:r>
        <w:rPr>
          <w:spacing w:val="-5"/>
          <w:sz w:val="20"/>
        </w:rPr>
        <w:t> </w:t>
      </w:r>
      <w:r>
        <w:rPr>
          <w:sz w:val="20"/>
        </w:rPr>
        <w:t>mediante</w:t>
      </w:r>
      <w:r>
        <w:rPr>
          <w:spacing w:val="-6"/>
          <w:sz w:val="20"/>
        </w:rPr>
        <w:t> </w:t>
      </w:r>
      <w:r>
        <w:rPr>
          <w:sz w:val="20"/>
        </w:rPr>
        <w:t>hierro</w:t>
      </w:r>
      <w:r>
        <w:rPr>
          <w:spacing w:val="-5"/>
          <w:sz w:val="20"/>
        </w:rPr>
        <w:t> </w:t>
      </w:r>
      <w:r>
        <w:rPr>
          <w:spacing w:val="-2"/>
          <w:sz w:val="20"/>
        </w:rPr>
        <w:t>caliente</w:t>
      </w:r>
    </w:p>
    <w:p>
      <w:pPr>
        <w:spacing w:after="0"/>
        <w:jc w:val="center"/>
        <w:rPr>
          <w:sz w:val="20"/>
        </w:rPr>
        <w:sectPr>
          <w:footerReference w:type="default" r:id="rId35"/>
          <w:pgSz w:w="11900" w:h="16860"/>
          <w:pgMar w:header="0" w:footer="0" w:top="1620" w:bottom="280" w:left="1133" w:right="850"/>
        </w:sectPr>
      </w:pPr>
    </w:p>
    <w:p>
      <w:pPr>
        <w:tabs>
          <w:tab w:pos="5265" w:val="left" w:leader="none"/>
        </w:tabs>
        <w:spacing w:line="240" w:lineRule="auto"/>
        <w:ind w:left="1135" w:right="0" w:firstLine="0"/>
        <w:rPr>
          <w:position w:val="1"/>
          <w:sz w:val="20"/>
        </w:rPr>
      </w:pPr>
      <w:r>
        <w:rPr>
          <w:sz w:val="20"/>
        </w:rPr>
        <w:drawing>
          <wp:inline distT="0" distB="0" distL="0" distR="0">
            <wp:extent cx="2381317" cy="3174206"/>
            <wp:effectExtent l="0" t="0" r="0" b="0"/>
            <wp:docPr id="45" name="Image 45"/>
            <wp:cNvGraphicFramePr>
              <a:graphicFrameLocks/>
            </wp:cNvGraphicFramePr>
            <a:graphic>
              <a:graphicData uri="http://schemas.openxmlformats.org/drawingml/2006/picture">
                <pic:pic>
                  <pic:nvPicPr>
                    <pic:cNvPr id="45" name="Image 45"/>
                    <pic:cNvPicPr/>
                  </pic:nvPicPr>
                  <pic:blipFill>
                    <a:blip r:embed="rId41" cstate="print"/>
                    <a:stretch>
                      <a:fillRect/>
                    </a:stretch>
                  </pic:blipFill>
                  <pic:spPr>
                    <a:xfrm>
                      <a:off x="0" y="0"/>
                      <a:ext cx="2381317" cy="3174206"/>
                    </a:xfrm>
                    <a:prstGeom prst="rect">
                      <a:avLst/>
                    </a:prstGeom>
                  </pic:spPr>
                </pic:pic>
              </a:graphicData>
            </a:graphic>
          </wp:inline>
        </w:drawing>
      </w:r>
      <w:r>
        <w:rPr>
          <w:sz w:val="20"/>
        </w:rPr>
      </w:r>
      <w:r>
        <w:rPr>
          <w:sz w:val="20"/>
        </w:rPr>
        <w:tab/>
      </w:r>
      <w:r>
        <w:rPr>
          <w:position w:val="1"/>
          <w:sz w:val="20"/>
        </w:rPr>
        <w:drawing>
          <wp:inline distT="0" distB="0" distL="0" distR="0">
            <wp:extent cx="2378243" cy="3170110"/>
            <wp:effectExtent l="0" t="0" r="0" b="0"/>
            <wp:docPr id="46" name="Image 46"/>
            <wp:cNvGraphicFramePr>
              <a:graphicFrameLocks/>
            </wp:cNvGraphicFramePr>
            <a:graphic>
              <a:graphicData uri="http://schemas.openxmlformats.org/drawingml/2006/picture">
                <pic:pic>
                  <pic:nvPicPr>
                    <pic:cNvPr id="46" name="Image 46"/>
                    <pic:cNvPicPr/>
                  </pic:nvPicPr>
                  <pic:blipFill>
                    <a:blip r:embed="rId42" cstate="print"/>
                    <a:stretch>
                      <a:fillRect/>
                    </a:stretch>
                  </pic:blipFill>
                  <pic:spPr>
                    <a:xfrm>
                      <a:off x="0" y="0"/>
                      <a:ext cx="2378243" cy="3170110"/>
                    </a:xfrm>
                    <a:prstGeom prst="rect">
                      <a:avLst/>
                    </a:prstGeom>
                  </pic:spPr>
                </pic:pic>
              </a:graphicData>
            </a:graphic>
          </wp:inline>
        </w:drawing>
      </w:r>
      <w:r>
        <w:rPr>
          <w:position w:val="1"/>
          <w:sz w:val="20"/>
        </w:rPr>
      </w:r>
    </w:p>
    <w:p>
      <w:pPr>
        <w:pStyle w:val="BodyText"/>
        <w:spacing w:before="166"/>
        <w:ind w:left="0"/>
        <w:rPr>
          <w:sz w:val="20"/>
        </w:rPr>
      </w:pPr>
    </w:p>
    <w:p>
      <w:pPr>
        <w:tabs>
          <w:tab w:pos="5929" w:val="left" w:leader="none"/>
        </w:tabs>
        <w:spacing w:before="0"/>
        <w:ind w:left="1135" w:right="0" w:firstLine="0"/>
        <w:jc w:val="left"/>
        <w:rPr>
          <w:sz w:val="20"/>
        </w:rPr>
      </w:pPr>
      <w:r>
        <w:rPr>
          <w:sz w:val="20"/>
        </w:rPr>
        <w:t>Toma</w:t>
      </w:r>
      <w:r>
        <w:rPr>
          <w:spacing w:val="-7"/>
          <w:sz w:val="20"/>
        </w:rPr>
        <w:t> </w:t>
      </w:r>
      <w:r>
        <w:rPr>
          <w:sz w:val="20"/>
        </w:rPr>
        <w:t>de</w:t>
      </w:r>
      <w:r>
        <w:rPr>
          <w:spacing w:val="-4"/>
          <w:sz w:val="20"/>
        </w:rPr>
        <w:t> </w:t>
      </w:r>
      <w:r>
        <w:rPr>
          <w:sz w:val="20"/>
        </w:rPr>
        <w:t>muestras</w:t>
      </w:r>
      <w:r>
        <w:rPr>
          <w:spacing w:val="-7"/>
          <w:sz w:val="20"/>
        </w:rPr>
        <w:t> </w:t>
      </w:r>
      <w:r>
        <w:rPr>
          <w:spacing w:val="-2"/>
          <w:sz w:val="20"/>
        </w:rPr>
        <w:t>sanguíneas</w:t>
      </w:r>
      <w:r>
        <w:rPr>
          <w:sz w:val="20"/>
        </w:rPr>
        <w:tab/>
        <w:t>Aplicación</w:t>
      </w:r>
      <w:r>
        <w:rPr>
          <w:spacing w:val="-6"/>
          <w:sz w:val="20"/>
        </w:rPr>
        <w:t> </w:t>
      </w:r>
      <w:r>
        <w:rPr>
          <w:sz w:val="20"/>
        </w:rPr>
        <w:t>de</w:t>
      </w:r>
      <w:r>
        <w:rPr>
          <w:spacing w:val="-2"/>
          <w:sz w:val="20"/>
        </w:rPr>
        <w:t> cicatrizante</w:t>
      </w:r>
    </w:p>
    <w:p>
      <w:pPr>
        <w:pStyle w:val="BodyText"/>
        <w:spacing w:before="100"/>
        <w:ind w:left="0"/>
        <w:rPr>
          <w:sz w:val="20"/>
        </w:rPr>
      </w:pPr>
      <w:r>
        <w:rPr>
          <w:sz w:val="20"/>
        </w:rPr>
        <w:drawing>
          <wp:anchor distT="0" distB="0" distL="0" distR="0" allowOverlap="1" layoutInCell="1" locked="0" behindDoc="1" simplePos="0" relativeHeight="487598080">
            <wp:simplePos x="0" y="0"/>
            <wp:positionH relativeFrom="page">
              <wp:posOffset>1440180</wp:posOffset>
            </wp:positionH>
            <wp:positionV relativeFrom="paragraph">
              <wp:posOffset>224941</wp:posOffset>
            </wp:positionV>
            <wp:extent cx="2337870" cy="3116865"/>
            <wp:effectExtent l="0" t="0" r="0" b="0"/>
            <wp:wrapTopAndBottom/>
            <wp:docPr id="47" name="Image 47"/>
            <wp:cNvGraphicFramePr>
              <a:graphicFrameLocks/>
            </wp:cNvGraphicFramePr>
            <a:graphic>
              <a:graphicData uri="http://schemas.openxmlformats.org/drawingml/2006/picture">
                <pic:pic>
                  <pic:nvPicPr>
                    <pic:cNvPr id="47" name="Image 47"/>
                    <pic:cNvPicPr/>
                  </pic:nvPicPr>
                  <pic:blipFill>
                    <a:blip r:embed="rId43" cstate="print"/>
                    <a:stretch>
                      <a:fillRect/>
                    </a:stretch>
                  </pic:blipFill>
                  <pic:spPr>
                    <a:xfrm>
                      <a:off x="0" y="0"/>
                      <a:ext cx="2337870" cy="3116865"/>
                    </a:xfrm>
                    <a:prstGeom prst="rect">
                      <a:avLst/>
                    </a:prstGeom>
                  </pic:spPr>
                </pic:pic>
              </a:graphicData>
            </a:graphic>
          </wp:anchor>
        </w:drawing>
      </w:r>
      <w:r>
        <w:rPr>
          <w:sz w:val="20"/>
        </w:rPr>
        <w:drawing>
          <wp:anchor distT="0" distB="0" distL="0" distR="0" allowOverlap="1" layoutInCell="1" locked="0" behindDoc="1" simplePos="0" relativeHeight="487598592">
            <wp:simplePos x="0" y="0"/>
            <wp:positionH relativeFrom="page">
              <wp:posOffset>4046220</wp:posOffset>
            </wp:positionH>
            <wp:positionV relativeFrom="paragraph">
              <wp:posOffset>237260</wp:posOffset>
            </wp:positionV>
            <wp:extent cx="2288814" cy="3096387"/>
            <wp:effectExtent l="0" t="0" r="0" b="0"/>
            <wp:wrapTopAndBottom/>
            <wp:docPr id="48" name="Image 48"/>
            <wp:cNvGraphicFramePr>
              <a:graphicFrameLocks/>
            </wp:cNvGraphicFramePr>
            <a:graphic>
              <a:graphicData uri="http://schemas.openxmlformats.org/drawingml/2006/picture">
                <pic:pic>
                  <pic:nvPicPr>
                    <pic:cNvPr id="48" name="Image 48"/>
                    <pic:cNvPicPr/>
                  </pic:nvPicPr>
                  <pic:blipFill>
                    <a:blip r:embed="rId44" cstate="print"/>
                    <a:stretch>
                      <a:fillRect/>
                    </a:stretch>
                  </pic:blipFill>
                  <pic:spPr>
                    <a:xfrm>
                      <a:off x="0" y="0"/>
                      <a:ext cx="2288814" cy="3096387"/>
                    </a:xfrm>
                    <a:prstGeom prst="rect">
                      <a:avLst/>
                    </a:prstGeom>
                  </pic:spPr>
                </pic:pic>
              </a:graphicData>
            </a:graphic>
          </wp:anchor>
        </w:drawing>
      </w:r>
    </w:p>
    <w:p>
      <w:pPr>
        <w:pStyle w:val="BodyText"/>
        <w:spacing w:before="168"/>
        <w:ind w:left="0"/>
        <w:rPr>
          <w:sz w:val="20"/>
        </w:rPr>
      </w:pPr>
    </w:p>
    <w:p>
      <w:pPr>
        <w:tabs>
          <w:tab w:pos="6263" w:val="left" w:leader="none"/>
        </w:tabs>
        <w:spacing w:before="0"/>
        <w:ind w:left="1135" w:right="0" w:firstLine="0"/>
        <w:jc w:val="left"/>
        <w:rPr>
          <w:sz w:val="20"/>
        </w:rPr>
      </w:pPr>
      <w:r>
        <w:rPr>
          <w:sz w:val="20"/>
        </w:rPr>
        <w:t>Técnica</w:t>
      </w:r>
      <w:r>
        <w:rPr>
          <w:spacing w:val="-4"/>
          <w:sz w:val="20"/>
        </w:rPr>
        <w:t> </w:t>
      </w:r>
      <w:r>
        <w:rPr>
          <w:sz w:val="20"/>
        </w:rPr>
        <w:t>de</w:t>
      </w:r>
      <w:r>
        <w:rPr>
          <w:spacing w:val="-4"/>
          <w:sz w:val="20"/>
        </w:rPr>
        <w:t> </w:t>
      </w:r>
      <w:r>
        <w:rPr>
          <w:spacing w:val="-2"/>
          <w:sz w:val="20"/>
        </w:rPr>
        <w:t>cauterización</w:t>
      </w:r>
      <w:r>
        <w:rPr>
          <w:sz w:val="20"/>
        </w:rPr>
        <w:tab/>
        <w:t>Visita</w:t>
      </w:r>
      <w:r>
        <w:rPr>
          <w:spacing w:val="-3"/>
          <w:sz w:val="20"/>
        </w:rPr>
        <w:t> </w:t>
      </w:r>
      <w:r>
        <w:rPr>
          <w:sz w:val="20"/>
        </w:rPr>
        <w:t>de</w:t>
      </w:r>
      <w:r>
        <w:rPr>
          <w:spacing w:val="11"/>
          <w:sz w:val="20"/>
        </w:rPr>
        <w:t> </w:t>
      </w:r>
      <w:r>
        <w:rPr>
          <w:spacing w:val="-2"/>
          <w:sz w:val="20"/>
        </w:rPr>
        <w:t>campo</w:t>
      </w:r>
    </w:p>
    <w:p>
      <w:pPr>
        <w:spacing w:after="0"/>
        <w:jc w:val="left"/>
        <w:rPr>
          <w:sz w:val="20"/>
        </w:rPr>
        <w:sectPr>
          <w:footerReference w:type="default" r:id="rId40"/>
          <w:pgSz w:w="11900" w:h="16860"/>
          <w:pgMar w:header="0" w:footer="0" w:top="1700" w:bottom="280" w:left="1133" w:right="850"/>
        </w:sectPr>
      </w:pPr>
    </w:p>
    <w:p>
      <w:pPr>
        <w:spacing w:before="70"/>
        <w:ind w:left="1135" w:right="0" w:firstLine="0"/>
        <w:jc w:val="left"/>
        <w:rPr>
          <w:sz w:val="24"/>
        </w:rPr>
      </w:pPr>
      <w:bookmarkStart w:name="_bookmark72" w:id="73"/>
      <w:bookmarkEnd w:id="73"/>
      <w:r>
        <w:rPr/>
      </w:r>
      <w:r>
        <w:rPr>
          <w:b/>
          <w:sz w:val="24"/>
        </w:rPr>
        <w:t>Anexo</w:t>
      </w:r>
      <w:r>
        <w:rPr>
          <w:b/>
          <w:spacing w:val="-15"/>
          <w:sz w:val="24"/>
        </w:rPr>
        <w:t> </w:t>
      </w:r>
      <w:r>
        <w:rPr>
          <w:b/>
          <w:sz w:val="24"/>
        </w:rPr>
        <w:t>3</w:t>
      </w:r>
      <w:r>
        <w:rPr>
          <w:b/>
          <w:spacing w:val="-20"/>
          <w:sz w:val="24"/>
        </w:rPr>
        <w:t> </w:t>
      </w:r>
      <w:r>
        <w:rPr>
          <w:sz w:val="24"/>
        </w:rPr>
        <w:t>Resultados</w:t>
      </w:r>
      <w:r>
        <w:rPr>
          <w:spacing w:val="-13"/>
          <w:sz w:val="24"/>
        </w:rPr>
        <w:t> </w:t>
      </w:r>
      <w:r>
        <w:rPr>
          <w:sz w:val="24"/>
        </w:rPr>
        <w:t>del</w:t>
      </w:r>
      <w:r>
        <w:rPr>
          <w:spacing w:val="-9"/>
          <w:sz w:val="24"/>
        </w:rPr>
        <w:t> </w:t>
      </w:r>
      <w:r>
        <w:rPr>
          <w:spacing w:val="-2"/>
          <w:sz w:val="24"/>
        </w:rPr>
        <w:t>Laboratorio</w:t>
      </w:r>
    </w:p>
    <w:p>
      <w:pPr>
        <w:pStyle w:val="BodyText"/>
        <w:spacing w:before="139"/>
        <w:ind w:left="0"/>
        <w:rPr>
          <w:sz w:val="20"/>
        </w:rPr>
      </w:pPr>
      <w:r>
        <w:rPr>
          <w:sz w:val="20"/>
        </w:rPr>
        <mc:AlternateContent>
          <mc:Choice Requires="wps">
            <w:drawing>
              <wp:anchor distT="0" distB="0" distL="0" distR="0" allowOverlap="1" layoutInCell="1" locked="0" behindDoc="1" simplePos="0" relativeHeight="487599104">
                <wp:simplePos x="0" y="0"/>
                <wp:positionH relativeFrom="page">
                  <wp:posOffset>1449641</wp:posOffset>
                </wp:positionH>
                <wp:positionV relativeFrom="paragraph">
                  <wp:posOffset>249887</wp:posOffset>
                </wp:positionV>
                <wp:extent cx="4800600" cy="3923665"/>
                <wp:effectExtent l="0" t="0" r="0" b="0"/>
                <wp:wrapTopAndBottom/>
                <wp:docPr id="49" name="Group 49"/>
                <wp:cNvGraphicFramePr>
                  <a:graphicFrameLocks/>
                </wp:cNvGraphicFramePr>
                <a:graphic>
                  <a:graphicData uri="http://schemas.microsoft.com/office/word/2010/wordprocessingGroup">
                    <wpg:wgp>
                      <wpg:cNvPr id="49" name="Group 49"/>
                      <wpg:cNvGrpSpPr/>
                      <wpg:grpSpPr>
                        <a:xfrm>
                          <a:off x="0" y="0"/>
                          <a:ext cx="4800600" cy="3923665"/>
                          <a:chExt cx="4800600" cy="3923665"/>
                        </a:xfrm>
                      </wpg:grpSpPr>
                      <pic:pic>
                        <pic:nvPicPr>
                          <pic:cNvPr id="50" name="Image 50"/>
                          <pic:cNvPicPr/>
                        </pic:nvPicPr>
                        <pic:blipFill>
                          <a:blip r:embed="rId46" cstate="print"/>
                          <a:stretch>
                            <a:fillRect/>
                          </a:stretch>
                        </pic:blipFill>
                        <pic:spPr>
                          <a:xfrm>
                            <a:off x="132612" y="9588"/>
                            <a:ext cx="4478089" cy="3662736"/>
                          </a:xfrm>
                          <a:prstGeom prst="rect">
                            <a:avLst/>
                          </a:prstGeom>
                        </pic:spPr>
                      </pic:pic>
                      <wps:wsp>
                        <wps:cNvPr id="51" name="Graphic 51"/>
                        <wps:cNvSpPr/>
                        <wps:spPr>
                          <a:xfrm>
                            <a:off x="4762" y="4762"/>
                            <a:ext cx="4791075" cy="3914140"/>
                          </a:xfrm>
                          <a:custGeom>
                            <a:avLst/>
                            <a:gdLst/>
                            <a:ahLst/>
                            <a:cxnLst/>
                            <a:rect l="l" t="t" r="r" b="b"/>
                            <a:pathLst>
                              <a:path w="4791075" h="3914140">
                                <a:moveTo>
                                  <a:pt x="0" y="3914140"/>
                                </a:moveTo>
                                <a:lnTo>
                                  <a:pt x="4791075" y="3914140"/>
                                </a:lnTo>
                                <a:lnTo>
                                  <a:pt x="4791075" y="0"/>
                                </a:lnTo>
                                <a:lnTo>
                                  <a:pt x="0" y="0"/>
                                </a:lnTo>
                                <a:lnTo>
                                  <a:pt x="0" y="39141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4.144997pt;margin-top:19.676172pt;width:378pt;height:308.95pt;mso-position-horizontal-relative:page;mso-position-vertical-relative:paragraph;z-index:-15717376;mso-wrap-distance-left:0;mso-wrap-distance-right:0" id="docshapegroup25" coordorigin="2283,394" coordsize="7560,6179">
                <v:shape style="position:absolute;left:2491;top:408;width:7053;height:5769" type="#_x0000_t75" id="docshape26" stroked="false">
                  <v:imagedata r:id="rId46" o:title=""/>
                </v:shape>
                <v:rect style="position:absolute;left:2290;top:401;width:7545;height:6164" id="docshape27" filled="false" stroked="true" strokeweight=".75pt" strokecolor="#000000">
                  <v:stroke dashstyle="solid"/>
                </v:rect>
                <w10:wrap type="topAndBottom"/>
              </v:group>
            </w:pict>
          </mc:Fallback>
        </mc:AlternateContent>
      </w:r>
    </w:p>
    <w:p>
      <w:pPr>
        <w:pStyle w:val="BodyText"/>
        <w:ind w:left="0"/>
        <w:rPr>
          <w:sz w:val="20"/>
        </w:rPr>
      </w:pPr>
    </w:p>
    <w:p>
      <w:pPr>
        <w:pStyle w:val="BodyText"/>
        <w:spacing w:before="109"/>
        <w:ind w:left="0"/>
        <w:rPr>
          <w:sz w:val="20"/>
        </w:rPr>
      </w:pPr>
      <w:r>
        <w:rPr>
          <w:sz w:val="20"/>
        </w:rPr>
        <w:drawing>
          <wp:anchor distT="0" distB="0" distL="0" distR="0" allowOverlap="1" layoutInCell="1" locked="0" behindDoc="1" simplePos="0" relativeHeight="487599616">
            <wp:simplePos x="0" y="0"/>
            <wp:positionH relativeFrom="page">
              <wp:posOffset>1728356</wp:posOffset>
            </wp:positionH>
            <wp:positionV relativeFrom="paragraph">
              <wp:posOffset>230542</wp:posOffset>
            </wp:positionV>
            <wp:extent cx="4493069" cy="3875246"/>
            <wp:effectExtent l="0" t="0" r="0" b="0"/>
            <wp:wrapTopAndBottom/>
            <wp:docPr id="52" name="Image 52"/>
            <wp:cNvGraphicFramePr>
              <a:graphicFrameLocks/>
            </wp:cNvGraphicFramePr>
            <a:graphic>
              <a:graphicData uri="http://schemas.openxmlformats.org/drawingml/2006/picture">
                <pic:pic>
                  <pic:nvPicPr>
                    <pic:cNvPr id="52" name="Image 52"/>
                    <pic:cNvPicPr/>
                  </pic:nvPicPr>
                  <pic:blipFill>
                    <a:blip r:embed="rId47" cstate="print"/>
                    <a:stretch>
                      <a:fillRect/>
                    </a:stretch>
                  </pic:blipFill>
                  <pic:spPr>
                    <a:xfrm>
                      <a:off x="0" y="0"/>
                      <a:ext cx="4493069" cy="3875246"/>
                    </a:xfrm>
                    <a:prstGeom prst="rect">
                      <a:avLst/>
                    </a:prstGeom>
                  </pic:spPr>
                </pic:pic>
              </a:graphicData>
            </a:graphic>
          </wp:anchor>
        </w:drawing>
      </w:r>
    </w:p>
    <w:p>
      <w:pPr>
        <w:pStyle w:val="BodyText"/>
        <w:spacing w:after="0"/>
        <w:rPr>
          <w:sz w:val="20"/>
        </w:rPr>
        <w:sectPr>
          <w:footerReference w:type="default" r:id="rId45"/>
          <w:pgSz w:w="11900" w:h="16860"/>
          <w:pgMar w:header="0" w:footer="0" w:top="1620" w:bottom="280" w:left="1133" w:right="850"/>
        </w:sectPr>
      </w:pPr>
    </w:p>
    <w:p>
      <w:pPr>
        <w:spacing w:line="240" w:lineRule="auto"/>
        <w:ind w:left="1273" w:right="0" w:firstLine="0"/>
        <w:rPr>
          <w:sz w:val="20"/>
        </w:rPr>
      </w:pPr>
      <w:r>
        <w:rPr>
          <w:sz w:val="20"/>
        </w:rPr>
        <mc:AlternateContent>
          <mc:Choice Requires="wps">
            <w:drawing>
              <wp:inline distT="0" distB="0" distL="0" distR="0">
                <wp:extent cx="4500245" cy="8680450"/>
                <wp:effectExtent l="0" t="0" r="0" b="6350"/>
                <wp:docPr id="53" name="Group 53"/>
                <wp:cNvGraphicFramePr>
                  <a:graphicFrameLocks/>
                </wp:cNvGraphicFramePr>
                <a:graphic>
                  <a:graphicData uri="http://schemas.microsoft.com/office/word/2010/wordprocessingGroup">
                    <wpg:wgp>
                      <wpg:cNvPr id="53" name="Group 53"/>
                      <wpg:cNvGrpSpPr/>
                      <wpg:grpSpPr>
                        <a:xfrm>
                          <a:off x="0" y="0"/>
                          <a:ext cx="4500245" cy="8680450"/>
                          <a:chExt cx="4500245" cy="8680450"/>
                        </a:xfrm>
                      </wpg:grpSpPr>
                      <pic:pic>
                        <pic:nvPicPr>
                          <pic:cNvPr id="54" name="Image 54"/>
                          <pic:cNvPicPr/>
                        </pic:nvPicPr>
                        <pic:blipFill>
                          <a:blip r:embed="rId49" cstate="print"/>
                          <a:stretch>
                            <a:fillRect/>
                          </a:stretch>
                        </pic:blipFill>
                        <pic:spPr>
                          <a:xfrm>
                            <a:off x="90361" y="4141215"/>
                            <a:ext cx="3963351" cy="4539107"/>
                          </a:xfrm>
                          <a:prstGeom prst="rect">
                            <a:avLst/>
                          </a:prstGeom>
                        </pic:spPr>
                      </pic:pic>
                      <pic:pic>
                        <pic:nvPicPr>
                          <pic:cNvPr id="55" name="Image 55"/>
                          <pic:cNvPicPr/>
                        </pic:nvPicPr>
                        <pic:blipFill>
                          <a:blip r:embed="rId50" cstate="print"/>
                          <a:stretch>
                            <a:fillRect/>
                          </a:stretch>
                        </pic:blipFill>
                        <pic:spPr>
                          <a:xfrm>
                            <a:off x="0" y="0"/>
                            <a:ext cx="4500245" cy="4929251"/>
                          </a:xfrm>
                          <a:prstGeom prst="rect">
                            <a:avLst/>
                          </a:prstGeom>
                        </pic:spPr>
                      </pic:pic>
                    </wpg:wgp>
                  </a:graphicData>
                </a:graphic>
              </wp:inline>
            </w:drawing>
          </mc:Choice>
          <mc:Fallback>
            <w:pict>
              <v:group style="width:354.35pt;height:683.5pt;mso-position-horizontal-relative:char;mso-position-vertical-relative:line" id="docshapegroup28" coordorigin="0,0" coordsize="7087,13670">
                <v:shape style="position:absolute;left:142;top:6521;width:6242;height:7149" type="#_x0000_t75" id="docshape29" stroked="false">
                  <v:imagedata r:id="rId49" o:title=""/>
                </v:shape>
                <v:shape style="position:absolute;left:0;top:0;width:7087;height:7763" type="#_x0000_t75" id="docshape30" stroked="false">
                  <v:imagedata r:id="rId50" o:title=""/>
                </v:shape>
              </v:group>
            </w:pict>
          </mc:Fallback>
        </mc:AlternateContent>
      </w:r>
      <w:r>
        <w:rPr>
          <w:sz w:val="20"/>
        </w:rPr>
      </w:r>
    </w:p>
    <w:p>
      <w:pPr>
        <w:spacing w:after="0" w:line="240" w:lineRule="auto"/>
        <w:rPr>
          <w:sz w:val="20"/>
        </w:rPr>
        <w:sectPr>
          <w:footerReference w:type="default" r:id="rId48"/>
          <w:pgSz w:w="11900" w:h="16860"/>
          <w:pgMar w:header="0" w:footer="0" w:top="400" w:bottom="280" w:left="1133" w:right="850"/>
        </w:sectPr>
      </w:pPr>
    </w:p>
    <w:tbl>
      <w:tblPr>
        <w:tblW w:w="0" w:type="auto"/>
        <w:jc w:val="left"/>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0"/>
        <w:gridCol w:w="566"/>
        <w:gridCol w:w="710"/>
        <w:gridCol w:w="567"/>
        <w:gridCol w:w="211"/>
        <w:gridCol w:w="355"/>
        <w:gridCol w:w="309"/>
        <w:gridCol w:w="81"/>
        <w:gridCol w:w="314"/>
        <w:gridCol w:w="324"/>
        <w:gridCol w:w="269"/>
        <w:gridCol w:w="91"/>
        <w:gridCol w:w="333"/>
        <w:gridCol w:w="280"/>
        <w:gridCol w:w="138"/>
        <w:gridCol w:w="426"/>
        <w:gridCol w:w="280"/>
        <w:gridCol w:w="186"/>
        <w:gridCol w:w="419"/>
        <w:gridCol w:w="95"/>
        <w:gridCol w:w="362"/>
        <w:gridCol w:w="457"/>
        <w:gridCol w:w="143"/>
        <w:gridCol w:w="275"/>
        <w:gridCol w:w="426"/>
        <w:gridCol w:w="421"/>
        <w:gridCol w:w="419"/>
        <w:gridCol w:w="414"/>
      </w:tblGrid>
      <w:tr>
        <w:trPr>
          <w:trHeight w:val="1164" w:hRule="atLeast"/>
        </w:trPr>
        <w:tc>
          <w:tcPr>
            <w:tcW w:w="1276" w:type="dxa"/>
            <w:gridSpan w:val="2"/>
            <w:tcBorders>
              <w:right w:val="nil"/>
            </w:tcBorders>
          </w:tcPr>
          <w:p>
            <w:pPr>
              <w:pStyle w:val="TableParagraph"/>
              <w:spacing w:before="2" w:after="1"/>
              <w:rPr>
                <w:sz w:val="8"/>
              </w:rPr>
            </w:pPr>
          </w:p>
          <w:p>
            <w:pPr>
              <w:pStyle w:val="TableParagraph"/>
              <w:ind w:left="216"/>
              <w:rPr>
                <w:sz w:val="20"/>
              </w:rPr>
            </w:pPr>
            <w:r>
              <w:rPr>
                <w:sz w:val="20"/>
              </w:rPr>
              <w:drawing>
                <wp:inline distT="0" distB="0" distL="0" distR="0">
                  <wp:extent cx="382100" cy="532256"/>
                  <wp:effectExtent l="0" t="0" r="0" b="0"/>
                  <wp:docPr id="56" name="Image 56" descr="No hay texto alternativo automático disponible."/>
                  <wp:cNvGraphicFramePr>
                    <a:graphicFrameLocks/>
                  </wp:cNvGraphicFramePr>
                  <a:graphic>
                    <a:graphicData uri="http://schemas.openxmlformats.org/drawingml/2006/picture">
                      <pic:pic>
                        <pic:nvPicPr>
                          <pic:cNvPr id="56" name="Image 56" descr="No hay texto alternativo automático disponible."/>
                          <pic:cNvPicPr/>
                        </pic:nvPicPr>
                        <pic:blipFill>
                          <a:blip r:embed="rId52" cstate="print"/>
                          <a:stretch>
                            <a:fillRect/>
                          </a:stretch>
                        </pic:blipFill>
                        <pic:spPr>
                          <a:xfrm>
                            <a:off x="0" y="0"/>
                            <a:ext cx="382100" cy="532256"/>
                          </a:xfrm>
                          <a:prstGeom prst="rect">
                            <a:avLst/>
                          </a:prstGeom>
                        </pic:spPr>
                      </pic:pic>
                    </a:graphicData>
                  </a:graphic>
                </wp:inline>
              </w:drawing>
            </w:r>
            <w:r>
              <w:rPr>
                <w:sz w:val="20"/>
              </w:rPr>
            </w:r>
          </w:p>
        </w:tc>
        <w:tc>
          <w:tcPr>
            <w:tcW w:w="6350" w:type="dxa"/>
            <w:gridSpan w:val="21"/>
            <w:tcBorders>
              <w:left w:val="nil"/>
              <w:right w:val="nil"/>
            </w:tcBorders>
          </w:tcPr>
          <w:p>
            <w:pPr>
              <w:pStyle w:val="TableParagraph"/>
              <w:spacing w:before="122"/>
              <w:ind w:left="726"/>
              <w:jc w:val="center"/>
              <w:rPr>
                <w:sz w:val="20"/>
              </w:rPr>
            </w:pPr>
            <w:r>
              <w:rPr>
                <w:sz w:val="20"/>
              </w:rPr>
              <w:t>UNIVERSIDAD</w:t>
            </w:r>
            <w:r>
              <w:rPr>
                <w:spacing w:val="-8"/>
                <w:sz w:val="20"/>
              </w:rPr>
              <w:t> </w:t>
            </w:r>
            <w:r>
              <w:rPr>
                <w:sz w:val="20"/>
              </w:rPr>
              <w:t>ESTATAL</w:t>
            </w:r>
            <w:r>
              <w:rPr>
                <w:spacing w:val="-10"/>
                <w:sz w:val="20"/>
              </w:rPr>
              <w:t> </w:t>
            </w:r>
            <w:r>
              <w:rPr>
                <w:sz w:val="20"/>
              </w:rPr>
              <w:t>DE</w:t>
            </w:r>
            <w:r>
              <w:rPr>
                <w:spacing w:val="-8"/>
                <w:sz w:val="20"/>
              </w:rPr>
              <w:t> </w:t>
            </w:r>
            <w:r>
              <w:rPr>
                <w:spacing w:val="-2"/>
                <w:sz w:val="20"/>
              </w:rPr>
              <w:t>BOLÍVAR</w:t>
            </w:r>
          </w:p>
          <w:p>
            <w:pPr>
              <w:pStyle w:val="TableParagraph"/>
              <w:spacing w:line="304" w:lineRule="auto" w:before="1"/>
              <w:ind w:left="655" w:right="-72"/>
              <w:jc w:val="center"/>
              <w:rPr>
                <w:sz w:val="20"/>
              </w:rPr>
            </w:pPr>
            <w:r>
              <w:rPr>
                <w:sz w:val="20"/>
              </w:rPr>
              <w:t>Facultad</w:t>
            </w:r>
            <w:r>
              <w:rPr>
                <w:spacing w:val="-4"/>
                <w:sz w:val="20"/>
              </w:rPr>
              <w:t> </w:t>
            </w:r>
            <w:r>
              <w:rPr>
                <w:sz w:val="20"/>
              </w:rPr>
              <w:t>de</w:t>
            </w:r>
            <w:r>
              <w:rPr>
                <w:spacing w:val="-5"/>
                <w:sz w:val="20"/>
              </w:rPr>
              <w:t> </w:t>
            </w:r>
            <w:r>
              <w:rPr>
                <w:sz w:val="20"/>
              </w:rPr>
              <w:t>Ciencias</w:t>
            </w:r>
            <w:r>
              <w:rPr>
                <w:spacing w:val="-3"/>
                <w:sz w:val="20"/>
              </w:rPr>
              <w:t> </w:t>
            </w:r>
            <w:r>
              <w:rPr>
                <w:sz w:val="20"/>
              </w:rPr>
              <w:t>Agropecuarias</w:t>
            </w:r>
            <w:r>
              <w:rPr>
                <w:spacing w:val="-6"/>
                <w:sz w:val="20"/>
              </w:rPr>
              <w:t> </w:t>
            </w:r>
            <w:r>
              <w:rPr>
                <w:sz w:val="20"/>
              </w:rPr>
              <w:t>Recursos</w:t>
            </w:r>
            <w:r>
              <w:rPr>
                <w:spacing w:val="-6"/>
                <w:sz w:val="20"/>
              </w:rPr>
              <w:t> </w:t>
            </w:r>
            <w:r>
              <w:rPr>
                <w:sz w:val="20"/>
              </w:rPr>
              <w:t>Naturales</w:t>
            </w:r>
            <w:r>
              <w:rPr>
                <w:spacing w:val="-3"/>
                <w:sz w:val="20"/>
              </w:rPr>
              <w:t> </w:t>
            </w:r>
            <w:r>
              <w:rPr>
                <w:sz w:val="20"/>
              </w:rPr>
              <w:t>y</w:t>
            </w:r>
            <w:r>
              <w:rPr>
                <w:spacing w:val="-9"/>
                <w:sz w:val="20"/>
              </w:rPr>
              <w:t> </w:t>
            </w:r>
            <w:r>
              <w:rPr>
                <w:sz w:val="20"/>
              </w:rPr>
              <w:t>del</w:t>
            </w:r>
            <w:r>
              <w:rPr>
                <w:spacing w:val="-5"/>
                <w:sz w:val="20"/>
              </w:rPr>
              <w:t> </w:t>
            </w:r>
            <w:r>
              <w:rPr>
                <w:sz w:val="20"/>
              </w:rPr>
              <w:t>Ambiente Carrera de Medicina Veterinaria y Zootecnia</w:t>
            </w:r>
          </w:p>
        </w:tc>
        <w:tc>
          <w:tcPr>
            <w:tcW w:w="275" w:type="dxa"/>
            <w:tcBorders>
              <w:left w:val="nil"/>
              <w:right w:val="nil"/>
            </w:tcBorders>
          </w:tcPr>
          <w:p>
            <w:pPr>
              <w:pStyle w:val="TableParagraph"/>
              <w:rPr>
                <w:sz w:val="18"/>
              </w:rPr>
            </w:pPr>
          </w:p>
        </w:tc>
        <w:tc>
          <w:tcPr>
            <w:tcW w:w="426" w:type="dxa"/>
            <w:tcBorders>
              <w:left w:val="nil"/>
              <w:right w:val="nil"/>
            </w:tcBorders>
          </w:tcPr>
          <w:p>
            <w:pPr>
              <w:pStyle w:val="TableParagraph"/>
              <w:rPr>
                <w:sz w:val="18"/>
              </w:rPr>
            </w:pPr>
          </w:p>
        </w:tc>
        <w:tc>
          <w:tcPr>
            <w:tcW w:w="1254" w:type="dxa"/>
            <w:gridSpan w:val="3"/>
            <w:tcBorders>
              <w:left w:val="nil"/>
            </w:tcBorders>
          </w:tcPr>
          <w:p>
            <w:pPr>
              <w:pStyle w:val="TableParagraph"/>
              <w:ind w:left="129"/>
              <w:rPr>
                <w:sz w:val="20"/>
              </w:rPr>
            </w:pPr>
            <w:r>
              <w:rPr>
                <w:sz w:val="20"/>
              </w:rPr>
              <w:drawing>
                <wp:inline distT="0" distB="0" distL="0" distR="0">
                  <wp:extent cx="578643" cy="578643"/>
                  <wp:effectExtent l="0" t="0" r="0" b="0"/>
                  <wp:docPr id="57" name="Image 57" descr="Medicina Veterinaria UEB | Guaranda"/>
                  <wp:cNvGraphicFramePr>
                    <a:graphicFrameLocks/>
                  </wp:cNvGraphicFramePr>
                  <a:graphic>
                    <a:graphicData uri="http://schemas.openxmlformats.org/drawingml/2006/picture">
                      <pic:pic>
                        <pic:nvPicPr>
                          <pic:cNvPr id="57" name="Image 57" descr="Medicina Veterinaria UEB | Guaranda"/>
                          <pic:cNvPicPr/>
                        </pic:nvPicPr>
                        <pic:blipFill>
                          <a:blip r:embed="rId53" cstate="print"/>
                          <a:stretch>
                            <a:fillRect/>
                          </a:stretch>
                        </pic:blipFill>
                        <pic:spPr>
                          <a:xfrm>
                            <a:off x="0" y="0"/>
                            <a:ext cx="578643" cy="578643"/>
                          </a:xfrm>
                          <a:prstGeom prst="rect">
                            <a:avLst/>
                          </a:prstGeom>
                        </pic:spPr>
                      </pic:pic>
                    </a:graphicData>
                  </a:graphic>
                </wp:inline>
              </w:drawing>
            </w:r>
            <w:r>
              <w:rPr>
                <w:sz w:val="20"/>
              </w:rPr>
            </w:r>
          </w:p>
        </w:tc>
      </w:tr>
      <w:tr>
        <w:trPr>
          <w:trHeight w:val="460" w:hRule="atLeast"/>
        </w:trPr>
        <w:tc>
          <w:tcPr>
            <w:tcW w:w="9581" w:type="dxa"/>
            <w:gridSpan w:val="28"/>
          </w:tcPr>
          <w:p>
            <w:pPr>
              <w:pStyle w:val="TableParagraph"/>
              <w:spacing w:line="230" w:lineRule="atLeast"/>
              <w:ind w:left="107"/>
              <w:rPr>
                <w:sz w:val="20"/>
              </w:rPr>
            </w:pPr>
            <w:r>
              <w:rPr>
                <w:b/>
                <w:sz w:val="20"/>
              </w:rPr>
              <w:t>TEMA: </w:t>
            </w:r>
            <w:r>
              <w:rPr>
                <w:sz w:val="20"/>
              </w:rPr>
              <w:t>Estudio de la analgesia multimodal sobre las respuestas fisiológicas y conductuales en terneros sometidos a un procedimiento de descorne</w:t>
            </w:r>
          </w:p>
        </w:tc>
      </w:tr>
      <w:tr>
        <w:trPr>
          <w:trHeight w:val="275" w:hRule="atLeast"/>
        </w:trPr>
        <w:tc>
          <w:tcPr>
            <w:tcW w:w="9581" w:type="dxa"/>
            <w:gridSpan w:val="28"/>
          </w:tcPr>
          <w:p>
            <w:pPr>
              <w:pStyle w:val="TableParagraph"/>
              <w:ind w:left="107"/>
              <w:rPr>
                <w:b/>
                <w:sz w:val="20"/>
              </w:rPr>
            </w:pPr>
            <w:r>
              <w:rPr>
                <w:b/>
                <w:sz w:val="20"/>
              </w:rPr>
              <w:t>Fecha:</w:t>
            </w:r>
            <w:r>
              <w:rPr>
                <w:b/>
                <w:spacing w:val="43"/>
                <w:sz w:val="20"/>
              </w:rPr>
              <w:t> </w:t>
            </w:r>
            <w:r>
              <w:rPr>
                <w:b/>
                <w:sz w:val="20"/>
              </w:rPr>
              <w:t>03</w:t>
            </w:r>
            <w:r>
              <w:rPr>
                <w:b/>
                <w:spacing w:val="-3"/>
                <w:sz w:val="20"/>
              </w:rPr>
              <w:t> </w:t>
            </w:r>
            <w:r>
              <w:rPr>
                <w:b/>
                <w:sz w:val="20"/>
              </w:rPr>
              <w:t>de</w:t>
            </w:r>
            <w:r>
              <w:rPr>
                <w:b/>
                <w:spacing w:val="-4"/>
                <w:sz w:val="20"/>
              </w:rPr>
              <w:t> </w:t>
            </w:r>
            <w:r>
              <w:rPr>
                <w:b/>
                <w:sz w:val="20"/>
              </w:rPr>
              <w:t>noviembre</w:t>
            </w:r>
            <w:r>
              <w:rPr>
                <w:b/>
                <w:spacing w:val="-4"/>
                <w:sz w:val="20"/>
              </w:rPr>
              <w:t> </w:t>
            </w:r>
            <w:r>
              <w:rPr>
                <w:b/>
                <w:sz w:val="20"/>
              </w:rPr>
              <w:t>del</w:t>
            </w:r>
            <w:r>
              <w:rPr>
                <w:b/>
                <w:spacing w:val="-5"/>
                <w:sz w:val="20"/>
              </w:rPr>
              <w:t> </w:t>
            </w:r>
            <w:r>
              <w:rPr>
                <w:b/>
                <w:spacing w:val="-4"/>
                <w:sz w:val="20"/>
              </w:rPr>
              <w:t>2025</w:t>
            </w:r>
          </w:p>
        </w:tc>
      </w:tr>
      <w:tr>
        <w:trPr>
          <w:trHeight w:val="230" w:hRule="atLeast"/>
        </w:trPr>
        <w:tc>
          <w:tcPr>
            <w:tcW w:w="9581" w:type="dxa"/>
            <w:gridSpan w:val="28"/>
          </w:tcPr>
          <w:p>
            <w:pPr>
              <w:pStyle w:val="TableParagraph"/>
              <w:spacing w:line="210" w:lineRule="exact"/>
              <w:ind w:left="107"/>
              <w:rPr>
                <w:b/>
                <w:sz w:val="20"/>
              </w:rPr>
            </w:pPr>
            <w:r>
              <w:rPr>
                <w:b/>
                <w:sz w:val="20"/>
              </w:rPr>
              <w:t>Técnico</w:t>
            </w:r>
            <w:r>
              <w:rPr>
                <w:b/>
                <w:spacing w:val="-4"/>
                <w:sz w:val="20"/>
              </w:rPr>
              <w:t> </w:t>
            </w:r>
            <w:r>
              <w:rPr>
                <w:b/>
                <w:sz w:val="20"/>
              </w:rPr>
              <w:t>de</w:t>
            </w:r>
            <w:r>
              <w:rPr>
                <w:b/>
                <w:spacing w:val="-4"/>
                <w:sz w:val="20"/>
              </w:rPr>
              <w:t> </w:t>
            </w:r>
            <w:r>
              <w:rPr>
                <w:b/>
                <w:sz w:val="20"/>
              </w:rPr>
              <w:t>descorne:</w:t>
            </w:r>
            <w:r>
              <w:rPr>
                <w:b/>
                <w:spacing w:val="-4"/>
                <w:sz w:val="20"/>
              </w:rPr>
              <w:t> </w:t>
            </w:r>
            <w:r>
              <w:rPr>
                <w:b/>
                <w:sz w:val="20"/>
              </w:rPr>
              <w:t>Evelyn</w:t>
            </w:r>
            <w:r>
              <w:rPr>
                <w:b/>
                <w:spacing w:val="-2"/>
                <w:sz w:val="20"/>
              </w:rPr>
              <w:t> </w:t>
            </w:r>
            <w:r>
              <w:rPr>
                <w:b/>
                <w:sz w:val="20"/>
              </w:rPr>
              <w:t>Gaibor</w:t>
            </w:r>
            <w:r>
              <w:rPr>
                <w:b/>
                <w:spacing w:val="-5"/>
                <w:sz w:val="20"/>
              </w:rPr>
              <w:t> </w:t>
            </w:r>
            <w:r>
              <w:rPr>
                <w:b/>
                <w:sz w:val="20"/>
              </w:rPr>
              <w:t>;</w:t>
            </w:r>
            <w:r>
              <w:rPr>
                <w:b/>
                <w:spacing w:val="-4"/>
                <w:sz w:val="20"/>
              </w:rPr>
              <w:t> </w:t>
            </w:r>
            <w:r>
              <w:rPr>
                <w:b/>
                <w:sz w:val="20"/>
              </w:rPr>
              <w:t>Bryan</w:t>
            </w:r>
            <w:r>
              <w:rPr>
                <w:b/>
                <w:spacing w:val="-5"/>
                <w:sz w:val="20"/>
              </w:rPr>
              <w:t> </w:t>
            </w:r>
            <w:r>
              <w:rPr>
                <w:b/>
                <w:spacing w:val="-2"/>
                <w:sz w:val="20"/>
              </w:rPr>
              <w:t>Carvajal</w:t>
            </w:r>
          </w:p>
        </w:tc>
      </w:tr>
      <w:tr>
        <w:trPr>
          <w:trHeight w:val="230" w:hRule="atLeast"/>
        </w:trPr>
        <w:tc>
          <w:tcPr>
            <w:tcW w:w="9581" w:type="dxa"/>
            <w:gridSpan w:val="28"/>
          </w:tcPr>
          <w:p>
            <w:pPr>
              <w:pStyle w:val="TableParagraph"/>
              <w:spacing w:line="210" w:lineRule="exact"/>
              <w:ind w:left="28"/>
              <w:jc w:val="center"/>
              <w:rPr>
                <w:b/>
                <w:sz w:val="20"/>
              </w:rPr>
            </w:pPr>
            <w:r>
              <w:rPr>
                <w:b/>
                <w:spacing w:val="-2"/>
                <w:sz w:val="20"/>
              </w:rPr>
              <w:t>Antes</w:t>
            </w:r>
          </w:p>
        </w:tc>
      </w:tr>
      <w:tr>
        <w:trPr>
          <w:trHeight w:val="460" w:hRule="atLeast"/>
        </w:trPr>
        <w:tc>
          <w:tcPr>
            <w:tcW w:w="2764" w:type="dxa"/>
            <w:gridSpan w:val="5"/>
            <w:shd w:val="clear" w:color="auto" w:fill="DEEAF6"/>
          </w:tcPr>
          <w:p>
            <w:pPr>
              <w:pStyle w:val="TableParagraph"/>
              <w:spacing w:before="115"/>
              <w:ind w:left="894"/>
              <w:rPr>
                <w:b/>
                <w:sz w:val="20"/>
              </w:rPr>
            </w:pPr>
            <w:r>
              <w:rPr>
                <w:b/>
                <w:sz w:val="20"/>
              </w:rPr>
              <w:t>T0:</w:t>
            </w:r>
            <w:r>
              <w:rPr>
                <w:b/>
                <w:spacing w:val="-3"/>
                <w:sz w:val="20"/>
              </w:rPr>
              <w:t> </w:t>
            </w:r>
            <w:r>
              <w:rPr>
                <w:b/>
                <w:spacing w:val="-2"/>
                <w:sz w:val="20"/>
              </w:rPr>
              <w:t>Testigo</w:t>
            </w:r>
          </w:p>
        </w:tc>
        <w:tc>
          <w:tcPr>
            <w:tcW w:w="1652" w:type="dxa"/>
            <w:gridSpan w:val="6"/>
            <w:shd w:val="clear" w:color="auto" w:fill="E1EED9"/>
          </w:tcPr>
          <w:p>
            <w:pPr>
              <w:pStyle w:val="TableParagraph"/>
              <w:spacing w:before="115"/>
              <w:ind w:left="368"/>
              <w:rPr>
                <w:b/>
                <w:sz w:val="20"/>
              </w:rPr>
            </w:pPr>
            <w:r>
              <w:rPr>
                <w:b/>
                <w:sz w:val="20"/>
              </w:rPr>
              <w:t>T1:</w:t>
            </w:r>
            <w:r>
              <w:rPr>
                <w:b/>
                <w:spacing w:val="-3"/>
                <w:sz w:val="20"/>
              </w:rPr>
              <w:t> </w:t>
            </w:r>
            <w:r>
              <w:rPr>
                <w:b/>
                <w:spacing w:val="-4"/>
                <w:sz w:val="20"/>
              </w:rPr>
              <w:t>LT+M</w:t>
            </w:r>
          </w:p>
        </w:tc>
        <w:tc>
          <w:tcPr>
            <w:tcW w:w="1548" w:type="dxa"/>
            <w:gridSpan w:val="6"/>
            <w:shd w:val="clear" w:color="auto" w:fill="FFF1CC"/>
          </w:tcPr>
          <w:p>
            <w:pPr>
              <w:pStyle w:val="TableParagraph"/>
              <w:spacing w:before="115"/>
              <w:ind w:left="319"/>
              <w:rPr>
                <w:b/>
                <w:sz w:val="20"/>
              </w:rPr>
            </w:pPr>
            <w:r>
              <w:rPr>
                <w:b/>
                <w:sz w:val="20"/>
              </w:rPr>
              <w:t>T2:</w:t>
            </w:r>
            <w:r>
              <w:rPr>
                <w:b/>
                <w:spacing w:val="-3"/>
                <w:sz w:val="20"/>
              </w:rPr>
              <w:t> </w:t>
            </w:r>
            <w:r>
              <w:rPr>
                <w:b/>
                <w:spacing w:val="-4"/>
                <w:sz w:val="20"/>
              </w:rPr>
              <w:t>BT+M</w:t>
            </w:r>
          </w:p>
        </w:tc>
        <w:tc>
          <w:tcPr>
            <w:tcW w:w="1662" w:type="dxa"/>
            <w:gridSpan w:val="6"/>
            <w:shd w:val="clear" w:color="auto" w:fill="FAE3D4"/>
          </w:tcPr>
          <w:p>
            <w:pPr>
              <w:pStyle w:val="TableParagraph"/>
              <w:ind w:left="30" w:right="6"/>
              <w:jc w:val="center"/>
              <w:rPr>
                <w:b/>
                <w:sz w:val="20"/>
              </w:rPr>
            </w:pPr>
            <w:r>
              <w:rPr>
                <w:b/>
                <w:spacing w:val="-2"/>
                <w:sz w:val="20"/>
              </w:rPr>
              <w:t>T3:50%LT+50</w:t>
            </w:r>
          </w:p>
          <w:p>
            <w:pPr>
              <w:pStyle w:val="TableParagraph"/>
              <w:spacing w:line="210" w:lineRule="exact"/>
              <w:ind w:left="30"/>
              <w:jc w:val="center"/>
              <w:rPr>
                <w:b/>
                <w:sz w:val="20"/>
              </w:rPr>
            </w:pPr>
            <w:r>
              <w:rPr>
                <w:b/>
                <w:spacing w:val="-5"/>
                <w:sz w:val="20"/>
              </w:rPr>
              <w:t>%BT</w:t>
            </w:r>
          </w:p>
        </w:tc>
        <w:tc>
          <w:tcPr>
            <w:tcW w:w="1955" w:type="dxa"/>
            <w:gridSpan w:val="5"/>
          </w:tcPr>
          <w:p>
            <w:pPr>
              <w:pStyle w:val="TableParagraph"/>
              <w:spacing w:before="115"/>
              <w:ind w:left="456"/>
              <w:rPr>
                <w:b/>
                <w:sz w:val="20"/>
              </w:rPr>
            </w:pPr>
            <w:r>
              <w:rPr>
                <w:b/>
                <w:spacing w:val="-2"/>
                <w:sz w:val="20"/>
              </w:rPr>
              <w:t>Observación</w:t>
            </w:r>
          </w:p>
        </w:tc>
      </w:tr>
      <w:tr>
        <w:trPr>
          <w:trHeight w:val="460" w:hRule="atLeast"/>
        </w:trPr>
        <w:tc>
          <w:tcPr>
            <w:tcW w:w="1276" w:type="dxa"/>
            <w:gridSpan w:val="2"/>
            <w:shd w:val="clear" w:color="auto" w:fill="DEEAF6"/>
          </w:tcPr>
          <w:p>
            <w:pPr>
              <w:pStyle w:val="TableParagraph"/>
              <w:ind w:left="107"/>
              <w:rPr>
                <w:sz w:val="20"/>
              </w:rPr>
            </w:pPr>
            <w:r>
              <w:rPr>
                <w:spacing w:val="-2"/>
                <w:sz w:val="20"/>
              </w:rPr>
              <w:t>T0-</w:t>
            </w:r>
            <w:r>
              <w:rPr>
                <w:spacing w:val="-12"/>
                <w:sz w:val="20"/>
              </w:rPr>
              <w:t>1</w:t>
            </w:r>
          </w:p>
        </w:tc>
        <w:tc>
          <w:tcPr>
            <w:tcW w:w="1488" w:type="dxa"/>
            <w:gridSpan w:val="3"/>
            <w:shd w:val="clear" w:color="auto" w:fill="DEEAF6"/>
          </w:tcPr>
          <w:p>
            <w:pPr>
              <w:pStyle w:val="TableParagraph"/>
              <w:spacing w:line="230" w:lineRule="atLeast"/>
              <w:ind w:left="110" w:right="1059"/>
              <w:rPr>
                <w:sz w:val="20"/>
              </w:rPr>
            </w:pPr>
            <w:r>
              <w:rPr>
                <w:spacing w:val="-4"/>
                <w:sz w:val="20"/>
              </w:rPr>
              <w:t>FC: </w:t>
            </w:r>
            <w:r>
              <w:rPr>
                <w:spacing w:val="-6"/>
                <w:sz w:val="20"/>
              </w:rPr>
              <w:t>96</w:t>
            </w:r>
          </w:p>
        </w:tc>
        <w:tc>
          <w:tcPr>
            <w:tcW w:w="745" w:type="dxa"/>
            <w:gridSpan w:val="3"/>
            <w:shd w:val="clear" w:color="auto" w:fill="E1EED9"/>
          </w:tcPr>
          <w:p>
            <w:pPr>
              <w:pStyle w:val="TableParagraph"/>
              <w:ind w:left="109"/>
              <w:rPr>
                <w:sz w:val="20"/>
              </w:rPr>
            </w:pPr>
            <w:r>
              <w:rPr>
                <w:spacing w:val="-2"/>
                <w:sz w:val="20"/>
              </w:rPr>
              <w:t>T1-</w:t>
            </w:r>
            <w:r>
              <w:rPr>
                <w:spacing w:val="-12"/>
                <w:sz w:val="20"/>
              </w:rPr>
              <w:t>1</w:t>
            </w:r>
          </w:p>
        </w:tc>
        <w:tc>
          <w:tcPr>
            <w:tcW w:w="907" w:type="dxa"/>
            <w:gridSpan w:val="3"/>
            <w:shd w:val="clear" w:color="auto" w:fill="E1EED9"/>
          </w:tcPr>
          <w:p>
            <w:pPr>
              <w:pStyle w:val="TableParagraph"/>
              <w:spacing w:line="230" w:lineRule="atLeast"/>
              <w:ind w:left="110" w:right="478"/>
              <w:rPr>
                <w:sz w:val="20"/>
              </w:rPr>
            </w:pPr>
            <w:r>
              <w:rPr>
                <w:spacing w:val="-4"/>
                <w:sz w:val="20"/>
              </w:rPr>
              <w:t>FC: </w:t>
            </w:r>
            <w:r>
              <w:rPr>
                <w:spacing w:val="-6"/>
                <w:sz w:val="20"/>
              </w:rPr>
              <w:t>94</w:t>
            </w:r>
          </w:p>
        </w:tc>
        <w:tc>
          <w:tcPr>
            <w:tcW w:w="704" w:type="dxa"/>
            <w:gridSpan w:val="3"/>
            <w:shd w:val="clear" w:color="auto" w:fill="FFF1CC"/>
          </w:tcPr>
          <w:p>
            <w:pPr>
              <w:pStyle w:val="TableParagraph"/>
              <w:ind w:left="111"/>
              <w:rPr>
                <w:sz w:val="20"/>
              </w:rPr>
            </w:pPr>
            <w:r>
              <w:rPr>
                <w:spacing w:val="-2"/>
                <w:sz w:val="20"/>
              </w:rPr>
              <w:t>T2-</w:t>
            </w:r>
            <w:r>
              <w:rPr>
                <w:spacing w:val="-12"/>
                <w:sz w:val="20"/>
              </w:rPr>
              <w:t>1</w:t>
            </w:r>
          </w:p>
        </w:tc>
        <w:tc>
          <w:tcPr>
            <w:tcW w:w="844" w:type="dxa"/>
            <w:gridSpan w:val="3"/>
            <w:shd w:val="clear" w:color="auto" w:fill="FFF1CC"/>
          </w:tcPr>
          <w:p>
            <w:pPr>
              <w:pStyle w:val="TableParagraph"/>
              <w:spacing w:line="230" w:lineRule="atLeast"/>
              <w:ind w:left="112" w:right="413"/>
              <w:rPr>
                <w:sz w:val="20"/>
              </w:rPr>
            </w:pPr>
            <w:r>
              <w:rPr>
                <w:spacing w:val="-4"/>
                <w:sz w:val="20"/>
              </w:rPr>
              <w:t>FC: </w:t>
            </w:r>
            <w:r>
              <w:rPr>
                <w:spacing w:val="-6"/>
                <w:sz w:val="20"/>
              </w:rPr>
              <w:t>93</w:t>
            </w:r>
          </w:p>
        </w:tc>
        <w:tc>
          <w:tcPr>
            <w:tcW w:w="700" w:type="dxa"/>
            <w:gridSpan w:val="3"/>
            <w:shd w:val="clear" w:color="auto" w:fill="FAE3D4"/>
          </w:tcPr>
          <w:p>
            <w:pPr>
              <w:pStyle w:val="TableParagraph"/>
              <w:ind w:left="115"/>
              <w:rPr>
                <w:sz w:val="20"/>
              </w:rPr>
            </w:pPr>
            <w:r>
              <w:rPr>
                <w:spacing w:val="-2"/>
                <w:sz w:val="20"/>
              </w:rPr>
              <w:t>T3-</w:t>
            </w:r>
            <w:r>
              <w:rPr>
                <w:spacing w:val="-12"/>
                <w:sz w:val="20"/>
              </w:rPr>
              <w:t>1</w:t>
            </w:r>
          </w:p>
        </w:tc>
        <w:tc>
          <w:tcPr>
            <w:tcW w:w="962" w:type="dxa"/>
            <w:gridSpan w:val="3"/>
            <w:shd w:val="clear" w:color="auto" w:fill="FAE3D4"/>
          </w:tcPr>
          <w:p>
            <w:pPr>
              <w:pStyle w:val="TableParagraph"/>
              <w:spacing w:line="230" w:lineRule="atLeast"/>
              <w:ind w:left="122" w:right="521"/>
              <w:rPr>
                <w:sz w:val="20"/>
              </w:rPr>
            </w:pPr>
            <w:r>
              <w:rPr>
                <w:spacing w:val="-4"/>
                <w:sz w:val="20"/>
              </w:rPr>
              <w:t>FC: </w:t>
            </w:r>
            <w:r>
              <w:rPr>
                <w:spacing w:val="-6"/>
                <w:sz w:val="20"/>
              </w:rPr>
              <w:t>92</w:t>
            </w:r>
          </w:p>
        </w:tc>
        <w:tc>
          <w:tcPr>
            <w:tcW w:w="1955" w:type="dxa"/>
            <w:gridSpan w:val="5"/>
            <w:vMerge w:val="restart"/>
          </w:tcPr>
          <w:p>
            <w:pPr>
              <w:pStyle w:val="TableParagraph"/>
              <w:rPr>
                <w:sz w:val="18"/>
              </w:rPr>
            </w:pPr>
          </w:p>
        </w:tc>
      </w:tr>
      <w:tr>
        <w:trPr>
          <w:trHeight w:val="460" w:hRule="atLeast"/>
        </w:trPr>
        <w:tc>
          <w:tcPr>
            <w:tcW w:w="1276" w:type="dxa"/>
            <w:gridSpan w:val="2"/>
            <w:shd w:val="clear" w:color="auto" w:fill="DEEAF6"/>
          </w:tcPr>
          <w:p>
            <w:pPr>
              <w:pStyle w:val="TableParagraph"/>
              <w:ind w:left="107"/>
              <w:rPr>
                <w:sz w:val="20"/>
              </w:rPr>
            </w:pPr>
            <w:r>
              <w:rPr>
                <w:spacing w:val="-2"/>
                <w:sz w:val="20"/>
              </w:rPr>
              <w:t>T0-</w:t>
            </w:r>
            <w:r>
              <w:rPr>
                <w:spacing w:val="-12"/>
                <w:sz w:val="20"/>
              </w:rPr>
              <w:t>2</w:t>
            </w:r>
          </w:p>
        </w:tc>
        <w:tc>
          <w:tcPr>
            <w:tcW w:w="1488" w:type="dxa"/>
            <w:gridSpan w:val="3"/>
            <w:shd w:val="clear" w:color="auto" w:fill="DEEAF6"/>
          </w:tcPr>
          <w:p>
            <w:pPr>
              <w:pStyle w:val="TableParagraph"/>
              <w:spacing w:line="230" w:lineRule="atLeast"/>
              <w:ind w:left="110" w:right="1059"/>
              <w:rPr>
                <w:sz w:val="20"/>
              </w:rPr>
            </w:pPr>
            <w:r>
              <w:rPr>
                <w:spacing w:val="-4"/>
                <w:sz w:val="20"/>
              </w:rPr>
              <w:t>FC: </w:t>
            </w:r>
            <w:r>
              <w:rPr>
                <w:spacing w:val="-6"/>
                <w:sz w:val="20"/>
              </w:rPr>
              <w:t>98</w:t>
            </w:r>
          </w:p>
        </w:tc>
        <w:tc>
          <w:tcPr>
            <w:tcW w:w="745" w:type="dxa"/>
            <w:gridSpan w:val="3"/>
            <w:shd w:val="clear" w:color="auto" w:fill="E1EED9"/>
          </w:tcPr>
          <w:p>
            <w:pPr>
              <w:pStyle w:val="TableParagraph"/>
              <w:ind w:left="109"/>
              <w:rPr>
                <w:sz w:val="20"/>
              </w:rPr>
            </w:pPr>
            <w:r>
              <w:rPr>
                <w:spacing w:val="-2"/>
                <w:sz w:val="20"/>
              </w:rPr>
              <w:t>T1-</w:t>
            </w:r>
            <w:r>
              <w:rPr>
                <w:spacing w:val="-12"/>
                <w:sz w:val="20"/>
              </w:rPr>
              <w:t>2</w:t>
            </w:r>
          </w:p>
        </w:tc>
        <w:tc>
          <w:tcPr>
            <w:tcW w:w="907" w:type="dxa"/>
            <w:gridSpan w:val="3"/>
            <w:shd w:val="clear" w:color="auto" w:fill="E1EED9"/>
          </w:tcPr>
          <w:p>
            <w:pPr>
              <w:pStyle w:val="TableParagraph"/>
              <w:spacing w:line="230" w:lineRule="atLeast"/>
              <w:ind w:left="110" w:right="478"/>
              <w:rPr>
                <w:sz w:val="20"/>
              </w:rPr>
            </w:pPr>
            <w:r>
              <w:rPr>
                <w:spacing w:val="-4"/>
                <w:sz w:val="20"/>
              </w:rPr>
              <w:t>FC: </w:t>
            </w:r>
            <w:r>
              <w:rPr>
                <w:spacing w:val="-6"/>
                <w:sz w:val="20"/>
              </w:rPr>
              <w:t>96</w:t>
            </w:r>
          </w:p>
        </w:tc>
        <w:tc>
          <w:tcPr>
            <w:tcW w:w="704" w:type="dxa"/>
            <w:gridSpan w:val="3"/>
            <w:shd w:val="clear" w:color="auto" w:fill="FFF1CC"/>
          </w:tcPr>
          <w:p>
            <w:pPr>
              <w:pStyle w:val="TableParagraph"/>
              <w:ind w:left="111"/>
              <w:rPr>
                <w:sz w:val="20"/>
              </w:rPr>
            </w:pPr>
            <w:r>
              <w:rPr>
                <w:spacing w:val="-2"/>
                <w:sz w:val="20"/>
              </w:rPr>
              <w:t>T2-</w:t>
            </w:r>
            <w:r>
              <w:rPr>
                <w:spacing w:val="-12"/>
                <w:sz w:val="20"/>
              </w:rPr>
              <w:t>2</w:t>
            </w:r>
          </w:p>
        </w:tc>
        <w:tc>
          <w:tcPr>
            <w:tcW w:w="844" w:type="dxa"/>
            <w:gridSpan w:val="3"/>
            <w:shd w:val="clear" w:color="auto" w:fill="FFF1CC"/>
          </w:tcPr>
          <w:p>
            <w:pPr>
              <w:pStyle w:val="TableParagraph"/>
              <w:spacing w:line="230" w:lineRule="atLeast"/>
              <w:ind w:left="112" w:right="413"/>
              <w:rPr>
                <w:sz w:val="20"/>
              </w:rPr>
            </w:pPr>
            <w:r>
              <w:rPr>
                <w:spacing w:val="-4"/>
                <w:sz w:val="20"/>
              </w:rPr>
              <w:t>FC: </w:t>
            </w:r>
            <w:r>
              <w:rPr>
                <w:spacing w:val="-6"/>
                <w:sz w:val="20"/>
              </w:rPr>
              <w:t>94</w:t>
            </w:r>
          </w:p>
        </w:tc>
        <w:tc>
          <w:tcPr>
            <w:tcW w:w="700" w:type="dxa"/>
            <w:gridSpan w:val="3"/>
            <w:shd w:val="clear" w:color="auto" w:fill="FAE3D4"/>
          </w:tcPr>
          <w:p>
            <w:pPr>
              <w:pStyle w:val="TableParagraph"/>
              <w:ind w:left="115"/>
              <w:rPr>
                <w:sz w:val="20"/>
              </w:rPr>
            </w:pPr>
            <w:r>
              <w:rPr>
                <w:spacing w:val="-2"/>
                <w:sz w:val="20"/>
              </w:rPr>
              <w:t>T3-</w:t>
            </w:r>
            <w:r>
              <w:rPr>
                <w:spacing w:val="-12"/>
                <w:sz w:val="20"/>
              </w:rPr>
              <w:t>2</w:t>
            </w:r>
          </w:p>
        </w:tc>
        <w:tc>
          <w:tcPr>
            <w:tcW w:w="962" w:type="dxa"/>
            <w:gridSpan w:val="3"/>
            <w:shd w:val="clear" w:color="auto" w:fill="FAE3D4"/>
          </w:tcPr>
          <w:p>
            <w:pPr>
              <w:pStyle w:val="TableParagraph"/>
              <w:spacing w:line="230" w:lineRule="atLeast"/>
              <w:ind w:left="122" w:right="521"/>
              <w:rPr>
                <w:sz w:val="20"/>
              </w:rPr>
            </w:pPr>
            <w:r>
              <w:rPr>
                <w:spacing w:val="-4"/>
                <w:sz w:val="20"/>
              </w:rPr>
              <w:t>FC: </w:t>
            </w:r>
            <w:r>
              <w:rPr>
                <w:spacing w:val="-6"/>
                <w:sz w:val="20"/>
              </w:rPr>
              <w:t>93</w:t>
            </w:r>
          </w:p>
        </w:tc>
        <w:tc>
          <w:tcPr>
            <w:tcW w:w="1955" w:type="dxa"/>
            <w:gridSpan w:val="5"/>
            <w:vMerge/>
            <w:tcBorders>
              <w:top w:val="nil"/>
            </w:tcBorders>
          </w:tcPr>
          <w:p>
            <w:pPr>
              <w:rPr>
                <w:sz w:val="2"/>
                <w:szCs w:val="2"/>
              </w:rPr>
            </w:pPr>
          </w:p>
        </w:tc>
      </w:tr>
      <w:tr>
        <w:trPr>
          <w:trHeight w:val="460" w:hRule="atLeast"/>
        </w:trPr>
        <w:tc>
          <w:tcPr>
            <w:tcW w:w="1276" w:type="dxa"/>
            <w:gridSpan w:val="2"/>
            <w:shd w:val="clear" w:color="auto" w:fill="DEEAF6"/>
          </w:tcPr>
          <w:p>
            <w:pPr>
              <w:pStyle w:val="TableParagraph"/>
              <w:ind w:left="107"/>
              <w:rPr>
                <w:sz w:val="20"/>
              </w:rPr>
            </w:pPr>
            <w:r>
              <w:rPr>
                <w:spacing w:val="-2"/>
                <w:sz w:val="20"/>
              </w:rPr>
              <w:t>T0-</w:t>
            </w:r>
            <w:r>
              <w:rPr>
                <w:spacing w:val="-12"/>
                <w:sz w:val="20"/>
              </w:rPr>
              <w:t>3</w:t>
            </w:r>
          </w:p>
        </w:tc>
        <w:tc>
          <w:tcPr>
            <w:tcW w:w="1488" w:type="dxa"/>
            <w:gridSpan w:val="3"/>
            <w:shd w:val="clear" w:color="auto" w:fill="DEEAF6"/>
          </w:tcPr>
          <w:p>
            <w:pPr>
              <w:pStyle w:val="TableParagraph"/>
              <w:spacing w:line="232" w:lineRule="exact"/>
              <w:ind w:left="110" w:right="1059"/>
              <w:rPr>
                <w:sz w:val="20"/>
              </w:rPr>
            </w:pPr>
            <w:r>
              <w:rPr>
                <w:spacing w:val="-4"/>
                <w:sz w:val="20"/>
              </w:rPr>
              <w:t>FC: </w:t>
            </w:r>
            <w:r>
              <w:rPr>
                <w:spacing w:val="-6"/>
                <w:sz w:val="20"/>
              </w:rPr>
              <w:t>95</w:t>
            </w:r>
          </w:p>
        </w:tc>
        <w:tc>
          <w:tcPr>
            <w:tcW w:w="745" w:type="dxa"/>
            <w:gridSpan w:val="3"/>
            <w:shd w:val="clear" w:color="auto" w:fill="E1EED9"/>
          </w:tcPr>
          <w:p>
            <w:pPr>
              <w:pStyle w:val="TableParagraph"/>
              <w:ind w:left="109"/>
              <w:rPr>
                <w:sz w:val="20"/>
              </w:rPr>
            </w:pPr>
            <w:r>
              <w:rPr>
                <w:spacing w:val="-2"/>
                <w:sz w:val="20"/>
              </w:rPr>
              <w:t>T1-</w:t>
            </w:r>
            <w:r>
              <w:rPr>
                <w:spacing w:val="-12"/>
                <w:sz w:val="20"/>
              </w:rPr>
              <w:t>3</w:t>
            </w:r>
          </w:p>
        </w:tc>
        <w:tc>
          <w:tcPr>
            <w:tcW w:w="907" w:type="dxa"/>
            <w:gridSpan w:val="3"/>
            <w:shd w:val="clear" w:color="auto" w:fill="E1EED9"/>
          </w:tcPr>
          <w:p>
            <w:pPr>
              <w:pStyle w:val="TableParagraph"/>
              <w:spacing w:line="232" w:lineRule="exact"/>
              <w:ind w:left="110" w:right="478"/>
              <w:rPr>
                <w:sz w:val="20"/>
              </w:rPr>
            </w:pPr>
            <w:r>
              <w:rPr>
                <w:spacing w:val="-4"/>
                <w:sz w:val="20"/>
              </w:rPr>
              <w:t>FC: </w:t>
            </w:r>
            <w:r>
              <w:rPr>
                <w:spacing w:val="-6"/>
                <w:sz w:val="20"/>
              </w:rPr>
              <w:t>95</w:t>
            </w:r>
          </w:p>
        </w:tc>
        <w:tc>
          <w:tcPr>
            <w:tcW w:w="704" w:type="dxa"/>
            <w:gridSpan w:val="3"/>
            <w:shd w:val="clear" w:color="auto" w:fill="FFF1CC"/>
          </w:tcPr>
          <w:p>
            <w:pPr>
              <w:pStyle w:val="TableParagraph"/>
              <w:ind w:left="111"/>
              <w:rPr>
                <w:sz w:val="20"/>
              </w:rPr>
            </w:pPr>
            <w:r>
              <w:rPr>
                <w:spacing w:val="-2"/>
                <w:sz w:val="20"/>
              </w:rPr>
              <w:t>T2-</w:t>
            </w:r>
            <w:r>
              <w:rPr>
                <w:spacing w:val="-12"/>
                <w:sz w:val="20"/>
              </w:rPr>
              <w:t>3</w:t>
            </w:r>
          </w:p>
        </w:tc>
        <w:tc>
          <w:tcPr>
            <w:tcW w:w="844" w:type="dxa"/>
            <w:gridSpan w:val="3"/>
            <w:shd w:val="clear" w:color="auto" w:fill="FFF1CC"/>
          </w:tcPr>
          <w:p>
            <w:pPr>
              <w:pStyle w:val="TableParagraph"/>
              <w:spacing w:line="232" w:lineRule="exact"/>
              <w:ind w:left="112" w:right="413"/>
              <w:rPr>
                <w:sz w:val="20"/>
              </w:rPr>
            </w:pPr>
            <w:r>
              <w:rPr>
                <w:spacing w:val="-4"/>
                <w:sz w:val="20"/>
              </w:rPr>
              <w:t>FC: </w:t>
            </w:r>
            <w:r>
              <w:rPr>
                <w:spacing w:val="-6"/>
                <w:sz w:val="20"/>
              </w:rPr>
              <w:t>92</w:t>
            </w:r>
          </w:p>
        </w:tc>
        <w:tc>
          <w:tcPr>
            <w:tcW w:w="700" w:type="dxa"/>
            <w:gridSpan w:val="3"/>
            <w:shd w:val="clear" w:color="auto" w:fill="FAE3D4"/>
          </w:tcPr>
          <w:p>
            <w:pPr>
              <w:pStyle w:val="TableParagraph"/>
              <w:ind w:left="115"/>
              <w:rPr>
                <w:sz w:val="20"/>
              </w:rPr>
            </w:pPr>
            <w:r>
              <w:rPr>
                <w:spacing w:val="-2"/>
                <w:sz w:val="20"/>
              </w:rPr>
              <w:t>T3-</w:t>
            </w:r>
            <w:r>
              <w:rPr>
                <w:spacing w:val="-12"/>
                <w:sz w:val="20"/>
              </w:rPr>
              <w:t>3</w:t>
            </w:r>
          </w:p>
        </w:tc>
        <w:tc>
          <w:tcPr>
            <w:tcW w:w="962" w:type="dxa"/>
            <w:gridSpan w:val="3"/>
            <w:shd w:val="clear" w:color="auto" w:fill="FAE3D4"/>
          </w:tcPr>
          <w:p>
            <w:pPr>
              <w:pStyle w:val="TableParagraph"/>
              <w:spacing w:line="232" w:lineRule="exact"/>
              <w:ind w:left="122" w:right="521"/>
              <w:rPr>
                <w:sz w:val="20"/>
              </w:rPr>
            </w:pPr>
            <w:r>
              <w:rPr>
                <w:spacing w:val="-4"/>
                <w:sz w:val="20"/>
              </w:rPr>
              <w:t>FC: </w:t>
            </w:r>
            <w:r>
              <w:rPr>
                <w:spacing w:val="-6"/>
                <w:sz w:val="20"/>
              </w:rPr>
              <w:t>91</w:t>
            </w:r>
          </w:p>
        </w:tc>
        <w:tc>
          <w:tcPr>
            <w:tcW w:w="1955" w:type="dxa"/>
            <w:gridSpan w:val="5"/>
            <w:vMerge/>
            <w:tcBorders>
              <w:top w:val="nil"/>
            </w:tcBorders>
          </w:tcPr>
          <w:p>
            <w:pPr>
              <w:rPr>
                <w:sz w:val="2"/>
                <w:szCs w:val="2"/>
              </w:rPr>
            </w:pPr>
          </w:p>
        </w:tc>
      </w:tr>
      <w:tr>
        <w:trPr>
          <w:trHeight w:val="455" w:hRule="atLeast"/>
        </w:trPr>
        <w:tc>
          <w:tcPr>
            <w:tcW w:w="1276" w:type="dxa"/>
            <w:gridSpan w:val="2"/>
            <w:shd w:val="clear" w:color="auto" w:fill="DEEAF6"/>
          </w:tcPr>
          <w:p>
            <w:pPr>
              <w:pStyle w:val="TableParagraph"/>
              <w:spacing w:line="227" w:lineRule="exact"/>
              <w:ind w:left="107"/>
              <w:rPr>
                <w:sz w:val="20"/>
              </w:rPr>
            </w:pPr>
            <w:r>
              <w:rPr>
                <w:spacing w:val="-2"/>
                <w:sz w:val="20"/>
              </w:rPr>
              <w:t>T0-</w:t>
            </w:r>
            <w:r>
              <w:rPr>
                <w:spacing w:val="-12"/>
                <w:sz w:val="20"/>
              </w:rPr>
              <w:t>4</w:t>
            </w:r>
          </w:p>
        </w:tc>
        <w:tc>
          <w:tcPr>
            <w:tcW w:w="1488" w:type="dxa"/>
            <w:gridSpan w:val="3"/>
            <w:shd w:val="clear" w:color="auto" w:fill="DEEAF6"/>
          </w:tcPr>
          <w:p>
            <w:pPr>
              <w:pStyle w:val="TableParagraph"/>
              <w:spacing w:line="228" w:lineRule="exact"/>
              <w:ind w:left="110" w:right="1059"/>
              <w:rPr>
                <w:sz w:val="20"/>
              </w:rPr>
            </w:pPr>
            <w:r>
              <w:rPr>
                <w:spacing w:val="-4"/>
                <w:sz w:val="20"/>
              </w:rPr>
              <w:t>FC: </w:t>
            </w:r>
            <w:r>
              <w:rPr>
                <w:spacing w:val="-6"/>
                <w:sz w:val="20"/>
              </w:rPr>
              <w:t>97</w:t>
            </w:r>
          </w:p>
        </w:tc>
        <w:tc>
          <w:tcPr>
            <w:tcW w:w="745" w:type="dxa"/>
            <w:gridSpan w:val="3"/>
            <w:shd w:val="clear" w:color="auto" w:fill="E1EED9"/>
          </w:tcPr>
          <w:p>
            <w:pPr>
              <w:pStyle w:val="TableParagraph"/>
              <w:spacing w:line="227" w:lineRule="exact"/>
              <w:ind w:left="109"/>
              <w:rPr>
                <w:sz w:val="20"/>
              </w:rPr>
            </w:pPr>
            <w:r>
              <w:rPr>
                <w:spacing w:val="-2"/>
                <w:sz w:val="20"/>
              </w:rPr>
              <w:t>T1-</w:t>
            </w:r>
            <w:r>
              <w:rPr>
                <w:spacing w:val="-12"/>
                <w:sz w:val="20"/>
              </w:rPr>
              <w:t>4</w:t>
            </w:r>
          </w:p>
        </w:tc>
        <w:tc>
          <w:tcPr>
            <w:tcW w:w="907" w:type="dxa"/>
            <w:gridSpan w:val="3"/>
            <w:shd w:val="clear" w:color="auto" w:fill="E1EED9"/>
          </w:tcPr>
          <w:p>
            <w:pPr>
              <w:pStyle w:val="TableParagraph"/>
              <w:spacing w:line="228" w:lineRule="exact"/>
              <w:ind w:left="110" w:right="478"/>
              <w:rPr>
                <w:sz w:val="20"/>
              </w:rPr>
            </w:pPr>
            <w:r>
              <w:rPr>
                <w:spacing w:val="-4"/>
                <w:sz w:val="20"/>
              </w:rPr>
              <w:t>FC: </w:t>
            </w:r>
            <w:r>
              <w:rPr>
                <w:spacing w:val="-6"/>
                <w:sz w:val="20"/>
              </w:rPr>
              <w:t>97</w:t>
            </w:r>
          </w:p>
        </w:tc>
        <w:tc>
          <w:tcPr>
            <w:tcW w:w="704" w:type="dxa"/>
            <w:gridSpan w:val="3"/>
            <w:shd w:val="clear" w:color="auto" w:fill="FFF1CC"/>
          </w:tcPr>
          <w:p>
            <w:pPr>
              <w:pStyle w:val="TableParagraph"/>
              <w:spacing w:line="227" w:lineRule="exact"/>
              <w:ind w:left="111"/>
              <w:rPr>
                <w:sz w:val="20"/>
              </w:rPr>
            </w:pPr>
            <w:r>
              <w:rPr>
                <w:spacing w:val="-2"/>
                <w:sz w:val="20"/>
              </w:rPr>
              <w:t>T2-</w:t>
            </w:r>
            <w:r>
              <w:rPr>
                <w:spacing w:val="-12"/>
                <w:sz w:val="20"/>
              </w:rPr>
              <w:t>4</w:t>
            </w:r>
          </w:p>
        </w:tc>
        <w:tc>
          <w:tcPr>
            <w:tcW w:w="844" w:type="dxa"/>
            <w:gridSpan w:val="3"/>
            <w:shd w:val="clear" w:color="auto" w:fill="FFF1CC"/>
          </w:tcPr>
          <w:p>
            <w:pPr>
              <w:pStyle w:val="TableParagraph"/>
              <w:spacing w:line="228" w:lineRule="exact"/>
              <w:ind w:left="112" w:right="413"/>
              <w:rPr>
                <w:sz w:val="20"/>
              </w:rPr>
            </w:pPr>
            <w:r>
              <w:rPr>
                <w:spacing w:val="-4"/>
                <w:sz w:val="20"/>
              </w:rPr>
              <w:t>FC: </w:t>
            </w:r>
            <w:r>
              <w:rPr>
                <w:spacing w:val="-6"/>
                <w:sz w:val="20"/>
              </w:rPr>
              <w:t>95</w:t>
            </w:r>
          </w:p>
        </w:tc>
        <w:tc>
          <w:tcPr>
            <w:tcW w:w="700" w:type="dxa"/>
            <w:gridSpan w:val="3"/>
            <w:shd w:val="clear" w:color="auto" w:fill="FAE3D4"/>
          </w:tcPr>
          <w:p>
            <w:pPr>
              <w:pStyle w:val="TableParagraph"/>
              <w:spacing w:line="227" w:lineRule="exact"/>
              <w:ind w:left="115"/>
              <w:rPr>
                <w:sz w:val="20"/>
              </w:rPr>
            </w:pPr>
            <w:r>
              <w:rPr>
                <w:spacing w:val="-2"/>
                <w:sz w:val="20"/>
              </w:rPr>
              <w:t>T3-</w:t>
            </w:r>
            <w:r>
              <w:rPr>
                <w:spacing w:val="-12"/>
                <w:sz w:val="20"/>
              </w:rPr>
              <w:t>4</w:t>
            </w:r>
          </w:p>
        </w:tc>
        <w:tc>
          <w:tcPr>
            <w:tcW w:w="962" w:type="dxa"/>
            <w:gridSpan w:val="3"/>
            <w:shd w:val="clear" w:color="auto" w:fill="FAE3D4"/>
          </w:tcPr>
          <w:p>
            <w:pPr>
              <w:pStyle w:val="TableParagraph"/>
              <w:spacing w:line="228" w:lineRule="exact"/>
              <w:ind w:left="122" w:right="521"/>
              <w:rPr>
                <w:sz w:val="20"/>
              </w:rPr>
            </w:pPr>
            <w:r>
              <w:rPr>
                <w:spacing w:val="-4"/>
                <w:sz w:val="20"/>
              </w:rPr>
              <w:t>FC: </w:t>
            </w:r>
            <w:r>
              <w:rPr>
                <w:spacing w:val="-6"/>
                <w:sz w:val="20"/>
              </w:rPr>
              <w:t>90</w:t>
            </w:r>
          </w:p>
        </w:tc>
        <w:tc>
          <w:tcPr>
            <w:tcW w:w="1955" w:type="dxa"/>
            <w:gridSpan w:val="5"/>
            <w:vMerge/>
            <w:tcBorders>
              <w:top w:val="nil"/>
            </w:tcBorders>
          </w:tcPr>
          <w:p>
            <w:pPr>
              <w:rPr>
                <w:sz w:val="2"/>
                <w:szCs w:val="2"/>
              </w:rPr>
            </w:pPr>
          </w:p>
        </w:tc>
      </w:tr>
      <w:tr>
        <w:trPr>
          <w:trHeight w:val="459" w:hRule="atLeast"/>
        </w:trPr>
        <w:tc>
          <w:tcPr>
            <w:tcW w:w="1276" w:type="dxa"/>
            <w:gridSpan w:val="2"/>
            <w:shd w:val="clear" w:color="auto" w:fill="DEEAF6"/>
          </w:tcPr>
          <w:p>
            <w:pPr>
              <w:pStyle w:val="TableParagraph"/>
              <w:spacing w:line="229" w:lineRule="exact"/>
              <w:ind w:left="107"/>
              <w:rPr>
                <w:sz w:val="20"/>
              </w:rPr>
            </w:pPr>
            <w:r>
              <w:rPr>
                <w:spacing w:val="-2"/>
                <w:sz w:val="20"/>
              </w:rPr>
              <w:t>T0-</w:t>
            </w:r>
            <w:r>
              <w:rPr>
                <w:spacing w:val="-12"/>
                <w:sz w:val="20"/>
              </w:rPr>
              <w:t>1</w:t>
            </w:r>
          </w:p>
        </w:tc>
        <w:tc>
          <w:tcPr>
            <w:tcW w:w="1488" w:type="dxa"/>
            <w:gridSpan w:val="3"/>
            <w:shd w:val="clear" w:color="auto" w:fill="DEEAF6"/>
          </w:tcPr>
          <w:p>
            <w:pPr>
              <w:pStyle w:val="TableParagraph"/>
              <w:spacing w:line="230" w:lineRule="exact"/>
              <w:ind w:left="110" w:right="1059"/>
              <w:rPr>
                <w:sz w:val="20"/>
              </w:rPr>
            </w:pPr>
            <w:r>
              <w:rPr>
                <w:spacing w:val="-4"/>
                <w:sz w:val="20"/>
              </w:rPr>
              <w:t>FR: </w:t>
            </w:r>
            <w:r>
              <w:rPr>
                <w:spacing w:val="-6"/>
                <w:sz w:val="20"/>
              </w:rPr>
              <w:t>28</w:t>
            </w:r>
          </w:p>
        </w:tc>
        <w:tc>
          <w:tcPr>
            <w:tcW w:w="745" w:type="dxa"/>
            <w:gridSpan w:val="3"/>
            <w:shd w:val="clear" w:color="auto" w:fill="E1EED9"/>
          </w:tcPr>
          <w:p>
            <w:pPr>
              <w:pStyle w:val="TableParagraph"/>
              <w:spacing w:line="229" w:lineRule="exact"/>
              <w:ind w:left="109"/>
              <w:rPr>
                <w:sz w:val="20"/>
              </w:rPr>
            </w:pPr>
            <w:r>
              <w:rPr>
                <w:spacing w:val="-2"/>
                <w:sz w:val="20"/>
              </w:rPr>
              <w:t>T1-</w:t>
            </w:r>
            <w:r>
              <w:rPr>
                <w:spacing w:val="-12"/>
                <w:sz w:val="20"/>
              </w:rPr>
              <w:t>1</w:t>
            </w:r>
          </w:p>
        </w:tc>
        <w:tc>
          <w:tcPr>
            <w:tcW w:w="907" w:type="dxa"/>
            <w:gridSpan w:val="3"/>
            <w:shd w:val="clear" w:color="auto" w:fill="E1EED9"/>
          </w:tcPr>
          <w:p>
            <w:pPr>
              <w:pStyle w:val="TableParagraph"/>
              <w:spacing w:line="230" w:lineRule="exact"/>
              <w:ind w:left="110" w:right="478"/>
              <w:rPr>
                <w:sz w:val="20"/>
              </w:rPr>
            </w:pPr>
            <w:r>
              <w:rPr>
                <w:spacing w:val="-4"/>
                <w:sz w:val="20"/>
              </w:rPr>
              <w:t>FR: </w:t>
            </w:r>
            <w:r>
              <w:rPr>
                <w:spacing w:val="-6"/>
                <w:sz w:val="20"/>
              </w:rPr>
              <w:t>27</w:t>
            </w:r>
          </w:p>
        </w:tc>
        <w:tc>
          <w:tcPr>
            <w:tcW w:w="704" w:type="dxa"/>
            <w:gridSpan w:val="3"/>
            <w:shd w:val="clear" w:color="auto" w:fill="FFF1CC"/>
          </w:tcPr>
          <w:p>
            <w:pPr>
              <w:pStyle w:val="TableParagraph"/>
              <w:spacing w:line="229" w:lineRule="exact"/>
              <w:ind w:left="111"/>
              <w:rPr>
                <w:sz w:val="20"/>
              </w:rPr>
            </w:pPr>
            <w:r>
              <w:rPr>
                <w:spacing w:val="-2"/>
                <w:sz w:val="20"/>
              </w:rPr>
              <w:t>T2-</w:t>
            </w:r>
            <w:r>
              <w:rPr>
                <w:spacing w:val="-12"/>
                <w:sz w:val="20"/>
              </w:rPr>
              <w:t>1</w:t>
            </w:r>
          </w:p>
        </w:tc>
        <w:tc>
          <w:tcPr>
            <w:tcW w:w="844" w:type="dxa"/>
            <w:gridSpan w:val="3"/>
            <w:shd w:val="clear" w:color="auto" w:fill="FFF1CC"/>
          </w:tcPr>
          <w:p>
            <w:pPr>
              <w:pStyle w:val="TableParagraph"/>
              <w:spacing w:line="230" w:lineRule="exact"/>
              <w:ind w:left="112" w:right="413"/>
              <w:rPr>
                <w:sz w:val="20"/>
              </w:rPr>
            </w:pPr>
            <w:r>
              <w:rPr>
                <w:spacing w:val="-4"/>
                <w:sz w:val="20"/>
              </w:rPr>
              <w:t>FR: </w:t>
            </w:r>
            <w:r>
              <w:rPr>
                <w:spacing w:val="-6"/>
                <w:sz w:val="20"/>
              </w:rPr>
              <w:t>26</w:t>
            </w:r>
          </w:p>
        </w:tc>
        <w:tc>
          <w:tcPr>
            <w:tcW w:w="700" w:type="dxa"/>
            <w:gridSpan w:val="3"/>
            <w:shd w:val="clear" w:color="auto" w:fill="FAE3D4"/>
          </w:tcPr>
          <w:p>
            <w:pPr>
              <w:pStyle w:val="TableParagraph"/>
              <w:spacing w:line="229" w:lineRule="exact"/>
              <w:ind w:left="115"/>
              <w:rPr>
                <w:sz w:val="20"/>
              </w:rPr>
            </w:pPr>
            <w:r>
              <w:rPr>
                <w:spacing w:val="-2"/>
                <w:sz w:val="20"/>
              </w:rPr>
              <w:t>T3-</w:t>
            </w:r>
            <w:r>
              <w:rPr>
                <w:spacing w:val="-12"/>
                <w:sz w:val="20"/>
              </w:rPr>
              <w:t>1</w:t>
            </w:r>
          </w:p>
        </w:tc>
        <w:tc>
          <w:tcPr>
            <w:tcW w:w="962" w:type="dxa"/>
            <w:gridSpan w:val="3"/>
            <w:shd w:val="clear" w:color="auto" w:fill="FAE3D4"/>
          </w:tcPr>
          <w:p>
            <w:pPr>
              <w:pStyle w:val="TableParagraph"/>
              <w:spacing w:line="230" w:lineRule="exact"/>
              <w:ind w:left="122" w:right="521"/>
              <w:rPr>
                <w:sz w:val="20"/>
              </w:rPr>
            </w:pPr>
            <w:r>
              <w:rPr>
                <w:spacing w:val="-4"/>
                <w:sz w:val="20"/>
              </w:rPr>
              <w:t>FR: </w:t>
            </w:r>
            <w:r>
              <w:rPr>
                <w:spacing w:val="-6"/>
                <w:sz w:val="20"/>
              </w:rPr>
              <w:t>25</w:t>
            </w:r>
          </w:p>
        </w:tc>
        <w:tc>
          <w:tcPr>
            <w:tcW w:w="1955" w:type="dxa"/>
            <w:gridSpan w:val="5"/>
            <w:vMerge/>
            <w:tcBorders>
              <w:top w:val="nil"/>
            </w:tcBorders>
          </w:tcPr>
          <w:p>
            <w:pPr>
              <w:rPr>
                <w:sz w:val="2"/>
                <w:szCs w:val="2"/>
              </w:rPr>
            </w:pPr>
          </w:p>
        </w:tc>
      </w:tr>
      <w:tr>
        <w:trPr>
          <w:trHeight w:val="459" w:hRule="atLeast"/>
        </w:trPr>
        <w:tc>
          <w:tcPr>
            <w:tcW w:w="1276" w:type="dxa"/>
            <w:gridSpan w:val="2"/>
            <w:shd w:val="clear" w:color="auto" w:fill="DEEAF6"/>
          </w:tcPr>
          <w:p>
            <w:pPr>
              <w:pStyle w:val="TableParagraph"/>
              <w:spacing w:line="230" w:lineRule="exact"/>
              <w:ind w:left="107"/>
              <w:rPr>
                <w:sz w:val="20"/>
              </w:rPr>
            </w:pPr>
            <w:r>
              <w:rPr>
                <w:spacing w:val="-2"/>
                <w:sz w:val="20"/>
              </w:rPr>
              <w:t>T0-</w:t>
            </w:r>
            <w:r>
              <w:rPr>
                <w:spacing w:val="-12"/>
                <w:sz w:val="20"/>
              </w:rPr>
              <w:t>2</w:t>
            </w:r>
          </w:p>
        </w:tc>
        <w:tc>
          <w:tcPr>
            <w:tcW w:w="1488" w:type="dxa"/>
            <w:gridSpan w:val="3"/>
            <w:shd w:val="clear" w:color="auto" w:fill="DEEAF6"/>
          </w:tcPr>
          <w:p>
            <w:pPr>
              <w:pStyle w:val="TableParagraph"/>
              <w:spacing w:line="230" w:lineRule="exact"/>
              <w:ind w:left="110" w:right="1059"/>
              <w:rPr>
                <w:sz w:val="20"/>
              </w:rPr>
            </w:pPr>
            <w:r>
              <w:rPr>
                <w:spacing w:val="-4"/>
                <w:sz w:val="20"/>
              </w:rPr>
              <w:t>FR: </w:t>
            </w:r>
            <w:r>
              <w:rPr>
                <w:spacing w:val="-6"/>
                <w:sz w:val="20"/>
              </w:rPr>
              <w:t>30</w:t>
            </w:r>
          </w:p>
        </w:tc>
        <w:tc>
          <w:tcPr>
            <w:tcW w:w="745" w:type="dxa"/>
            <w:gridSpan w:val="3"/>
            <w:shd w:val="clear" w:color="auto" w:fill="E1EED9"/>
          </w:tcPr>
          <w:p>
            <w:pPr>
              <w:pStyle w:val="TableParagraph"/>
              <w:spacing w:line="230" w:lineRule="exact"/>
              <w:ind w:left="109"/>
              <w:rPr>
                <w:sz w:val="20"/>
              </w:rPr>
            </w:pPr>
            <w:r>
              <w:rPr>
                <w:spacing w:val="-2"/>
                <w:sz w:val="20"/>
              </w:rPr>
              <w:t>T1-</w:t>
            </w:r>
            <w:r>
              <w:rPr>
                <w:spacing w:val="-12"/>
                <w:sz w:val="20"/>
              </w:rPr>
              <w:t>2</w:t>
            </w:r>
          </w:p>
        </w:tc>
        <w:tc>
          <w:tcPr>
            <w:tcW w:w="907" w:type="dxa"/>
            <w:gridSpan w:val="3"/>
            <w:shd w:val="clear" w:color="auto" w:fill="E1EED9"/>
          </w:tcPr>
          <w:p>
            <w:pPr>
              <w:pStyle w:val="TableParagraph"/>
              <w:spacing w:line="230" w:lineRule="exact"/>
              <w:ind w:left="110" w:right="478"/>
              <w:rPr>
                <w:sz w:val="20"/>
              </w:rPr>
            </w:pPr>
            <w:r>
              <w:rPr>
                <w:spacing w:val="-4"/>
                <w:sz w:val="20"/>
              </w:rPr>
              <w:t>FR: </w:t>
            </w:r>
            <w:r>
              <w:rPr>
                <w:spacing w:val="-6"/>
                <w:sz w:val="20"/>
              </w:rPr>
              <w:t>28</w:t>
            </w:r>
          </w:p>
        </w:tc>
        <w:tc>
          <w:tcPr>
            <w:tcW w:w="704" w:type="dxa"/>
            <w:gridSpan w:val="3"/>
            <w:shd w:val="clear" w:color="auto" w:fill="FFF1CC"/>
          </w:tcPr>
          <w:p>
            <w:pPr>
              <w:pStyle w:val="TableParagraph"/>
              <w:spacing w:line="230" w:lineRule="exact"/>
              <w:ind w:left="111"/>
              <w:rPr>
                <w:sz w:val="20"/>
              </w:rPr>
            </w:pPr>
            <w:r>
              <w:rPr>
                <w:spacing w:val="-2"/>
                <w:sz w:val="20"/>
              </w:rPr>
              <w:t>T2-</w:t>
            </w:r>
            <w:r>
              <w:rPr>
                <w:spacing w:val="-12"/>
                <w:sz w:val="20"/>
              </w:rPr>
              <w:t>2</w:t>
            </w:r>
          </w:p>
        </w:tc>
        <w:tc>
          <w:tcPr>
            <w:tcW w:w="844" w:type="dxa"/>
            <w:gridSpan w:val="3"/>
            <w:shd w:val="clear" w:color="auto" w:fill="FFF1CC"/>
          </w:tcPr>
          <w:p>
            <w:pPr>
              <w:pStyle w:val="TableParagraph"/>
              <w:spacing w:line="230" w:lineRule="exact"/>
              <w:ind w:left="112" w:right="413"/>
              <w:rPr>
                <w:sz w:val="20"/>
              </w:rPr>
            </w:pPr>
            <w:r>
              <w:rPr>
                <w:spacing w:val="-4"/>
                <w:sz w:val="20"/>
              </w:rPr>
              <w:t>FR: </w:t>
            </w:r>
            <w:r>
              <w:rPr>
                <w:spacing w:val="-6"/>
                <w:sz w:val="20"/>
              </w:rPr>
              <w:t>27</w:t>
            </w:r>
          </w:p>
        </w:tc>
        <w:tc>
          <w:tcPr>
            <w:tcW w:w="700" w:type="dxa"/>
            <w:gridSpan w:val="3"/>
            <w:shd w:val="clear" w:color="auto" w:fill="FAE3D4"/>
          </w:tcPr>
          <w:p>
            <w:pPr>
              <w:pStyle w:val="TableParagraph"/>
              <w:spacing w:line="230" w:lineRule="exact"/>
              <w:ind w:left="115"/>
              <w:rPr>
                <w:sz w:val="20"/>
              </w:rPr>
            </w:pPr>
            <w:r>
              <w:rPr>
                <w:spacing w:val="-2"/>
                <w:sz w:val="20"/>
              </w:rPr>
              <w:t>T3-</w:t>
            </w:r>
            <w:r>
              <w:rPr>
                <w:spacing w:val="-12"/>
                <w:sz w:val="20"/>
              </w:rPr>
              <w:t>2</w:t>
            </w:r>
          </w:p>
        </w:tc>
        <w:tc>
          <w:tcPr>
            <w:tcW w:w="962" w:type="dxa"/>
            <w:gridSpan w:val="3"/>
            <w:shd w:val="clear" w:color="auto" w:fill="FAE3D4"/>
          </w:tcPr>
          <w:p>
            <w:pPr>
              <w:pStyle w:val="TableParagraph"/>
              <w:spacing w:line="230" w:lineRule="exact"/>
              <w:ind w:left="122" w:right="521"/>
              <w:rPr>
                <w:sz w:val="20"/>
              </w:rPr>
            </w:pPr>
            <w:r>
              <w:rPr>
                <w:spacing w:val="-4"/>
                <w:sz w:val="20"/>
              </w:rPr>
              <w:t>FR: </w:t>
            </w:r>
            <w:r>
              <w:rPr>
                <w:spacing w:val="-6"/>
                <w:sz w:val="20"/>
              </w:rPr>
              <w:t>26</w:t>
            </w:r>
          </w:p>
        </w:tc>
        <w:tc>
          <w:tcPr>
            <w:tcW w:w="1955" w:type="dxa"/>
            <w:gridSpan w:val="5"/>
            <w:vMerge/>
            <w:tcBorders>
              <w:top w:val="nil"/>
            </w:tcBorders>
          </w:tcPr>
          <w:p>
            <w:pPr>
              <w:rPr>
                <w:sz w:val="2"/>
                <w:szCs w:val="2"/>
              </w:rPr>
            </w:pPr>
          </w:p>
        </w:tc>
      </w:tr>
      <w:tr>
        <w:trPr>
          <w:trHeight w:val="460" w:hRule="atLeast"/>
        </w:trPr>
        <w:tc>
          <w:tcPr>
            <w:tcW w:w="1276" w:type="dxa"/>
            <w:gridSpan w:val="2"/>
            <w:shd w:val="clear" w:color="auto" w:fill="DEEAF6"/>
          </w:tcPr>
          <w:p>
            <w:pPr>
              <w:pStyle w:val="TableParagraph"/>
              <w:ind w:left="107"/>
              <w:rPr>
                <w:sz w:val="20"/>
              </w:rPr>
            </w:pPr>
            <w:r>
              <w:rPr>
                <w:spacing w:val="-2"/>
                <w:sz w:val="20"/>
              </w:rPr>
              <w:t>T0-</w:t>
            </w:r>
            <w:r>
              <w:rPr>
                <w:spacing w:val="-12"/>
                <w:sz w:val="20"/>
              </w:rPr>
              <w:t>3</w:t>
            </w:r>
          </w:p>
        </w:tc>
        <w:tc>
          <w:tcPr>
            <w:tcW w:w="1488" w:type="dxa"/>
            <w:gridSpan w:val="3"/>
            <w:shd w:val="clear" w:color="auto" w:fill="DEEAF6"/>
          </w:tcPr>
          <w:p>
            <w:pPr>
              <w:pStyle w:val="TableParagraph"/>
              <w:spacing w:line="230" w:lineRule="exact"/>
              <w:ind w:left="110" w:right="1059"/>
              <w:rPr>
                <w:sz w:val="20"/>
              </w:rPr>
            </w:pPr>
            <w:r>
              <w:rPr>
                <w:spacing w:val="-4"/>
                <w:sz w:val="20"/>
              </w:rPr>
              <w:t>FR: </w:t>
            </w:r>
            <w:r>
              <w:rPr>
                <w:spacing w:val="-6"/>
                <w:sz w:val="20"/>
              </w:rPr>
              <w:t>29</w:t>
            </w:r>
          </w:p>
        </w:tc>
        <w:tc>
          <w:tcPr>
            <w:tcW w:w="745" w:type="dxa"/>
            <w:gridSpan w:val="3"/>
            <w:shd w:val="clear" w:color="auto" w:fill="E1EED9"/>
          </w:tcPr>
          <w:p>
            <w:pPr>
              <w:pStyle w:val="TableParagraph"/>
              <w:ind w:left="109"/>
              <w:rPr>
                <w:sz w:val="20"/>
              </w:rPr>
            </w:pPr>
            <w:r>
              <w:rPr>
                <w:spacing w:val="-2"/>
                <w:sz w:val="20"/>
              </w:rPr>
              <w:t>T1-</w:t>
            </w:r>
            <w:r>
              <w:rPr>
                <w:spacing w:val="-12"/>
                <w:sz w:val="20"/>
              </w:rPr>
              <w:t>3</w:t>
            </w:r>
          </w:p>
        </w:tc>
        <w:tc>
          <w:tcPr>
            <w:tcW w:w="907" w:type="dxa"/>
            <w:gridSpan w:val="3"/>
            <w:shd w:val="clear" w:color="auto" w:fill="E1EED9"/>
          </w:tcPr>
          <w:p>
            <w:pPr>
              <w:pStyle w:val="TableParagraph"/>
              <w:spacing w:line="230" w:lineRule="exact"/>
              <w:ind w:left="110" w:right="478"/>
              <w:rPr>
                <w:sz w:val="20"/>
              </w:rPr>
            </w:pPr>
            <w:r>
              <w:rPr>
                <w:spacing w:val="-4"/>
                <w:sz w:val="20"/>
              </w:rPr>
              <w:t>FR: </w:t>
            </w:r>
            <w:r>
              <w:rPr>
                <w:spacing w:val="-6"/>
                <w:sz w:val="20"/>
              </w:rPr>
              <w:t>27</w:t>
            </w:r>
          </w:p>
        </w:tc>
        <w:tc>
          <w:tcPr>
            <w:tcW w:w="704" w:type="dxa"/>
            <w:gridSpan w:val="3"/>
            <w:shd w:val="clear" w:color="auto" w:fill="FFF1CC"/>
          </w:tcPr>
          <w:p>
            <w:pPr>
              <w:pStyle w:val="TableParagraph"/>
              <w:ind w:left="111"/>
              <w:rPr>
                <w:sz w:val="20"/>
              </w:rPr>
            </w:pPr>
            <w:r>
              <w:rPr>
                <w:spacing w:val="-2"/>
                <w:sz w:val="20"/>
              </w:rPr>
              <w:t>T2-</w:t>
            </w:r>
            <w:r>
              <w:rPr>
                <w:spacing w:val="-12"/>
                <w:sz w:val="20"/>
              </w:rPr>
              <w:t>3</w:t>
            </w:r>
          </w:p>
        </w:tc>
        <w:tc>
          <w:tcPr>
            <w:tcW w:w="844" w:type="dxa"/>
            <w:gridSpan w:val="3"/>
            <w:shd w:val="clear" w:color="auto" w:fill="FFF1CC"/>
          </w:tcPr>
          <w:p>
            <w:pPr>
              <w:pStyle w:val="TableParagraph"/>
              <w:spacing w:line="230" w:lineRule="exact"/>
              <w:ind w:left="112" w:right="413"/>
              <w:rPr>
                <w:sz w:val="20"/>
              </w:rPr>
            </w:pPr>
            <w:r>
              <w:rPr>
                <w:spacing w:val="-4"/>
                <w:sz w:val="20"/>
              </w:rPr>
              <w:t>FR: </w:t>
            </w:r>
            <w:r>
              <w:rPr>
                <w:spacing w:val="-6"/>
                <w:sz w:val="20"/>
              </w:rPr>
              <w:t>25</w:t>
            </w:r>
          </w:p>
        </w:tc>
        <w:tc>
          <w:tcPr>
            <w:tcW w:w="700" w:type="dxa"/>
            <w:gridSpan w:val="3"/>
            <w:shd w:val="clear" w:color="auto" w:fill="FAE3D4"/>
          </w:tcPr>
          <w:p>
            <w:pPr>
              <w:pStyle w:val="TableParagraph"/>
              <w:ind w:left="115"/>
              <w:rPr>
                <w:sz w:val="20"/>
              </w:rPr>
            </w:pPr>
            <w:r>
              <w:rPr>
                <w:spacing w:val="-2"/>
                <w:sz w:val="20"/>
              </w:rPr>
              <w:t>T3-</w:t>
            </w:r>
            <w:r>
              <w:rPr>
                <w:spacing w:val="-12"/>
                <w:sz w:val="20"/>
              </w:rPr>
              <w:t>3</w:t>
            </w:r>
          </w:p>
        </w:tc>
        <w:tc>
          <w:tcPr>
            <w:tcW w:w="962" w:type="dxa"/>
            <w:gridSpan w:val="3"/>
            <w:shd w:val="clear" w:color="auto" w:fill="FAE3D4"/>
          </w:tcPr>
          <w:p>
            <w:pPr>
              <w:pStyle w:val="TableParagraph"/>
              <w:spacing w:line="230" w:lineRule="exact"/>
              <w:ind w:left="122" w:right="521"/>
              <w:rPr>
                <w:sz w:val="20"/>
              </w:rPr>
            </w:pPr>
            <w:r>
              <w:rPr>
                <w:spacing w:val="-4"/>
                <w:sz w:val="20"/>
              </w:rPr>
              <w:t>FR: </w:t>
            </w:r>
            <w:r>
              <w:rPr>
                <w:spacing w:val="-6"/>
                <w:sz w:val="20"/>
              </w:rPr>
              <w:t>28</w:t>
            </w:r>
          </w:p>
        </w:tc>
        <w:tc>
          <w:tcPr>
            <w:tcW w:w="1955" w:type="dxa"/>
            <w:gridSpan w:val="5"/>
            <w:vMerge/>
            <w:tcBorders>
              <w:top w:val="nil"/>
            </w:tcBorders>
          </w:tcPr>
          <w:p>
            <w:pPr>
              <w:rPr>
                <w:sz w:val="2"/>
                <w:szCs w:val="2"/>
              </w:rPr>
            </w:pPr>
          </w:p>
        </w:tc>
      </w:tr>
      <w:tr>
        <w:trPr>
          <w:trHeight w:val="460" w:hRule="atLeast"/>
        </w:trPr>
        <w:tc>
          <w:tcPr>
            <w:tcW w:w="1276" w:type="dxa"/>
            <w:gridSpan w:val="2"/>
            <w:shd w:val="clear" w:color="auto" w:fill="DEEAF6"/>
          </w:tcPr>
          <w:p>
            <w:pPr>
              <w:pStyle w:val="TableParagraph"/>
              <w:ind w:left="107"/>
              <w:rPr>
                <w:sz w:val="20"/>
              </w:rPr>
            </w:pPr>
            <w:r>
              <w:rPr>
                <w:spacing w:val="-2"/>
                <w:sz w:val="20"/>
              </w:rPr>
              <w:t>T0-</w:t>
            </w:r>
            <w:r>
              <w:rPr>
                <w:spacing w:val="-12"/>
                <w:sz w:val="20"/>
              </w:rPr>
              <w:t>4</w:t>
            </w:r>
          </w:p>
        </w:tc>
        <w:tc>
          <w:tcPr>
            <w:tcW w:w="1488" w:type="dxa"/>
            <w:gridSpan w:val="3"/>
            <w:shd w:val="clear" w:color="auto" w:fill="DEEAF6"/>
          </w:tcPr>
          <w:p>
            <w:pPr>
              <w:pStyle w:val="TableParagraph"/>
              <w:spacing w:line="230" w:lineRule="atLeast"/>
              <w:ind w:left="110" w:right="1059"/>
              <w:rPr>
                <w:sz w:val="20"/>
              </w:rPr>
            </w:pPr>
            <w:r>
              <w:rPr>
                <w:spacing w:val="-4"/>
                <w:sz w:val="20"/>
              </w:rPr>
              <w:t>FR: </w:t>
            </w:r>
            <w:r>
              <w:rPr>
                <w:spacing w:val="-6"/>
                <w:sz w:val="20"/>
              </w:rPr>
              <w:t>28</w:t>
            </w:r>
          </w:p>
        </w:tc>
        <w:tc>
          <w:tcPr>
            <w:tcW w:w="745" w:type="dxa"/>
            <w:gridSpan w:val="3"/>
            <w:shd w:val="clear" w:color="auto" w:fill="E1EED9"/>
          </w:tcPr>
          <w:p>
            <w:pPr>
              <w:pStyle w:val="TableParagraph"/>
              <w:ind w:left="109"/>
              <w:rPr>
                <w:sz w:val="20"/>
              </w:rPr>
            </w:pPr>
            <w:r>
              <w:rPr>
                <w:spacing w:val="-2"/>
                <w:sz w:val="20"/>
              </w:rPr>
              <w:t>T1-</w:t>
            </w:r>
            <w:r>
              <w:rPr>
                <w:spacing w:val="-12"/>
                <w:sz w:val="20"/>
              </w:rPr>
              <w:t>4</w:t>
            </w:r>
          </w:p>
        </w:tc>
        <w:tc>
          <w:tcPr>
            <w:tcW w:w="907" w:type="dxa"/>
            <w:gridSpan w:val="3"/>
            <w:shd w:val="clear" w:color="auto" w:fill="E1EED9"/>
          </w:tcPr>
          <w:p>
            <w:pPr>
              <w:pStyle w:val="TableParagraph"/>
              <w:spacing w:line="230" w:lineRule="atLeast"/>
              <w:ind w:left="110" w:right="478"/>
              <w:rPr>
                <w:sz w:val="20"/>
              </w:rPr>
            </w:pPr>
            <w:r>
              <w:rPr>
                <w:spacing w:val="-4"/>
                <w:sz w:val="20"/>
              </w:rPr>
              <w:t>FR: </w:t>
            </w:r>
            <w:r>
              <w:rPr>
                <w:spacing w:val="-6"/>
                <w:sz w:val="20"/>
              </w:rPr>
              <w:t>28</w:t>
            </w:r>
          </w:p>
        </w:tc>
        <w:tc>
          <w:tcPr>
            <w:tcW w:w="704" w:type="dxa"/>
            <w:gridSpan w:val="3"/>
            <w:shd w:val="clear" w:color="auto" w:fill="FFF1CC"/>
          </w:tcPr>
          <w:p>
            <w:pPr>
              <w:pStyle w:val="TableParagraph"/>
              <w:ind w:left="111"/>
              <w:rPr>
                <w:sz w:val="20"/>
              </w:rPr>
            </w:pPr>
            <w:r>
              <w:rPr>
                <w:spacing w:val="-2"/>
                <w:sz w:val="20"/>
              </w:rPr>
              <w:t>T2-</w:t>
            </w:r>
            <w:r>
              <w:rPr>
                <w:spacing w:val="-12"/>
                <w:sz w:val="20"/>
              </w:rPr>
              <w:t>4</w:t>
            </w:r>
          </w:p>
        </w:tc>
        <w:tc>
          <w:tcPr>
            <w:tcW w:w="844" w:type="dxa"/>
            <w:gridSpan w:val="3"/>
            <w:shd w:val="clear" w:color="auto" w:fill="FFF1CC"/>
          </w:tcPr>
          <w:p>
            <w:pPr>
              <w:pStyle w:val="TableParagraph"/>
              <w:spacing w:line="230" w:lineRule="atLeast"/>
              <w:ind w:left="112" w:right="413"/>
              <w:rPr>
                <w:sz w:val="20"/>
              </w:rPr>
            </w:pPr>
            <w:r>
              <w:rPr>
                <w:spacing w:val="-4"/>
                <w:sz w:val="20"/>
              </w:rPr>
              <w:t>FR: </w:t>
            </w:r>
            <w:r>
              <w:rPr>
                <w:spacing w:val="-6"/>
                <w:sz w:val="20"/>
              </w:rPr>
              <w:t>28</w:t>
            </w:r>
          </w:p>
        </w:tc>
        <w:tc>
          <w:tcPr>
            <w:tcW w:w="700" w:type="dxa"/>
            <w:gridSpan w:val="3"/>
            <w:shd w:val="clear" w:color="auto" w:fill="FAE3D4"/>
          </w:tcPr>
          <w:p>
            <w:pPr>
              <w:pStyle w:val="TableParagraph"/>
              <w:ind w:left="115"/>
              <w:rPr>
                <w:sz w:val="20"/>
              </w:rPr>
            </w:pPr>
            <w:r>
              <w:rPr>
                <w:spacing w:val="-2"/>
                <w:sz w:val="20"/>
              </w:rPr>
              <w:t>T3-</w:t>
            </w:r>
            <w:r>
              <w:rPr>
                <w:spacing w:val="-12"/>
                <w:sz w:val="20"/>
              </w:rPr>
              <w:t>4</w:t>
            </w:r>
          </w:p>
        </w:tc>
        <w:tc>
          <w:tcPr>
            <w:tcW w:w="962" w:type="dxa"/>
            <w:gridSpan w:val="3"/>
            <w:shd w:val="clear" w:color="auto" w:fill="FAE3D4"/>
          </w:tcPr>
          <w:p>
            <w:pPr>
              <w:pStyle w:val="TableParagraph"/>
              <w:spacing w:line="230" w:lineRule="atLeast"/>
              <w:ind w:left="122" w:right="521"/>
              <w:rPr>
                <w:sz w:val="20"/>
              </w:rPr>
            </w:pPr>
            <w:r>
              <w:rPr>
                <w:spacing w:val="-4"/>
                <w:sz w:val="20"/>
              </w:rPr>
              <w:t>FR: </w:t>
            </w:r>
            <w:r>
              <w:rPr>
                <w:spacing w:val="-6"/>
                <w:sz w:val="20"/>
              </w:rPr>
              <w:t>26</w:t>
            </w:r>
          </w:p>
        </w:tc>
        <w:tc>
          <w:tcPr>
            <w:tcW w:w="1955" w:type="dxa"/>
            <w:gridSpan w:val="5"/>
            <w:vMerge/>
            <w:tcBorders>
              <w:top w:val="nil"/>
            </w:tcBorders>
          </w:tcPr>
          <w:p>
            <w:pPr>
              <w:rPr>
                <w:sz w:val="2"/>
                <w:szCs w:val="2"/>
              </w:rPr>
            </w:pPr>
          </w:p>
        </w:tc>
      </w:tr>
      <w:tr>
        <w:trPr>
          <w:trHeight w:val="230" w:hRule="atLeast"/>
        </w:trPr>
        <w:tc>
          <w:tcPr>
            <w:tcW w:w="9581" w:type="dxa"/>
            <w:gridSpan w:val="28"/>
          </w:tcPr>
          <w:p>
            <w:pPr>
              <w:pStyle w:val="TableParagraph"/>
              <w:spacing w:line="210" w:lineRule="exact"/>
              <w:ind w:left="28"/>
              <w:jc w:val="center"/>
              <w:rPr>
                <w:b/>
                <w:sz w:val="20"/>
              </w:rPr>
            </w:pPr>
            <w:r>
              <w:rPr>
                <w:b/>
                <w:spacing w:val="-2"/>
                <w:sz w:val="20"/>
              </w:rPr>
              <w:t>Después</w:t>
            </w:r>
          </w:p>
        </w:tc>
      </w:tr>
      <w:tr>
        <w:trPr>
          <w:trHeight w:val="460" w:hRule="atLeast"/>
        </w:trPr>
        <w:tc>
          <w:tcPr>
            <w:tcW w:w="2764" w:type="dxa"/>
            <w:gridSpan w:val="5"/>
            <w:shd w:val="clear" w:color="auto" w:fill="DEEAF6"/>
          </w:tcPr>
          <w:p>
            <w:pPr>
              <w:pStyle w:val="TableParagraph"/>
              <w:spacing w:before="115"/>
              <w:ind w:left="894"/>
              <w:rPr>
                <w:b/>
                <w:sz w:val="20"/>
              </w:rPr>
            </w:pPr>
            <w:r>
              <w:rPr>
                <w:b/>
                <w:sz w:val="20"/>
              </w:rPr>
              <w:t>T0:</w:t>
            </w:r>
            <w:r>
              <w:rPr>
                <w:b/>
                <w:spacing w:val="-3"/>
                <w:sz w:val="20"/>
              </w:rPr>
              <w:t> </w:t>
            </w:r>
            <w:r>
              <w:rPr>
                <w:b/>
                <w:spacing w:val="-2"/>
                <w:sz w:val="20"/>
              </w:rPr>
              <w:t>Testigo</w:t>
            </w:r>
          </w:p>
        </w:tc>
        <w:tc>
          <w:tcPr>
            <w:tcW w:w="1652" w:type="dxa"/>
            <w:gridSpan w:val="6"/>
            <w:shd w:val="clear" w:color="auto" w:fill="E1EED9"/>
          </w:tcPr>
          <w:p>
            <w:pPr>
              <w:pStyle w:val="TableParagraph"/>
              <w:spacing w:before="115"/>
              <w:ind w:left="368"/>
              <w:rPr>
                <w:b/>
                <w:sz w:val="20"/>
              </w:rPr>
            </w:pPr>
            <w:r>
              <w:rPr>
                <w:b/>
                <w:sz w:val="20"/>
              </w:rPr>
              <w:t>T1:</w:t>
            </w:r>
            <w:r>
              <w:rPr>
                <w:b/>
                <w:spacing w:val="-3"/>
                <w:sz w:val="20"/>
              </w:rPr>
              <w:t> </w:t>
            </w:r>
            <w:r>
              <w:rPr>
                <w:b/>
                <w:spacing w:val="-4"/>
                <w:sz w:val="20"/>
              </w:rPr>
              <w:t>LT+M</w:t>
            </w:r>
          </w:p>
        </w:tc>
        <w:tc>
          <w:tcPr>
            <w:tcW w:w="1548" w:type="dxa"/>
            <w:gridSpan w:val="6"/>
            <w:shd w:val="clear" w:color="auto" w:fill="FFF1CC"/>
          </w:tcPr>
          <w:p>
            <w:pPr>
              <w:pStyle w:val="TableParagraph"/>
              <w:spacing w:before="115"/>
              <w:ind w:left="319"/>
              <w:rPr>
                <w:b/>
                <w:sz w:val="20"/>
              </w:rPr>
            </w:pPr>
            <w:r>
              <w:rPr>
                <w:b/>
                <w:sz w:val="20"/>
              </w:rPr>
              <w:t>T2:</w:t>
            </w:r>
            <w:r>
              <w:rPr>
                <w:b/>
                <w:spacing w:val="-3"/>
                <w:sz w:val="20"/>
              </w:rPr>
              <w:t> </w:t>
            </w:r>
            <w:r>
              <w:rPr>
                <w:b/>
                <w:spacing w:val="-4"/>
                <w:sz w:val="20"/>
              </w:rPr>
              <w:t>BT+M</w:t>
            </w:r>
          </w:p>
        </w:tc>
        <w:tc>
          <w:tcPr>
            <w:tcW w:w="1662" w:type="dxa"/>
            <w:gridSpan w:val="6"/>
            <w:shd w:val="clear" w:color="auto" w:fill="FAE3D4"/>
          </w:tcPr>
          <w:p>
            <w:pPr>
              <w:pStyle w:val="TableParagraph"/>
              <w:ind w:left="30" w:right="6"/>
              <w:jc w:val="center"/>
              <w:rPr>
                <w:b/>
                <w:sz w:val="20"/>
              </w:rPr>
            </w:pPr>
            <w:r>
              <w:rPr>
                <w:b/>
                <w:spacing w:val="-2"/>
                <w:sz w:val="20"/>
              </w:rPr>
              <w:t>T3:50%LT+50</w:t>
            </w:r>
          </w:p>
          <w:p>
            <w:pPr>
              <w:pStyle w:val="TableParagraph"/>
              <w:spacing w:line="210" w:lineRule="exact"/>
              <w:ind w:left="30"/>
              <w:jc w:val="center"/>
              <w:rPr>
                <w:b/>
                <w:sz w:val="20"/>
              </w:rPr>
            </w:pPr>
            <w:r>
              <w:rPr>
                <w:b/>
                <w:spacing w:val="-5"/>
                <w:sz w:val="20"/>
              </w:rPr>
              <w:t>%BT</w:t>
            </w:r>
          </w:p>
        </w:tc>
        <w:tc>
          <w:tcPr>
            <w:tcW w:w="1955" w:type="dxa"/>
            <w:gridSpan w:val="5"/>
          </w:tcPr>
          <w:p>
            <w:pPr>
              <w:pStyle w:val="TableParagraph"/>
              <w:spacing w:before="115"/>
              <w:ind w:left="456"/>
              <w:rPr>
                <w:b/>
                <w:sz w:val="20"/>
              </w:rPr>
            </w:pPr>
            <w:r>
              <w:rPr>
                <w:b/>
                <w:spacing w:val="-2"/>
                <w:sz w:val="20"/>
              </w:rPr>
              <w:t>Observación</w:t>
            </w:r>
          </w:p>
        </w:tc>
      </w:tr>
      <w:tr>
        <w:trPr>
          <w:trHeight w:val="458" w:hRule="atLeast"/>
        </w:trPr>
        <w:tc>
          <w:tcPr>
            <w:tcW w:w="1276" w:type="dxa"/>
            <w:gridSpan w:val="2"/>
            <w:shd w:val="clear" w:color="auto" w:fill="DEEAF6"/>
          </w:tcPr>
          <w:p>
            <w:pPr>
              <w:pStyle w:val="TableParagraph"/>
              <w:ind w:left="107"/>
              <w:rPr>
                <w:sz w:val="20"/>
              </w:rPr>
            </w:pPr>
            <w:r>
              <w:rPr>
                <w:spacing w:val="-2"/>
                <w:sz w:val="20"/>
              </w:rPr>
              <w:t>T0-</w:t>
            </w:r>
            <w:r>
              <w:rPr>
                <w:spacing w:val="-12"/>
                <w:sz w:val="20"/>
              </w:rPr>
              <w:t>1</w:t>
            </w:r>
          </w:p>
        </w:tc>
        <w:tc>
          <w:tcPr>
            <w:tcW w:w="1488" w:type="dxa"/>
            <w:gridSpan w:val="3"/>
            <w:shd w:val="clear" w:color="auto" w:fill="DEEAF6"/>
          </w:tcPr>
          <w:p>
            <w:pPr>
              <w:pStyle w:val="TableParagraph"/>
              <w:spacing w:line="228" w:lineRule="exact"/>
              <w:ind w:left="110" w:right="1059"/>
              <w:rPr>
                <w:sz w:val="20"/>
              </w:rPr>
            </w:pPr>
            <w:r>
              <w:rPr>
                <w:spacing w:val="-4"/>
                <w:sz w:val="20"/>
              </w:rPr>
              <w:t>FC: </w:t>
            </w:r>
            <w:r>
              <w:rPr>
                <w:spacing w:val="-5"/>
                <w:sz w:val="20"/>
              </w:rPr>
              <w:t>128</w:t>
            </w:r>
          </w:p>
        </w:tc>
        <w:tc>
          <w:tcPr>
            <w:tcW w:w="745" w:type="dxa"/>
            <w:gridSpan w:val="3"/>
            <w:shd w:val="clear" w:color="auto" w:fill="E1EED9"/>
          </w:tcPr>
          <w:p>
            <w:pPr>
              <w:pStyle w:val="TableParagraph"/>
              <w:ind w:left="109"/>
              <w:rPr>
                <w:sz w:val="20"/>
              </w:rPr>
            </w:pPr>
            <w:r>
              <w:rPr>
                <w:spacing w:val="-2"/>
                <w:sz w:val="20"/>
              </w:rPr>
              <w:t>T1-</w:t>
            </w:r>
            <w:r>
              <w:rPr>
                <w:spacing w:val="-12"/>
                <w:sz w:val="20"/>
              </w:rPr>
              <w:t>1</w:t>
            </w:r>
          </w:p>
        </w:tc>
        <w:tc>
          <w:tcPr>
            <w:tcW w:w="907" w:type="dxa"/>
            <w:gridSpan w:val="3"/>
            <w:shd w:val="clear" w:color="auto" w:fill="E1EED9"/>
          </w:tcPr>
          <w:p>
            <w:pPr>
              <w:pStyle w:val="TableParagraph"/>
              <w:spacing w:line="228" w:lineRule="exact"/>
              <w:ind w:left="110" w:right="478"/>
              <w:rPr>
                <w:sz w:val="20"/>
              </w:rPr>
            </w:pPr>
            <w:r>
              <w:rPr>
                <w:spacing w:val="-4"/>
                <w:sz w:val="20"/>
              </w:rPr>
              <w:t>FC: </w:t>
            </w:r>
            <w:r>
              <w:rPr>
                <w:spacing w:val="-5"/>
                <w:sz w:val="20"/>
              </w:rPr>
              <w:t>135</w:t>
            </w:r>
          </w:p>
        </w:tc>
        <w:tc>
          <w:tcPr>
            <w:tcW w:w="704" w:type="dxa"/>
            <w:gridSpan w:val="3"/>
            <w:shd w:val="clear" w:color="auto" w:fill="FFF1CC"/>
          </w:tcPr>
          <w:p>
            <w:pPr>
              <w:pStyle w:val="TableParagraph"/>
              <w:ind w:left="111"/>
              <w:rPr>
                <w:sz w:val="20"/>
              </w:rPr>
            </w:pPr>
            <w:r>
              <w:rPr>
                <w:spacing w:val="-2"/>
                <w:sz w:val="20"/>
              </w:rPr>
              <w:t>T2-</w:t>
            </w:r>
            <w:r>
              <w:rPr>
                <w:spacing w:val="-12"/>
                <w:sz w:val="20"/>
              </w:rPr>
              <w:t>1</w:t>
            </w:r>
          </w:p>
        </w:tc>
        <w:tc>
          <w:tcPr>
            <w:tcW w:w="844" w:type="dxa"/>
            <w:gridSpan w:val="3"/>
            <w:shd w:val="clear" w:color="auto" w:fill="FFF1CC"/>
          </w:tcPr>
          <w:p>
            <w:pPr>
              <w:pStyle w:val="TableParagraph"/>
              <w:spacing w:line="228" w:lineRule="exact"/>
              <w:ind w:left="112" w:right="413"/>
              <w:rPr>
                <w:sz w:val="20"/>
              </w:rPr>
            </w:pPr>
            <w:r>
              <w:rPr>
                <w:spacing w:val="-4"/>
                <w:sz w:val="20"/>
              </w:rPr>
              <w:t>FC: </w:t>
            </w:r>
            <w:r>
              <w:rPr>
                <w:spacing w:val="-5"/>
                <w:sz w:val="20"/>
              </w:rPr>
              <w:t>112</w:t>
            </w:r>
          </w:p>
        </w:tc>
        <w:tc>
          <w:tcPr>
            <w:tcW w:w="700" w:type="dxa"/>
            <w:gridSpan w:val="3"/>
            <w:shd w:val="clear" w:color="auto" w:fill="FAE3D4"/>
          </w:tcPr>
          <w:p>
            <w:pPr>
              <w:pStyle w:val="TableParagraph"/>
              <w:ind w:left="115"/>
              <w:rPr>
                <w:sz w:val="20"/>
              </w:rPr>
            </w:pPr>
            <w:r>
              <w:rPr>
                <w:spacing w:val="-2"/>
                <w:sz w:val="20"/>
              </w:rPr>
              <w:t>T3-</w:t>
            </w:r>
            <w:r>
              <w:rPr>
                <w:spacing w:val="-12"/>
                <w:sz w:val="20"/>
              </w:rPr>
              <w:t>1</w:t>
            </w:r>
          </w:p>
        </w:tc>
        <w:tc>
          <w:tcPr>
            <w:tcW w:w="962" w:type="dxa"/>
            <w:gridSpan w:val="3"/>
            <w:shd w:val="clear" w:color="auto" w:fill="FAE3D4"/>
          </w:tcPr>
          <w:p>
            <w:pPr>
              <w:pStyle w:val="TableParagraph"/>
              <w:spacing w:line="228" w:lineRule="exact"/>
              <w:ind w:left="122" w:right="521"/>
              <w:rPr>
                <w:sz w:val="20"/>
              </w:rPr>
            </w:pPr>
            <w:r>
              <w:rPr>
                <w:spacing w:val="-4"/>
                <w:sz w:val="20"/>
              </w:rPr>
              <w:t>FC: </w:t>
            </w:r>
            <w:r>
              <w:rPr>
                <w:spacing w:val="-6"/>
                <w:sz w:val="20"/>
              </w:rPr>
              <w:t>98</w:t>
            </w:r>
          </w:p>
        </w:tc>
        <w:tc>
          <w:tcPr>
            <w:tcW w:w="1955" w:type="dxa"/>
            <w:gridSpan w:val="5"/>
            <w:vMerge w:val="restart"/>
          </w:tcPr>
          <w:p>
            <w:pPr>
              <w:pStyle w:val="TableParagraph"/>
              <w:rPr>
                <w:sz w:val="18"/>
              </w:rPr>
            </w:pPr>
          </w:p>
        </w:tc>
      </w:tr>
      <w:tr>
        <w:trPr>
          <w:trHeight w:val="460" w:hRule="atLeast"/>
        </w:trPr>
        <w:tc>
          <w:tcPr>
            <w:tcW w:w="1276" w:type="dxa"/>
            <w:gridSpan w:val="2"/>
            <w:shd w:val="clear" w:color="auto" w:fill="DEEAF6"/>
          </w:tcPr>
          <w:p>
            <w:pPr>
              <w:pStyle w:val="TableParagraph"/>
              <w:ind w:left="107"/>
              <w:rPr>
                <w:sz w:val="20"/>
              </w:rPr>
            </w:pPr>
            <w:r>
              <w:rPr>
                <w:spacing w:val="-2"/>
                <w:sz w:val="20"/>
              </w:rPr>
              <w:t>T0-</w:t>
            </w:r>
            <w:r>
              <w:rPr>
                <w:spacing w:val="-12"/>
                <w:sz w:val="20"/>
              </w:rPr>
              <w:t>2</w:t>
            </w:r>
          </w:p>
        </w:tc>
        <w:tc>
          <w:tcPr>
            <w:tcW w:w="1488" w:type="dxa"/>
            <w:gridSpan w:val="3"/>
            <w:shd w:val="clear" w:color="auto" w:fill="DEEAF6"/>
          </w:tcPr>
          <w:p>
            <w:pPr>
              <w:pStyle w:val="TableParagraph"/>
              <w:spacing w:line="230" w:lineRule="atLeast"/>
              <w:ind w:left="110" w:right="1059"/>
              <w:rPr>
                <w:sz w:val="20"/>
              </w:rPr>
            </w:pPr>
            <w:r>
              <w:rPr>
                <w:spacing w:val="-4"/>
                <w:sz w:val="20"/>
              </w:rPr>
              <w:t>FC: </w:t>
            </w:r>
            <w:r>
              <w:rPr>
                <w:spacing w:val="-5"/>
                <w:sz w:val="20"/>
              </w:rPr>
              <w:t>122</w:t>
            </w:r>
          </w:p>
        </w:tc>
        <w:tc>
          <w:tcPr>
            <w:tcW w:w="745" w:type="dxa"/>
            <w:gridSpan w:val="3"/>
            <w:shd w:val="clear" w:color="auto" w:fill="E1EED9"/>
          </w:tcPr>
          <w:p>
            <w:pPr>
              <w:pStyle w:val="TableParagraph"/>
              <w:ind w:left="109"/>
              <w:rPr>
                <w:sz w:val="20"/>
              </w:rPr>
            </w:pPr>
            <w:r>
              <w:rPr>
                <w:spacing w:val="-2"/>
                <w:sz w:val="20"/>
              </w:rPr>
              <w:t>T1-</w:t>
            </w:r>
            <w:r>
              <w:rPr>
                <w:spacing w:val="-12"/>
                <w:sz w:val="20"/>
              </w:rPr>
              <w:t>2</w:t>
            </w:r>
          </w:p>
        </w:tc>
        <w:tc>
          <w:tcPr>
            <w:tcW w:w="907" w:type="dxa"/>
            <w:gridSpan w:val="3"/>
            <w:shd w:val="clear" w:color="auto" w:fill="E1EED9"/>
          </w:tcPr>
          <w:p>
            <w:pPr>
              <w:pStyle w:val="TableParagraph"/>
              <w:spacing w:line="230" w:lineRule="atLeast"/>
              <w:ind w:left="110" w:right="478"/>
              <w:rPr>
                <w:sz w:val="20"/>
              </w:rPr>
            </w:pPr>
            <w:r>
              <w:rPr>
                <w:spacing w:val="-4"/>
                <w:sz w:val="20"/>
              </w:rPr>
              <w:t>FC: </w:t>
            </w:r>
            <w:r>
              <w:rPr>
                <w:spacing w:val="-5"/>
                <w:sz w:val="20"/>
              </w:rPr>
              <w:t>133</w:t>
            </w:r>
          </w:p>
        </w:tc>
        <w:tc>
          <w:tcPr>
            <w:tcW w:w="704" w:type="dxa"/>
            <w:gridSpan w:val="3"/>
            <w:shd w:val="clear" w:color="auto" w:fill="FFF1CC"/>
          </w:tcPr>
          <w:p>
            <w:pPr>
              <w:pStyle w:val="TableParagraph"/>
              <w:ind w:left="111"/>
              <w:rPr>
                <w:sz w:val="20"/>
              </w:rPr>
            </w:pPr>
            <w:r>
              <w:rPr>
                <w:spacing w:val="-2"/>
                <w:sz w:val="20"/>
              </w:rPr>
              <w:t>T2-</w:t>
            </w:r>
            <w:r>
              <w:rPr>
                <w:spacing w:val="-12"/>
                <w:sz w:val="20"/>
              </w:rPr>
              <w:t>2</w:t>
            </w:r>
          </w:p>
        </w:tc>
        <w:tc>
          <w:tcPr>
            <w:tcW w:w="844" w:type="dxa"/>
            <w:gridSpan w:val="3"/>
            <w:shd w:val="clear" w:color="auto" w:fill="FFF1CC"/>
          </w:tcPr>
          <w:p>
            <w:pPr>
              <w:pStyle w:val="TableParagraph"/>
              <w:spacing w:line="230" w:lineRule="atLeast"/>
              <w:ind w:left="112" w:right="413"/>
              <w:rPr>
                <w:sz w:val="20"/>
              </w:rPr>
            </w:pPr>
            <w:r>
              <w:rPr>
                <w:spacing w:val="-4"/>
                <w:sz w:val="20"/>
              </w:rPr>
              <w:t>FC: </w:t>
            </w:r>
            <w:r>
              <w:rPr>
                <w:spacing w:val="-5"/>
                <w:sz w:val="20"/>
              </w:rPr>
              <w:t>115</w:t>
            </w:r>
          </w:p>
        </w:tc>
        <w:tc>
          <w:tcPr>
            <w:tcW w:w="700" w:type="dxa"/>
            <w:gridSpan w:val="3"/>
            <w:shd w:val="clear" w:color="auto" w:fill="FAE3D4"/>
          </w:tcPr>
          <w:p>
            <w:pPr>
              <w:pStyle w:val="TableParagraph"/>
              <w:ind w:left="115"/>
              <w:rPr>
                <w:sz w:val="20"/>
              </w:rPr>
            </w:pPr>
            <w:r>
              <w:rPr>
                <w:spacing w:val="-2"/>
                <w:sz w:val="20"/>
              </w:rPr>
              <w:t>T3-</w:t>
            </w:r>
            <w:r>
              <w:rPr>
                <w:spacing w:val="-12"/>
                <w:sz w:val="20"/>
              </w:rPr>
              <w:t>2</w:t>
            </w:r>
          </w:p>
        </w:tc>
        <w:tc>
          <w:tcPr>
            <w:tcW w:w="962" w:type="dxa"/>
            <w:gridSpan w:val="3"/>
            <w:shd w:val="clear" w:color="auto" w:fill="FAE3D4"/>
          </w:tcPr>
          <w:p>
            <w:pPr>
              <w:pStyle w:val="TableParagraph"/>
              <w:spacing w:line="230" w:lineRule="atLeast"/>
              <w:ind w:left="122" w:right="521"/>
              <w:rPr>
                <w:sz w:val="20"/>
              </w:rPr>
            </w:pPr>
            <w:r>
              <w:rPr>
                <w:spacing w:val="-4"/>
                <w:sz w:val="20"/>
              </w:rPr>
              <w:t>FC: </w:t>
            </w:r>
            <w:r>
              <w:rPr>
                <w:spacing w:val="-5"/>
                <w:sz w:val="20"/>
              </w:rPr>
              <w:t>100</w:t>
            </w:r>
          </w:p>
        </w:tc>
        <w:tc>
          <w:tcPr>
            <w:tcW w:w="1955" w:type="dxa"/>
            <w:gridSpan w:val="5"/>
            <w:vMerge/>
            <w:tcBorders>
              <w:top w:val="nil"/>
            </w:tcBorders>
          </w:tcPr>
          <w:p>
            <w:pPr>
              <w:rPr>
                <w:sz w:val="2"/>
                <w:szCs w:val="2"/>
              </w:rPr>
            </w:pPr>
          </w:p>
        </w:tc>
      </w:tr>
      <w:tr>
        <w:trPr>
          <w:trHeight w:val="460" w:hRule="atLeast"/>
        </w:trPr>
        <w:tc>
          <w:tcPr>
            <w:tcW w:w="1276" w:type="dxa"/>
            <w:gridSpan w:val="2"/>
            <w:shd w:val="clear" w:color="auto" w:fill="DEEAF6"/>
          </w:tcPr>
          <w:p>
            <w:pPr>
              <w:pStyle w:val="TableParagraph"/>
              <w:ind w:left="107"/>
              <w:rPr>
                <w:sz w:val="20"/>
              </w:rPr>
            </w:pPr>
            <w:r>
              <w:rPr>
                <w:spacing w:val="-2"/>
                <w:sz w:val="20"/>
              </w:rPr>
              <w:t>T0-</w:t>
            </w:r>
            <w:r>
              <w:rPr>
                <w:spacing w:val="-12"/>
                <w:sz w:val="20"/>
              </w:rPr>
              <w:t>3</w:t>
            </w:r>
          </w:p>
        </w:tc>
        <w:tc>
          <w:tcPr>
            <w:tcW w:w="1488" w:type="dxa"/>
            <w:gridSpan w:val="3"/>
            <w:shd w:val="clear" w:color="auto" w:fill="DEEAF6"/>
          </w:tcPr>
          <w:p>
            <w:pPr>
              <w:pStyle w:val="TableParagraph"/>
              <w:spacing w:line="230" w:lineRule="atLeast"/>
              <w:ind w:left="110" w:right="1059"/>
              <w:rPr>
                <w:sz w:val="20"/>
              </w:rPr>
            </w:pPr>
            <w:r>
              <w:rPr>
                <w:spacing w:val="-4"/>
                <w:sz w:val="20"/>
              </w:rPr>
              <w:t>FC: </w:t>
            </w:r>
            <w:r>
              <w:rPr>
                <w:spacing w:val="-5"/>
                <w:sz w:val="20"/>
              </w:rPr>
              <w:t>127</w:t>
            </w:r>
          </w:p>
        </w:tc>
        <w:tc>
          <w:tcPr>
            <w:tcW w:w="745" w:type="dxa"/>
            <w:gridSpan w:val="3"/>
            <w:shd w:val="clear" w:color="auto" w:fill="E1EED9"/>
          </w:tcPr>
          <w:p>
            <w:pPr>
              <w:pStyle w:val="TableParagraph"/>
              <w:ind w:left="109"/>
              <w:rPr>
                <w:sz w:val="20"/>
              </w:rPr>
            </w:pPr>
            <w:r>
              <w:rPr>
                <w:spacing w:val="-2"/>
                <w:sz w:val="20"/>
              </w:rPr>
              <w:t>T1-</w:t>
            </w:r>
            <w:r>
              <w:rPr>
                <w:spacing w:val="-12"/>
                <w:sz w:val="20"/>
              </w:rPr>
              <w:t>3</w:t>
            </w:r>
          </w:p>
        </w:tc>
        <w:tc>
          <w:tcPr>
            <w:tcW w:w="907" w:type="dxa"/>
            <w:gridSpan w:val="3"/>
            <w:shd w:val="clear" w:color="auto" w:fill="E1EED9"/>
          </w:tcPr>
          <w:p>
            <w:pPr>
              <w:pStyle w:val="TableParagraph"/>
              <w:spacing w:line="230" w:lineRule="atLeast"/>
              <w:ind w:left="110" w:right="478"/>
              <w:rPr>
                <w:sz w:val="20"/>
              </w:rPr>
            </w:pPr>
            <w:r>
              <w:rPr>
                <w:spacing w:val="-4"/>
                <w:sz w:val="20"/>
              </w:rPr>
              <w:t>FC: </w:t>
            </w:r>
            <w:r>
              <w:rPr>
                <w:spacing w:val="-5"/>
                <w:sz w:val="20"/>
              </w:rPr>
              <w:t>136</w:t>
            </w:r>
          </w:p>
        </w:tc>
        <w:tc>
          <w:tcPr>
            <w:tcW w:w="704" w:type="dxa"/>
            <w:gridSpan w:val="3"/>
            <w:shd w:val="clear" w:color="auto" w:fill="FFF1CC"/>
          </w:tcPr>
          <w:p>
            <w:pPr>
              <w:pStyle w:val="TableParagraph"/>
              <w:ind w:left="111"/>
              <w:rPr>
                <w:sz w:val="20"/>
              </w:rPr>
            </w:pPr>
            <w:r>
              <w:rPr>
                <w:spacing w:val="-2"/>
                <w:sz w:val="20"/>
              </w:rPr>
              <w:t>T2-</w:t>
            </w:r>
            <w:r>
              <w:rPr>
                <w:spacing w:val="-12"/>
                <w:sz w:val="20"/>
              </w:rPr>
              <w:t>3</w:t>
            </w:r>
          </w:p>
        </w:tc>
        <w:tc>
          <w:tcPr>
            <w:tcW w:w="844" w:type="dxa"/>
            <w:gridSpan w:val="3"/>
            <w:shd w:val="clear" w:color="auto" w:fill="FFF1CC"/>
          </w:tcPr>
          <w:p>
            <w:pPr>
              <w:pStyle w:val="TableParagraph"/>
              <w:spacing w:line="230" w:lineRule="atLeast"/>
              <w:ind w:left="112" w:right="413"/>
              <w:rPr>
                <w:sz w:val="20"/>
              </w:rPr>
            </w:pPr>
            <w:r>
              <w:rPr>
                <w:spacing w:val="-4"/>
                <w:sz w:val="20"/>
              </w:rPr>
              <w:t>FC: </w:t>
            </w:r>
            <w:r>
              <w:rPr>
                <w:spacing w:val="-5"/>
                <w:sz w:val="20"/>
              </w:rPr>
              <w:t>110</w:t>
            </w:r>
          </w:p>
        </w:tc>
        <w:tc>
          <w:tcPr>
            <w:tcW w:w="700" w:type="dxa"/>
            <w:gridSpan w:val="3"/>
            <w:shd w:val="clear" w:color="auto" w:fill="FAE3D4"/>
          </w:tcPr>
          <w:p>
            <w:pPr>
              <w:pStyle w:val="TableParagraph"/>
              <w:ind w:left="115"/>
              <w:rPr>
                <w:sz w:val="20"/>
              </w:rPr>
            </w:pPr>
            <w:r>
              <w:rPr>
                <w:spacing w:val="-2"/>
                <w:sz w:val="20"/>
              </w:rPr>
              <w:t>T3-</w:t>
            </w:r>
            <w:r>
              <w:rPr>
                <w:spacing w:val="-12"/>
                <w:sz w:val="20"/>
              </w:rPr>
              <w:t>3</w:t>
            </w:r>
          </w:p>
        </w:tc>
        <w:tc>
          <w:tcPr>
            <w:tcW w:w="962" w:type="dxa"/>
            <w:gridSpan w:val="3"/>
            <w:shd w:val="clear" w:color="auto" w:fill="FAE3D4"/>
          </w:tcPr>
          <w:p>
            <w:pPr>
              <w:pStyle w:val="TableParagraph"/>
              <w:spacing w:line="230" w:lineRule="atLeast"/>
              <w:ind w:left="122" w:right="521"/>
              <w:rPr>
                <w:sz w:val="20"/>
              </w:rPr>
            </w:pPr>
            <w:r>
              <w:rPr>
                <w:spacing w:val="-4"/>
                <w:sz w:val="20"/>
              </w:rPr>
              <w:t>FC: </w:t>
            </w:r>
            <w:r>
              <w:rPr>
                <w:spacing w:val="-6"/>
                <w:sz w:val="20"/>
              </w:rPr>
              <w:t>97</w:t>
            </w:r>
          </w:p>
        </w:tc>
        <w:tc>
          <w:tcPr>
            <w:tcW w:w="1955" w:type="dxa"/>
            <w:gridSpan w:val="5"/>
            <w:vMerge/>
            <w:tcBorders>
              <w:top w:val="nil"/>
            </w:tcBorders>
          </w:tcPr>
          <w:p>
            <w:pPr>
              <w:rPr>
                <w:sz w:val="2"/>
                <w:szCs w:val="2"/>
              </w:rPr>
            </w:pPr>
          </w:p>
        </w:tc>
      </w:tr>
      <w:tr>
        <w:trPr>
          <w:trHeight w:val="460" w:hRule="atLeast"/>
        </w:trPr>
        <w:tc>
          <w:tcPr>
            <w:tcW w:w="1276" w:type="dxa"/>
            <w:gridSpan w:val="2"/>
            <w:shd w:val="clear" w:color="auto" w:fill="DEEAF6"/>
          </w:tcPr>
          <w:p>
            <w:pPr>
              <w:pStyle w:val="TableParagraph"/>
              <w:ind w:left="107"/>
              <w:rPr>
                <w:sz w:val="20"/>
              </w:rPr>
            </w:pPr>
            <w:r>
              <w:rPr>
                <w:spacing w:val="-2"/>
                <w:sz w:val="20"/>
              </w:rPr>
              <w:t>T0-</w:t>
            </w:r>
            <w:r>
              <w:rPr>
                <w:spacing w:val="-12"/>
                <w:sz w:val="20"/>
              </w:rPr>
              <w:t>4</w:t>
            </w:r>
          </w:p>
        </w:tc>
        <w:tc>
          <w:tcPr>
            <w:tcW w:w="1488" w:type="dxa"/>
            <w:gridSpan w:val="3"/>
            <w:shd w:val="clear" w:color="auto" w:fill="DEEAF6"/>
          </w:tcPr>
          <w:p>
            <w:pPr>
              <w:pStyle w:val="TableParagraph"/>
              <w:spacing w:line="230" w:lineRule="atLeast"/>
              <w:ind w:left="110" w:right="1059"/>
              <w:rPr>
                <w:sz w:val="20"/>
              </w:rPr>
            </w:pPr>
            <w:r>
              <w:rPr>
                <w:spacing w:val="-4"/>
                <w:sz w:val="20"/>
              </w:rPr>
              <w:t>FC: </w:t>
            </w:r>
            <w:r>
              <w:rPr>
                <w:spacing w:val="-5"/>
                <w:sz w:val="20"/>
              </w:rPr>
              <w:t>130</w:t>
            </w:r>
          </w:p>
        </w:tc>
        <w:tc>
          <w:tcPr>
            <w:tcW w:w="745" w:type="dxa"/>
            <w:gridSpan w:val="3"/>
            <w:shd w:val="clear" w:color="auto" w:fill="E1EED9"/>
          </w:tcPr>
          <w:p>
            <w:pPr>
              <w:pStyle w:val="TableParagraph"/>
              <w:ind w:left="109"/>
              <w:rPr>
                <w:sz w:val="20"/>
              </w:rPr>
            </w:pPr>
            <w:r>
              <w:rPr>
                <w:spacing w:val="-2"/>
                <w:sz w:val="20"/>
              </w:rPr>
              <w:t>T1-</w:t>
            </w:r>
            <w:r>
              <w:rPr>
                <w:spacing w:val="-12"/>
                <w:sz w:val="20"/>
              </w:rPr>
              <w:t>4</w:t>
            </w:r>
          </w:p>
        </w:tc>
        <w:tc>
          <w:tcPr>
            <w:tcW w:w="907" w:type="dxa"/>
            <w:gridSpan w:val="3"/>
            <w:shd w:val="clear" w:color="auto" w:fill="E1EED9"/>
          </w:tcPr>
          <w:p>
            <w:pPr>
              <w:pStyle w:val="TableParagraph"/>
              <w:spacing w:line="230" w:lineRule="atLeast"/>
              <w:ind w:left="110" w:right="478"/>
              <w:rPr>
                <w:sz w:val="20"/>
              </w:rPr>
            </w:pPr>
            <w:r>
              <w:rPr>
                <w:spacing w:val="-4"/>
                <w:sz w:val="20"/>
              </w:rPr>
              <w:t>FC: </w:t>
            </w:r>
            <w:r>
              <w:rPr>
                <w:spacing w:val="-5"/>
                <w:sz w:val="20"/>
              </w:rPr>
              <w:t>130</w:t>
            </w:r>
          </w:p>
        </w:tc>
        <w:tc>
          <w:tcPr>
            <w:tcW w:w="704" w:type="dxa"/>
            <w:gridSpan w:val="3"/>
            <w:shd w:val="clear" w:color="auto" w:fill="FFF1CC"/>
          </w:tcPr>
          <w:p>
            <w:pPr>
              <w:pStyle w:val="TableParagraph"/>
              <w:ind w:left="111"/>
              <w:rPr>
                <w:sz w:val="20"/>
              </w:rPr>
            </w:pPr>
            <w:r>
              <w:rPr>
                <w:spacing w:val="-2"/>
                <w:sz w:val="20"/>
              </w:rPr>
              <w:t>T2-</w:t>
            </w:r>
            <w:r>
              <w:rPr>
                <w:spacing w:val="-12"/>
                <w:sz w:val="20"/>
              </w:rPr>
              <w:t>4</w:t>
            </w:r>
          </w:p>
        </w:tc>
        <w:tc>
          <w:tcPr>
            <w:tcW w:w="844" w:type="dxa"/>
            <w:gridSpan w:val="3"/>
            <w:shd w:val="clear" w:color="auto" w:fill="FFF1CC"/>
          </w:tcPr>
          <w:p>
            <w:pPr>
              <w:pStyle w:val="TableParagraph"/>
              <w:spacing w:line="230" w:lineRule="atLeast"/>
              <w:ind w:left="112" w:right="413"/>
              <w:rPr>
                <w:sz w:val="20"/>
              </w:rPr>
            </w:pPr>
            <w:r>
              <w:rPr>
                <w:spacing w:val="-4"/>
                <w:sz w:val="20"/>
              </w:rPr>
              <w:t>FC: </w:t>
            </w:r>
            <w:r>
              <w:rPr>
                <w:spacing w:val="-5"/>
                <w:sz w:val="20"/>
              </w:rPr>
              <w:t>113</w:t>
            </w:r>
          </w:p>
        </w:tc>
        <w:tc>
          <w:tcPr>
            <w:tcW w:w="700" w:type="dxa"/>
            <w:gridSpan w:val="3"/>
            <w:shd w:val="clear" w:color="auto" w:fill="FAE3D4"/>
          </w:tcPr>
          <w:p>
            <w:pPr>
              <w:pStyle w:val="TableParagraph"/>
              <w:ind w:left="115"/>
              <w:rPr>
                <w:sz w:val="20"/>
              </w:rPr>
            </w:pPr>
            <w:r>
              <w:rPr>
                <w:spacing w:val="-2"/>
                <w:sz w:val="20"/>
              </w:rPr>
              <w:t>T3-</w:t>
            </w:r>
            <w:r>
              <w:rPr>
                <w:spacing w:val="-12"/>
                <w:sz w:val="20"/>
              </w:rPr>
              <w:t>4</w:t>
            </w:r>
          </w:p>
        </w:tc>
        <w:tc>
          <w:tcPr>
            <w:tcW w:w="962" w:type="dxa"/>
            <w:gridSpan w:val="3"/>
            <w:shd w:val="clear" w:color="auto" w:fill="FAE3D4"/>
          </w:tcPr>
          <w:p>
            <w:pPr>
              <w:pStyle w:val="TableParagraph"/>
              <w:spacing w:line="230" w:lineRule="atLeast"/>
              <w:ind w:left="122" w:right="521"/>
              <w:rPr>
                <w:sz w:val="20"/>
              </w:rPr>
            </w:pPr>
            <w:r>
              <w:rPr>
                <w:spacing w:val="-4"/>
                <w:sz w:val="20"/>
              </w:rPr>
              <w:t>FC: </w:t>
            </w:r>
            <w:r>
              <w:rPr>
                <w:spacing w:val="-6"/>
                <w:sz w:val="20"/>
              </w:rPr>
              <w:t>99</w:t>
            </w:r>
          </w:p>
        </w:tc>
        <w:tc>
          <w:tcPr>
            <w:tcW w:w="1955" w:type="dxa"/>
            <w:gridSpan w:val="5"/>
            <w:vMerge/>
            <w:tcBorders>
              <w:top w:val="nil"/>
            </w:tcBorders>
          </w:tcPr>
          <w:p>
            <w:pPr>
              <w:rPr>
                <w:sz w:val="2"/>
                <w:szCs w:val="2"/>
              </w:rPr>
            </w:pPr>
          </w:p>
        </w:tc>
      </w:tr>
      <w:tr>
        <w:trPr>
          <w:trHeight w:val="460" w:hRule="atLeast"/>
        </w:trPr>
        <w:tc>
          <w:tcPr>
            <w:tcW w:w="1276" w:type="dxa"/>
            <w:gridSpan w:val="2"/>
            <w:shd w:val="clear" w:color="auto" w:fill="DEEAF6"/>
          </w:tcPr>
          <w:p>
            <w:pPr>
              <w:pStyle w:val="TableParagraph"/>
              <w:ind w:left="107"/>
              <w:rPr>
                <w:sz w:val="20"/>
              </w:rPr>
            </w:pPr>
            <w:r>
              <w:rPr>
                <w:spacing w:val="-2"/>
                <w:sz w:val="20"/>
              </w:rPr>
              <w:t>T0-</w:t>
            </w:r>
            <w:r>
              <w:rPr>
                <w:spacing w:val="-12"/>
                <w:sz w:val="20"/>
              </w:rPr>
              <w:t>1</w:t>
            </w:r>
          </w:p>
        </w:tc>
        <w:tc>
          <w:tcPr>
            <w:tcW w:w="1488" w:type="dxa"/>
            <w:gridSpan w:val="3"/>
            <w:shd w:val="clear" w:color="auto" w:fill="DEEAF6"/>
          </w:tcPr>
          <w:p>
            <w:pPr>
              <w:pStyle w:val="TableParagraph"/>
              <w:spacing w:line="230" w:lineRule="atLeast"/>
              <w:ind w:left="110" w:right="1059"/>
              <w:rPr>
                <w:sz w:val="20"/>
              </w:rPr>
            </w:pPr>
            <w:r>
              <w:rPr>
                <w:spacing w:val="-4"/>
                <w:sz w:val="20"/>
              </w:rPr>
              <w:t>FR: </w:t>
            </w:r>
            <w:r>
              <w:rPr>
                <w:spacing w:val="-6"/>
                <w:sz w:val="20"/>
              </w:rPr>
              <w:t>52</w:t>
            </w:r>
          </w:p>
        </w:tc>
        <w:tc>
          <w:tcPr>
            <w:tcW w:w="745" w:type="dxa"/>
            <w:gridSpan w:val="3"/>
            <w:shd w:val="clear" w:color="auto" w:fill="E1EED9"/>
          </w:tcPr>
          <w:p>
            <w:pPr>
              <w:pStyle w:val="TableParagraph"/>
              <w:ind w:left="109"/>
              <w:rPr>
                <w:sz w:val="20"/>
              </w:rPr>
            </w:pPr>
            <w:r>
              <w:rPr>
                <w:spacing w:val="-2"/>
                <w:sz w:val="20"/>
              </w:rPr>
              <w:t>T1-</w:t>
            </w:r>
            <w:r>
              <w:rPr>
                <w:spacing w:val="-12"/>
                <w:sz w:val="20"/>
              </w:rPr>
              <w:t>1</w:t>
            </w:r>
          </w:p>
        </w:tc>
        <w:tc>
          <w:tcPr>
            <w:tcW w:w="907" w:type="dxa"/>
            <w:gridSpan w:val="3"/>
            <w:shd w:val="clear" w:color="auto" w:fill="E1EED9"/>
          </w:tcPr>
          <w:p>
            <w:pPr>
              <w:pStyle w:val="TableParagraph"/>
              <w:spacing w:line="230" w:lineRule="atLeast"/>
              <w:ind w:left="110" w:right="478"/>
              <w:rPr>
                <w:sz w:val="20"/>
              </w:rPr>
            </w:pPr>
            <w:r>
              <w:rPr>
                <w:spacing w:val="-4"/>
                <w:sz w:val="20"/>
              </w:rPr>
              <w:t>FR: </w:t>
            </w:r>
            <w:r>
              <w:rPr>
                <w:spacing w:val="-6"/>
                <w:sz w:val="20"/>
              </w:rPr>
              <w:t>58</w:t>
            </w:r>
          </w:p>
        </w:tc>
        <w:tc>
          <w:tcPr>
            <w:tcW w:w="704" w:type="dxa"/>
            <w:gridSpan w:val="3"/>
            <w:shd w:val="clear" w:color="auto" w:fill="FFF1CC"/>
          </w:tcPr>
          <w:p>
            <w:pPr>
              <w:pStyle w:val="TableParagraph"/>
              <w:ind w:left="111"/>
              <w:rPr>
                <w:sz w:val="20"/>
              </w:rPr>
            </w:pPr>
            <w:r>
              <w:rPr>
                <w:spacing w:val="-2"/>
                <w:sz w:val="20"/>
              </w:rPr>
              <w:t>T2-</w:t>
            </w:r>
            <w:r>
              <w:rPr>
                <w:spacing w:val="-12"/>
                <w:sz w:val="20"/>
              </w:rPr>
              <w:t>1</w:t>
            </w:r>
          </w:p>
        </w:tc>
        <w:tc>
          <w:tcPr>
            <w:tcW w:w="844" w:type="dxa"/>
            <w:gridSpan w:val="3"/>
            <w:shd w:val="clear" w:color="auto" w:fill="FFF1CC"/>
          </w:tcPr>
          <w:p>
            <w:pPr>
              <w:pStyle w:val="TableParagraph"/>
              <w:spacing w:line="230" w:lineRule="atLeast"/>
              <w:ind w:left="112" w:right="413"/>
              <w:rPr>
                <w:sz w:val="20"/>
              </w:rPr>
            </w:pPr>
            <w:r>
              <w:rPr>
                <w:spacing w:val="-4"/>
                <w:sz w:val="20"/>
              </w:rPr>
              <w:t>FR: </w:t>
            </w:r>
            <w:r>
              <w:rPr>
                <w:spacing w:val="-6"/>
                <w:sz w:val="20"/>
              </w:rPr>
              <w:t>34</w:t>
            </w:r>
          </w:p>
        </w:tc>
        <w:tc>
          <w:tcPr>
            <w:tcW w:w="700" w:type="dxa"/>
            <w:gridSpan w:val="3"/>
            <w:shd w:val="clear" w:color="auto" w:fill="FAE3D4"/>
          </w:tcPr>
          <w:p>
            <w:pPr>
              <w:pStyle w:val="TableParagraph"/>
              <w:ind w:left="115"/>
              <w:rPr>
                <w:sz w:val="20"/>
              </w:rPr>
            </w:pPr>
            <w:r>
              <w:rPr>
                <w:spacing w:val="-2"/>
                <w:sz w:val="20"/>
              </w:rPr>
              <w:t>T3-</w:t>
            </w:r>
            <w:r>
              <w:rPr>
                <w:spacing w:val="-12"/>
                <w:sz w:val="20"/>
              </w:rPr>
              <w:t>1</w:t>
            </w:r>
          </w:p>
        </w:tc>
        <w:tc>
          <w:tcPr>
            <w:tcW w:w="962" w:type="dxa"/>
            <w:gridSpan w:val="3"/>
            <w:shd w:val="clear" w:color="auto" w:fill="FAE3D4"/>
          </w:tcPr>
          <w:p>
            <w:pPr>
              <w:pStyle w:val="TableParagraph"/>
              <w:spacing w:line="230" w:lineRule="atLeast"/>
              <w:ind w:left="122" w:right="521"/>
              <w:rPr>
                <w:sz w:val="20"/>
              </w:rPr>
            </w:pPr>
            <w:r>
              <w:rPr>
                <w:spacing w:val="-4"/>
                <w:sz w:val="20"/>
              </w:rPr>
              <w:t>FR: </w:t>
            </w:r>
            <w:r>
              <w:rPr>
                <w:spacing w:val="-6"/>
                <w:sz w:val="20"/>
              </w:rPr>
              <w:t>26</w:t>
            </w:r>
          </w:p>
        </w:tc>
        <w:tc>
          <w:tcPr>
            <w:tcW w:w="1955" w:type="dxa"/>
            <w:gridSpan w:val="5"/>
            <w:vMerge/>
            <w:tcBorders>
              <w:top w:val="nil"/>
            </w:tcBorders>
          </w:tcPr>
          <w:p>
            <w:pPr>
              <w:rPr>
                <w:sz w:val="2"/>
                <w:szCs w:val="2"/>
              </w:rPr>
            </w:pPr>
          </w:p>
        </w:tc>
      </w:tr>
      <w:tr>
        <w:trPr>
          <w:trHeight w:val="457" w:hRule="atLeast"/>
        </w:trPr>
        <w:tc>
          <w:tcPr>
            <w:tcW w:w="1276" w:type="dxa"/>
            <w:gridSpan w:val="2"/>
            <w:shd w:val="clear" w:color="auto" w:fill="DEEAF6"/>
          </w:tcPr>
          <w:p>
            <w:pPr>
              <w:pStyle w:val="TableParagraph"/>
              <w:ind w:left="107"/>
              <w:rPr>
                <w:sz w:val="20"/>
              </w:rPr>
            </w:pPr>
            <w:r>
              <w:rPr>
                <w:spacing w:val="-2"/>
                <w:sz w:val="20"/>
              </w:rPr>
              <w:t>T0-</w:t>
            </w:r>
            <w:r>
              <w:rPr>
                <w:spacing w:val="-12"/>
                <w:sz w:val="20"/>
              </w:rPr>
              <w:t>2</w:t>
            </w:r>
          </w:p>
        </w:tc>
        <w:tc>
          <w:tcPr>
            <w:tcW w:w="1488" w:type="dxa"/>
            <w:gridSpan w:val="3"/>
            <w:shd w:val="clear" w:color="auto" w:fill="DEEAF6"/>
          </w:tcPr>
          <w:p>
            <w:pPr>
              <w:pStyle w:val="TableParagraph"/>
              <w:spacing w:line="228" w:lineRule="exact"/>
              <w:ind w:left="110" w:right="1059"/>
              <w:rPr>
                <w:sz w:val="20"/>
              </w:rPr>
            </w:pPr>
            <w:r>
              <w:rPr>
                <w:spacing w:val="-4"/>
                <w:sz w:val="20"/>
              </w:rPr>
              <w:t>FR: </w:t>
            </w:r>
            <w:r>
              <w:rPr>
                <w:spacing w:val="-6"/>
                <w:sz w:val="20"/>
              </w:rPr>
              <w:t>38</w:t>
            </w:r>
          </w:p>
        </w:tc>
        <w:tc>
          <w:tcPr>
            <w:tcW w:w="745" w:type="dxa"/>
            <w:gridSpan w:val="3"/>
            <w:shd w:val="clear" w:color="auto" w:fill="E1EED9"/>
          </w:tcPr>
          <w:p>
            <w:pPr>
              <w:pStyle w:val="TableParagraph"/>
              <w:ind w:left="109"/>
              <w:rPr>
                <w:sz w:val="20"/>
              </w:rPr>
            </w:pPr>
            <w:r>
              <w:rPr>
                <w:spacing w:val="-2"/>
                <w:sz w:val="20"/>
              </w:rPr>
              <w:t>T1-</w:t>
            </w:r>
            <w:r>
              <w:rPr>
                <w:spacing w:val="-12"/>
                <w:sz w:val="20"/>
              </w:rPr>
              <w:t>2</w:t>
            </w:r>
          </w:p>
        </w:tc>
        <w:tc>
          <w:tcPr>
            <w:tcW w:w="907" w:type="dxa"/>
            <w:gridSpan w:val="3"/>
            <w:shd w:val="clear" w:color="auto" w:fill="E1EED9"/>
          </w:tcPr>
          <w:p>
            <w:pPr>
              <w:pStyle w:val="TableParagraph"/>
              <w:spacing w:line="228" w:lineRule="exact"/>
              <w:ind w:left="110" w:right="478"/>
              <w:rPr>
                <w:sz w:val="20"/>
              </w:rPr>
            </w:pPr>
            <w:r>
              <w:rPr>
                <w:spacing w:val="-4"/>
                <w:sz w:val="20"/>
              </w:rPr>
              <w:t>FR: </w:t>
            </w:r>
            <w:r>
              <w:rPr>
                <w:spacing w:val="-6"/>
                <w:sz w:val="20"/>
              </w:rPr>
              <w:t>60</w:t>
            </w:r>
          </w:p>
        </w:tc>
        <w:tc>
          <w:tcPr>
            <w:tcW w:w="704" w:type="dxa"/>
            <w:gridSpan w:val="3"/>
            <w:shd w:val="clear" w:color="auto" w:fill="FFF1CC"/>
          </w:tcPr>
          <w:p>
            <w:pPr>
              <w:pStyle w:val="TableParagraph"/>
              <w:ind w:left="111"/>
              <w:rPr>
                <w:sz w:val="20"/>
              </w:rPr>
            </w:pPr>
            <w:r>
              <w:rPr>
                <w:spacing w:val="-2"/>
                <w:sz w:val="20"/>
              </w:rPr>
              <w:t>T2-</w:t>
            </w:r>
            <w:r>
              <w:rPr>
                <w:spacing w:val="-12"/>
                <w:sz w:val="20"/>
              </w:rPr>
              <w:t>2</w:t>
            </w:r>
          </w:p>
        </w:tc>
        <w:tc>
          <w:tcPr>
            <w:tcW w:w="844" w:type="dxa"/>
            <w:gridSpan w:val="3"/>
            <w:shd w:val="clear" w:color="auto" w:fill="FFF1CC"/>
          </w:tcPr>
          <w:p>
            <w:pPr>
              <w:pStyle w:val="TableParagraph"/>
              <w:spacing w:line="228" w:lineRule="exact"/>
              <w:ind w:left="112" w:right="413"/>
              <w:rPr>
                <w:sz w:val="20"/>
              </w:rPr>
            </w:pPr>
            <w:r>
              <w:rPr>
                <w:spacing w:val="-4"/>
                <w:sz w:val="20"/>
              </w:rPr>
              <w:t>FR: </w:t>
            </w:r>
            <w:r>
              <w:rPr>
                <w:spacing w:val="-6"/>
                <w:sz w:val="20"/>
              </w:rPr>
              <w:t>36</w:t>
            </w:r>
          </w:p>
        </w:tc>
        <w:tc>
          <w:tcPr>
            <w:tcW w:w="700" w:type="dxa"/>
            <w:gridSpan w:val="3"/>
            <w:shd w:val="clear" w:color="auto" w:fill="FAE3D4"/>
          </w:tcPr>
          <w:p>
            <w:pPr>
              <w:pStyle w:val="TableParagraph"/>
              <w:ind w:left="115"/>
              <w:rPr>
                <w:sz w:val="20"/>
              </w:rPr>
            </w:pPr>
            <w:r>
              <w:rPr>
                <w:spacing w:val="-2"/>
                <w:sz w:val="20"/>
              </w:rPr>
              <w:t>T3-</w:t>
            </w:r>
            <w:r>
              <w:rPr>
                <w:spacing w:val="-12"/>
                <w:sz w:val="20"/>
              </w:rPr>
              <w:t>2</w:t>
            </w:r>
          </w:p>
        </w:tc>
        <w:tc>
          <w:tcPr>
            <w:tcW w:w="962" w:type="dxa"/>
            <w:gridSpan w:val="3"/>
            <w:shd w:val="clear" w:color="auto" w:fill="FAE3D4"/>
          </w:tcPr>
          <w:p>
            <w:pPr>
              <w:pStyle w:val="TableParagraph"/>
              <w:spacing w:line="228" w:lineRule="exact"/>
              <w:ind w:left="122" w:right="521"/>
              <w:rPr>
                <w:sz w:val="20"/>
              </w:rPr>
            </w:pPr>
            <w:r>
              <w:rPr>
                <w:spacing w:val="-4"/>
                <w:sz w:val="20"/>
              </w:rPr>
              <w:t>FR: </w:t>
            </w:r>
            <w:r>
              <w:rPr>
                <w:spacing w:val="-6"/>
                <w:sz w:val="20"/>
              </w:rPr>
              <w:t>28</w:t>
            </w:r>
          </w:p>
        </w:tc>
        <w:tc>
          <w:tcPr>
            <w:tcW w:w="1955" w:type="dxa"/>
            <w:gridSpan w:val="5"/>
            <w:vMerge/>
            <w:tcBorders>
              <w:top w:val="nil"/>
            </w:tcBorders>
          </w:tcPr>
          <w:p>
            <w:pPr>
              <w:rPr>
                <w:sz w:val="2"/>
                <w:szCs w:val="2"/>
              </w:rPr>
            </w:pPr>
          </w:p>
        </w:tc>
      </w:tr>
      <w:tr>
        <w:trPr>
          <w:trHeight w:val="460" w:hRule="atLeast"/>
        </w:trPr>
        <w:tc>
          <w:tcPr>
            <w:tcW w:w="1276" w:type="dxa"/>
            <w:gridSpan w:val="2"/>
            <w:shd w:val="clear" w:color="auto" w:fill="DEEAF6"/>
          </w:tcPr>
          <w:p>
            <w:pPr>
              <w:pStyle w:val="TableParagraph"/>
              <w:ind w:left="107"/>
              <w:rPr>
                <w:sz w:val="20"/>
              </w:rPr>
            </w:pPr>
            <w:r>
              <w:rPr>
                <w:spacing w:val="-2"/>
                <w:sz w:val="20"/>
              </w:rPr>
              <w:t>T0-</w:t>
            </w:r>
            <w:r>
              <w:rPr>
                <w:spacing w:val="-12"/>
                <w:sz w:val="20"/>
              </w:rPr>
              <w:t>3</w:t>
            </w:r>
          </w:p>
        </w:tc>
        <w:tc>
          <w:tcPr>
            <w:tcW w:w="1488" w:type="dxa"/>
            <w:gridSpan w:val="3"/>
            <w:shd w:val="clear" w:color="auto" w:fill="DEEAF6"/>
          </w:tcPr>
          <w:p>
            <w:pPr>
              <w:pStyle w:val="TableParagraph"/>
              <w:spacing w:line="230" w:lineRule="atLeast"/>
              <w:ind w:left="110" w:right="1059"/>
              <w:rPr>
                <w:sz w:val="20"/>
              </w:rPr>
            </w:pPr>
            <w:r>
              <w:rPr>
                <w:spacing w:val="-4"/>
                <w:sz w:val="20"/>
              </w:rPr>
              <w:t>FR: </w:t>
            </w:r>
            <w:r>
              <w:rPr>
                <w:spacing w:val="-6"/>
                <w:sz w:val="20"/>
              </w:rPr>
              <w:t>40</w:t>
            </w:r>
          </w:p>
        </w:tc>
        <w:tc>
          <w:tcPr>
            <w:tcW w:w="745" w:type="dxa"/>
            <w:gridSpan w:val="3"/>
            <w:shd w:val="clear" w:color="auto" w:fill="E1EED9"/>
          </w:tcPr>
          <w:p>
            <w:pPr>
              <w:pStyle w:val="TableParagraph"/>
              <w:ind w:left="109"/>
              <w:rPr>
                <w:sz w:val="20"/>
              </w:rPr>
            </w:pPr>
            <w:r>
              <w:rPr>
                <w:spacing w:val="-2"/>
                <w:sz w:val="20"/>
              </w:rPr>
              <w:t>T1-</w:t>
            </w:r>
            <w:r>
              <w:rPr>
                <w:spacing w:val="-12"/>
                <w:sz w:val="20"/>
              </w:rPr>
              <w:t>3</w:t>
            </w:r>
          </w:p>
        </w:tc>
        <w:tc>
          <w:tcPr>
            <w:tcW w:w="907" w:type="dxa"/>
            <w:gridSpan w:val="3"/>
            <w:shd w:val="clear" w:color="auto" w:fill="E1EED9"/>
          </w:tcPr>
          <w:p>
            <w:pPr>
              <w:pStyle w:val="TableParagraph"/>
              <w:spacing w:line="230" w:lineRule="atLeast"/>
              <w:ind w:left="110" w:right="478"/>
              <w:rPr>
                <w:sz w:val="20"/>
              </w:rPr>
            </w:pPr>
            <w:r>
              <w:rPr>
                <w:spacing w:val="-4"/>
                <w:sz w:val="20"/>
              </w:rPr>
              <w:t>FR: </w:t>
            </w:r>
            <w:r>
              <w:rPr>
                <w:spacing w:val="-6"/>
                <w:sz w:val="20"/>
              </w:rPr>
              <w:t>56</w:t>
            </w:r>
          </w:p>
        </w:tc>
        <w:tc>
          <w:tcPr>
            <w:tcW w:w="704" w:type="dxa"/>
            <w:gridSpan w:val="3"/>
            <w:shd w:val="clear" w:color="auto" w:fill="FFF1CC"/>
          </w:tcPr>
          <w:p>
            <w:pPr>
              <w:pStyle w:val="TableParagraph"/>
              <w:ind w:left="111"/>
              <w:rPr>
                <w:sz w:val="20"/>
              </w:rPr>
            </w:pPr>
            <w:r>
              <w:rPr>
                <w:spacing w:val="-2"/>
                <w:sz w:val="20"/>
              </w:rPr>
              <w:t>T2-</w:t>
            </w:r>
            <w:r>
              <w:rPr>
                <w:spacing w:val="-12"/>
                <w:sz w:val="20"/>
              </w:rPr>
              <w:t>3</w:t>
            </w:r>
          </w:p>
        </w:tc>
        <w:tc>
          <w:tcPr>
            <w:tcW w:w="844" w:type="dxa"/>
            <w:gridSpan w:val="3"/>
            <w:shd w:val="clear" w:color="auto" w:fill="FFF1CC"/>
          </w:tcPr>
          <w:p>
            <w:pPr>
              <w:pStyle w:val="TableParagraph"/>
              <w:spacing w:line="230" w:lineRule="atLeast"/>
              <w:ind w:left="112" w:right="413"/>
              <w:rPr>
                <w:sz w:val="20"/>
              </w:rPr>
            </w:pPr>
            <w:r>
              <w:rPr>
                <w:spacing w:val="-4"/>
                <w:sz w:val="20"/>
              </w:rPr>
              <w:t>FR: </w:t>
            </w:r>
            <w:r>
              <w:rPr>
                <w:spacing w:val="-6"/>
                <w:sz w:val="20"/>
              </w:rPr>
              <w:t>33</w:t>
            </w:r>
          </w:p>
        </w:tc>
        <w:tc>
          <w:tcPr>
            <w:tcW w:w="700" w:type="dxa"/>
            <w:gridSpan w:val="3"/>
            <w:shd w:val="clear" w:color="auto" w:fill="FAE3D4"/>
          </w:tcPr>
          <w:p>
            <w:pPr>
              <w:pStyle w:val="TableParagraph"/>
              <w:ind w:left="115"/>
              <w:rPr>
                <w:sz w:val="20"/>
              </w:rPr>
            </w:pPr>
            <w:r>
              <w:rPr>
                <w:spacing w:val="-2"/>
                <w:sz w:val="20"/>
              </w:rPr>
              <w:t>T3-</w:t>
            </w:r>
            <w:r>
              <w:rPr>
                <w:spacing w:val="-12"/>
                <w:sz w:val="20"/>
              </w:rPr>
              <w:t>3</w:t>
            </w:r>
          </w:p>
        </w:tc>
        <w:tc>
          <w:tcPr>
            <w:tcW w:w="962" w:type="dxa"/>
            <w:gridSpan w:val="3"/>
            <w:shd w:val="clear" w:color="auto" w:fill="FAE3D4"/>
          </w:tcPr>
          <w:p>
            <w:pPr>
              <w:pStyle w:val="TableParagraph"/>
              <w:spacing w:line="230" w:lineRule="atLeast"/>
              <w:ind w:left="122" w:right="521"/>
              <w:rPr>
                <w:sz w:val="20"/>
              </w:rPr>
            </w:pPr>
            <w:r>
              <w:rPr>
                <w:spacing w:val="-4"/>
                <w:sz w:val="20"/>
              </w:rPr>
              <w:t>FR: </w:t>
            </w:r>
            <w:r>
              <w:rPr>
                <w:spacing w:val="-6"/>
                <w:sz w:val="20"/>
              </w:rPr>
              <w:t>27</w:t>
            </w:r>
          </w:p>
        </w:tc>
        <w:tc>
          <w:tcPr>
            <w:tcW w:w="1955" w:type="dxa"/>
            <w:gridSpan w:val="5"/>
            <w:vMerge/>
            <w:tcBorders>
              <w:top w:val="nil"/>
            </w:tcBorders>
          </w:tcPr>
          <w:p>
            <w:pPr>
              <w:rPr>
                <w:sz w:val="2"/>
                <w:szCs w:val="2"/>
              </w:rPr>
            </w:pPr>
          </w:p>
        </w:tc>
      </w:tr>
      <w:tr>
        <w:trPr>
          <w:trHeight w:val="460" w:hRule="atLeast"/>
        </w:trPr>
        <w:tc>
          <w:tcPr>
            <w:tcW w:w="1276" w:type="dxa"/>
            <w:gridSpan w:val="2"/>
            <w:shd w:val="clear" w:color="auto" w:fill="DEEAF6"/>
          </w:tcPr>
          <w:p>
            <w:pPr>
              <w:pStyle w:val="TableParagraph"/>
              <w:ind w:left="107"/>
              <w:rPr>
                <w:sz w:val="20"/>
              </w:rPr>
            </w:pPr>
            <w:r>
              <w:rPr>
                <w:spacing w:val="-2"/>
                <w:sz w:val="20"/>
              </w:rPr>
              <w:t>T0-</w:t>
            </w:r>
            <w:r>
              <w:rPr>
                <w:spacing w:val="-12"/>
                <w:sz w:val="20"/>
              </w:rPr>
              <w:t>4</w:t>
            </w:r>
          </w:p>
        </w:tc>
        <w:tc>
          <w:tcPr>
            <w:tcW w:w="1488" w:type="dxa"/>
            <w:gridSpan w:val="3"/>
            <w:shd w:val="clear" w:color="auto" w:fill="DEEAF6"/>
          </w:tcPr>
          <w:p>
            <w:pPr>
              <w:pStyle w:val="TableParagraph"/>
              <w:spacing w:line="230" w:lineRule="exact"/>
              <w:ind w:left="110" w:right="1059"/>
              <w:rPr>
                <w:sz w:val="20"/>
              </w:rPr>
            </w:pPr>
            <w:r>
              <w:rPr>
                <w:spacing w:val="-4"/>
                <w:sz w:val="20"/>
              </w:rPr>
              <w:t>FR: </w:t>
            </w:r>
            <w:r>
              <w:rPr>
                <w:spacing w:val="-6"/>
                <w:sz w:val="20"/>
              </w:rPr>
              <w:t>38</w:t>
            </w:r>
          </w:p>
        </w:tc>
        <w:tc>
          <w:tcPr>
            <w:tcW w:w="745" w:type="dxa"/>
            <w:gridSpan w:val="3"/>
            <w:shd w:val="clear" w:color="auto" w:fill="E1EED9"/>
          </w:tcPr>
          <w:p>
            <w:pPr>
              <w:pStyle w:val="TableParagraph"/>
              <w:ind w:left="109"/>
              <w:rPr>
                <w:sz w:val="20"/>
              </w:rPr>
            </w:pPr>
            <w:r>
              <w:rPr>
                <w:spacing w:val="-2"/>
                <w:sz w:val="20"/>
              </w:rPr>
              <w:t>T1-</w:t>
            </w:r>
            <w:r>
              <w:rPr>
                <w:spacing w:val="-12"/>
                <w:sz w:val="20"/>
              </w:rPr>
              <w:t>4</w:t>
            </w:r>
          </w:p>
        </w:tc>
        <w:tc>
          <w:tcPr>
            <w:tcW w:w="907" w:type="dxa"/>
            <w:gridSpan w:val="3"/>
            <w:shd w:val="clear" w:color="auto" w:fill="E1EED9"/>
          </w:tcPr>
          <w:p>
            <w:pPr>
              <w:pStyle w:val="TableParagraph"/>
              <w:spacing w:line="230" w:lineRule="exact"/>
              <w:ind w:left="110" w:right="478"/>
              <w:rPr>
                <w:sz w:val="20"/>
              </w:rPr>
            </w:pPr>
            <w:r>
              <w:rPr>
                <w:spacing w:val="-4"/>
                <w:sz w:val="20"/>
              </w:rPr>
              <w:t>FR: </w:t>
            </w:r>
            <w:r>
              <w:rPr>
                <w:spacing w:val="-6"/>
                <w:sz w:val="20"/>
              </w:rPr>
              <w:t>59</w:t>
            </w:r>
          </w:p>
        </w:tc>
        <w:tc>
          <w:tcPr>
            <w:tcW w:w="704" w:type="dxa"/>
            <w:gridSpan w:val="3"/>
            <w:shd w:val="clear" w:color="auto" w:fill="FFF1CC"/>
          </w:tcPr>
          <w:p>
            <w:pPr>
              <w:pStyle w:val="TableParagraph"/>
              <w:ind w:left="111"/>
              <w:rPr>
                <w:sz w:val="20"/>
              </w:rPr>
            </w:pPr>
            <w:r>
              <w:rPr>
                <w:spacing w:val="-2"/>
                <w:sz w:val="20"/>
              </w:rPr>
              <w:t>T2-</w:t>
            </w:r>
            <w:r>
              <w:rPr>
                <w:spacing w:val="-12"/>
                <w:sz w:val="20"/>
              </w:rPr>
              <w:t>4</w:t>
            </w:r>
          </w:p>
        </w:tc>
        <w:tc>
          <w:tcPr>
            <w:tcW w:w="844" w:type="dxa"/>
            <w:gridSpan w:val="3"/>
            <w:shd w:val="clear" w:color="auto" w:fill="FFF1CC"/>
          </w:tcPr>
          <w:p>
            <w:pPr>
              <w:pStyle w:val="TableParagraph"/>
              <w:spacing w:line="230" w:lineRule="exact"/>
              <w:ind w:left="112" w:right="413"/>
              <w:rPr>
                <w:sz w:val="20"/>
              </w:rPr>
            </w:pPr>
            <w:r>
              <w:rPr>
                <w:spacing w:val="-4"/>
                <w:sz w:val="20"/>
              </w:rPr>
              <w:t>FR: </w:t>
            </w:r>
            <w:r>
              <w:rPr>
                <w:spacing w:val="-6"/>
                <w:sz w:val="20"/>
              </w:rPr>
              <w:t>35</w:t>
            </w:r>
          </w:p>
        </w:tc>
        <w:tc>
          <w:tcPr>
            <w:tcW w:w="700" w:type="dxa"/>
            <w:gridSpan w:val="3"/>
            <w:shd w:val="clear" w:color="auto" w:fill="FAE3D4"/>
          </w:tcPr>
          <w:p>
            <w:pPr>
              <w:pStyle w:val="TableParagraph"/>
              <w:ind w:left="115"/>
              <w:rPr>
                <w:sz w:val="20"/>
              </w:rPr>
            </w:pPr>
            <w:r>
              <w:rPr>
                <w:spacing w:val="-2"/>
                <w:sz w:val="20"/>
              </w:rPr>
              <w:t>T3-</w:t>
            </w:r>
            <w:r>
              <w:rPr>
                <w:spacing w:val="-12"/>
                <w:sz w:val="20"/>
              </w:rPr>
              <w:t>4</w:t>
            </w:r>
          </w:p>
        </w:tc>
        <w:tc>
          <w:tcPr>
            <w:tcW w:w="962" w:type="dxa"/>
            <w:gridSpan w:val="3"/>
            <w:shd w:val="clear" w:color="auto" w:fill="FAE3D4"/>
          </w:tcPr>
          <w:p>
            <w:pPr>
              <w:pStyle w:val="TableParagraph"/>
              <w:spacing w:line="230" w:lineRule="exact"/>
              <w:ind w:left="122" w:right="521"/>
              <w:rPr>
                <w:sz w:val="20"/>
              </w:rPr>
            </w:pPr>
            <w:r>
              <w:rPr>
                <w:spacing w:val="-4"/>
                <w:sz w:val="20"/>
              </w:rPr>
              <w:t>FR: </w:t>
            </w:r>
            <w:r>
              <w:rPr>
                <w:spacing w:val="-6"/>
                <w:sz w:val="20"/>
              </w:rPr>
              <w:t>26</w:t>
            </w:r>
          </w:p>
        </w:tc>
        <w:tc>
          <w:tcPr>
            <w:tcW w:w="1955" w:type="dxa"/>
            <w:gridSpan w:val="5"/>
            <w:vMerge/>
            <w:tcBorders>
              <w:top w:val="nil"/>
            </w:tcBorders>
          </w:tcPr>
          <w:p>
            <w:pPr>
              <w:rPr>
                <w:sz w:val="2"/>
                <w:szCs w:val="2"/>
              </w:rPr>
            </w:pPr>
          </w:p>
        </w:tc>
      </w:tr>
      <w:tr>
        <w:trPr>
          <w:trHeight w:val="230" w:hRule="atLeast"/>
        </w:trPr>
        <w:tc>
          <w:tcPr>
            <w:tcW w:w="9581" w:type="dxa"/>
            <w:gridSpan w:val="28"/>
          </w:tcPr>
          <w:p>
            <w:pPr>
              <w:pStyle w:val="TableParagraph"/>
              <w:spacing w:line="210" w:lineRule="exact"/>
              <w:ind w:left="28" w:right="7"/>
              <w:jc w:val="center"/>
              <w:rPr>
                <w:b/>
                <w:sz w:val="20"/>
              </w:rPr>
            </w:pPr>
            <w:r>
              <w:rPr>
                <w:b/>
                <w:sz w:val="20"/>
              </w:rPr>
              <w:t>Consumo</w:t>
            </w:r>
            <w:r>
              <w:rPr>
                <w:b/>
                <w:spacing w:val="-6"/>
                <w:sz w:val="20"/>
              </w:rPr>
              <w:t> </w:t>
            </w:r>
            <w:r>
              <w:rPr>
                <w:b/>
                <w:sz w:val="20"/>
              </w:rPr>
              <w:t>alimenticio</w:t>
            </w:r>
            <w:r>
              <w:rPr>
                <w:b/>
                <w:spacing w:val="-6"/>
                <w:sz w:val="20"/>
              </w:rPr>
              <w:t> </w:t>
            </w:r>
            <w:r>
              <w:rPr>
                <w:b/>
                <w:sz w:val="20"/>
              </w:rPr>
              <w:t>(Días)</w:t>
            </w:r>
            <w:r>
              <w:rPr>
                <w:b/>
                <w:spacing w:val="-7"/>
                <w:sz w:val="20"/>
              </w:rPr>
              <w:t> </w:t>
            </w:r>
            <w:r>
              <w:rPr>
                <w:b/>
                <w:sz w:val="20"/>
              </w:rPr>
              <w:t>promedio</w:t>
            </w:r>
            <w:r>
              <w:rPr>
                <w:b/>
                <w:spacing w:val="-6"/>
                <w:sz w:val="20"/>
              </w:rPr>
              <w:t> </w:t>
            </w:r>
            <w:r>
              <w:rPr>
                <w:b/>
                <w:sz w:val="20"/>
              </w:rPr>
              <w:t>por</w:t>
            </w:r>
            <w:r>
              <w:rPr>
                <w:b/>
                <w:spacing w:val="-7"/>
                <w:sz w:val="20"/>
              </w:rPr>
              <w:t> </w:t>
            </w:r>
            <w:r>
              <w:rPr>
                <w:b/>
                <w:sz w:val="20"/>
              </w:rPr>
              <w:t>grupo</w:t>
            </w:r>
            <w:r>
              <w:rPr>
                <w:b/>
                <w:spacing w:val="-6"/>
                <w:sz w:val="20"/>
              </w:rPr>
              <w:t> </w:t>
            </w:r>
            <w:r>
              <w:rPr>
                <w:b/>
                <w:spacing w:val="-2"/>
                <w:sz w:val="20"/>
              </w:rPr>
              <w:t>experimental</w:t>
            </w:r>
          </w:p>
        </w:tc>
      </w:tr>
      <w:tr>
        <w:trPr>
          <w:trHeight w:val="273" w:hRule="atLeast"/>
        </w:trPr>
        <w:tc>
          <w:tcPr>
            <w:tcW w:w="710" w:type="dxa"/>
          </w:tcPr>
          <w:p>
            <w:pPr>
              <w:pStyle w:val="TableParagraph"/>
              <w:spacing w:line="207" w:lineRule="exact"/>
              <w:ind w:left="107"/>
              <w:rPr>
                <w:sz w:val="18"/>
              </w:rPr>
            </w:pPr>
            <w:r>
              <w:rPr>
                <w:spacing w:val="-4"/>
                <w:sz w:val="18"/>
              </w:rPr>
              <w:t>Día:</w:t>
            </w:r>
          </w:p>
        </w:tc>
        <w:tc>
          <w:tcPr>
            <w:tcW w:w="566" w:type="dxa"/>
          </w:tcPr>
          <w:p>
            <w:pPr>
              <w:pStyle w:val="TableParagraph"/>
              <w:spacing w:line="207" w:lineRule="exact"/>
              <w:ind w:left="108"/>
              <w:rPr>
                <w:sz w:val="18"/>
              </w:rPr>
            </w:pPr>
            <w:r>
              <w:rPr>
                <w:spacing w:val="-10"/>
                <w:sz w:val="18"/>
              </w:rPr>
              <w:t>1</w:t>
            </w:r>
          </w:p>
        </w:tc>
        <w:tc>
          <w:tcPr>
            <w:tcW w:w="710" w:type="dxa"/>
          </w:tcPr>
          <w:p>
            <w:pPr>
              <w:pStyle w:val="TableParagraph"/>
              <w:spacing w:line="207" w:lineRule="exact"/>
              <w:ind w:left="110"/>
              <w:rPr>
                <w:sz w:val="18"/>
              </w:rPr>
            </w:pPr>
            <w:r>
              <w:rPr>
                <w:spacing w:val="-10"/>
                <w:sz w:val="18"/>
              </w:rPr>
              <w:t>2</w:t>
            </w:r>
          </w:p>
        </w:tc>
        <w:tc>
          <w:tcPr>
            <w:tcW w:w="567" w:type="dxa"/>
          </w:tcPr>
          <w:p>
            <w:pPr>
              <w:pStyle w:val="TableParagraph"/>
              <w:spacing w:line="207" w:lineRule="exact"/>
              <w:ind w:left="109"/>
              <w:rPr>
                <w:sz w:val="18"/>
              </w:rPr>
            </w:pPr>
            <w:r>
              <w:rPr>
                <w:spacing w:val="-10"/>
                <w:sz w:val="18"/>
              </w:rPr>
              <w:t>3</w:t>
            </w:r>
          </w:p>
        </w:tc>
        <w:tc>
          <w:tcPr>
            <w:tcW w:w="566" w:type="dxa"/>
            <w:gridSpan w:val="2"/>
          </w:tcPr>
          <w:p>
            <w:pPr>
              <w:pStyle w:val="TableParagraph"/>
              <w:spacing w:line="207" w:lineRule="exact"/>
              <w:ind w:left="108"/>
              <w:rPr>
                <w:sz w:val="18"/>
              </w:rPr>
            </w:pPr>
            <w:r>
              <w:rPr>
                <w:spacing w:val="-10"/>
                <w:sz w:val="18"/>
              </w:rPr>
              <w:t>4</w:t>
            </w:r>
          </w:p>
        </w:tc>
        <w:tc>
          <w:tcPr>
            <w:tcW w:w="309" w:type="dxa"/>
          </w:tcPr>
          <w:p>
            <w:pPr>
              <w:pStyle w:val="TableParagraph"/>
              <w:spacing w:line="207" w:lineRule="exact"/>
              <w:ind w:left="19" w:right="10"/>
              <w:jc w:val="center"/>
              <w:rPr>
                <w:sz w:val="18"/>
              </w:rPr>
            </w:pPr>
            <w:r>
              <w:rPr>
                <w:spacing w:val="-10"/>
                <w:sz w:val="18"/>
              </w:rPr>
              <w:t>5</w:t>
            </w:r>
          </w:p>
        </w:tc>
        <w:tc>
          <w:tcPr>
            <w:tcW w:w="395" w:type="dxa"/>
            <w:gridSpan w:val="2"/>
          </w:tcPr>
          <w:p>
            <w:pPr>
              <w:pStyle w:val="TableParagraph"/>
              <w:spacing w:line="207" w:lineRule="exact"/>
              <w:ind w:left="112"/>
              <w:rPr>
                <w:sz w:val="18"/>
              </w:rPr>
            </w:pPr>
            <w:r>
              <w:rPr>
                <w:spacing w:val="-10"/>
                <w:sz w:val="18"/>
              </w:rPr>
              <w:t>6</w:t>
            </w:r>
          </w:p>
        </w:tc>
        <w:tc>
          <w:tcPr>
            <w:tcW w:w="324" w:type="dxa"/>
          </w:tcPr>
          <w:p>
            <w:pPr>
              <w:pStyle w:val="TableParagraph"/>
              <w:spacing w:line="207" w:lineRule="exact"/>
              <w:ind w:left="7" w:right="7"/>
              <w:jc w:val="center"/>
              <w:rPr>
                <w:sz w:val="18"/>
              </w:rPr>
            </w:pPr>
            <w:r>
              <w:rPr>
                <w:spacing w:val="-10"/>
                <w:sz w:val="18"/>
              </w:rPr>
              <w:t>7</w:t>
            </w:r>
          </w:p>
        </w:tc>
        <w:tc>
          <w:tcPr>
            <w:tcW w:w="360" w:type="dxa"/>
            <w:gridSpan w:val="2"/>
          </w:tcPr>
          <w:p>
            <w:pPr>
              <w:pStyle w:val="TableParagraph"/>
              <w:spacing w:line="207" w:lineRule="exact"/>
              <w:ind w:left="113"/>
              <w:rPr>
                <w:sz w:val="18"/>
              </w:rPr>
            </w:pPr>
            <w:r>
              <w:rPr>
                <w:spacing w:val="-10"/>
                <w:sz w:val="18"/>
              </w:rPr>
              <w:t>8</w:t>
            </w:r>
          </w:p>
        </w:tc>
        <w:tc>
          <w:tcPr>
            <w:tcW w:w="333" w:type="dxa"/>
          </w:tcPr>
          <w:p>
            <w:pPr>
              <w:pStyle w:val="TableParagraph"/>
              <w:spacing w:line="207" w:lineRule="exact"/>
              <w:ind w:right="8"/>
              <w:jc w:val="center"/>
              <w:rPr>
                <w:sz w:val="18"/>
              </w:rPr>
            </w:pPr>
            <w:r>
              <w:rPr>
                <w:spacing w:val="-10"/>
                <w:sz w:val="18"/>
              </w:rPr>
              <w:t>9</w:t>
            </w:r>
          </w:p>
        </w:tc>
        <w:tc>
          <w:tcPr>
            <w:tcW w:w="418" w:type="dxa"/>
            <w:gridSpan w:val="2"/>
          </w:tcPr>
          <w:p>
            <w:pPr>
              <w:pStyle w:val="TableParagraph"/>
              <w:spacing w:line="207" w:lineRule="exact"/>
              <w:ind w:left="111"/>
              <w:rPr>
                <w:sz w:val="18"/>
              </w:rPr>
            </w:pPr>
            <w:r>
              <w:rPr>
                <w:spacing w:val="-5"/>
                <w:sz w:val="18"/>
              </w:rPr>
              <w:t>10</w:t>
            </w:r>
          </w:p>
        </w:tc>
        <w:tc>
          <w:tcPr>
            <w:tcW w:w="426" w:type="dxa"/>
          </w:tcPr>
          <w:p>
            <w:pPr>
              <w:pStyle w:val="TableParagraph"/>
              <w:spacing w:line="207" w:lineRule="exact"/>
              <w:ind w:left="83" w:right="86"/>
              <w:jc w:val="center"/>
              <w:rPr>
                <w:sz w:val="18"/>
              </w:rPr>
            </w:pPr>
            <w:r>
              <w:rPr>
                <w:spacing w:val="-5"/>
                <w:sz w:val="18"/>
              </w:rPr>
              <w:t>11</w:t>
            </w:r>
          </w:p>
        </w:tc>
        <w:tc>
          <w:tcPr>
            <w:tcW w:w="466" w:type="dxa"/>
            <w:gridSpan w:val="2"/>
          </w:tcPr>
          <w:p>
            <w:pPr>
              <w:pStyle w:val="TableParagraph"/>
              <w:spacing w:line="207" w:lineRule="exact"/>
              <w:ind w:left="115"/>
              <w:rPr>
                <w:sz w:val="18"/>
              </w:rPr>
            </w:pPr>
            <w:r>
              <w:rPr>
                <w:spacing w:val="-5"/>
                <w:sz w:val="18"/>
              </w:rPr>
              <w:t>12</w:t>
            </w:r>
          </w:p>
        </w:tc>
        <w:tc>
          <w:tcPr>
            <w:tcW w:w="419" w:type="dxa"/>
          </w:tcPr>
          <w:p>
            <w:pPr>
              <w:pStyle w:val="TableParagraph"/>
              <w:spacing w:line="207" w:lineRule="exact"/>
              <w:ind w:left="80" w:right="73"/>
              <w:jc w:val="center"/>
              <w:rPr>
                <w:sz w:val="18"/>
              </w:rPr>
            </w:pPr>
            <w:r>
              <w:rPr>
                <w:spacing w:val="-5"/>
                <w:sz w:val="18"/>
              </w:rPr>
              <w:t>13</w:t>
            </w:r>
          </w:p>
        </w:tc>
        <w:tc>
          <w:tcPr>
            <w:tcW w:w="457" w:type="dxa"/>
            <w:gridSpan w:val="2"/>
          </w:tcPr>
          <w:p>
            <w:pPr>
              <w:pStyle w:val="TableParagraph"/>
              <w:spacing w:line="207" w:lineRule="exact"/>
              <w:ind w:left="118"/>
              <w:rPr>
                <w:sz w:val="18"/>
              </w:rPr>
            </w:pPr>
            <w:r>
              <w:rPr>
                <w:spacing w:val="-5"/>
                <w:sz w:val="18"/>
              </w:rPr>
              <w:t>14</w:t>
            </w:r>
          </w:p>
        </w:tc>
        <w:tc>
          <w:tcPr>
            <w:tcW w:w="457" w:type="dxa"/>
          </w:tcPr>
          <w:p>
            <w:pPr>
              <w:pStyle w:val="TableParagraph"/>
              <w:spacing w:line="207" w:lineRule="exact"/>
              <w:ind w:left="83" w:right="100"/>
              <w:jc w:val="center"/>
              <w:rPr>
                <w:sz w:val="18"/>
              </w:rPr>
            </w:pPr>
            <w:r>
              <w:rPr>
                <w:spacing w:val="-5"/>
                <w:sz w:val="18"/>
              </w:rPr>
              <w:t>15</w:t>
            </w:r>
          </w:p>
        </w:tc>
        <w:tc>
          <w:tcPr>
            <w:tcW w:w="418" w:type="dxa"/>
            <w:gridSpan w:val="2"/>
          </w:tcPr>
          <w:p>
            <w:pPr>
              <w:pStyle w:val="TableParagraph"/>
              <w:spacing w:line="207" w:lineRule="exact"/>
              <w:ind w:left="123"/>
              <w:rPr>
                <w:sz w:val="18"/>
              </w:rPr>
            </w:pPr>
            <w:r>
              <w:rPr>
                <w:spacing w:val="-5"/>
                <w:sz w:val="18"/>
              </w:rPr>
              <w:t>16</w:t>
            </w:r>
          </w:p>
        </w:tc>
        <w:tc>
          <w:tcPr>
            <w:tcW w:w="426" w:type="dxa"/>
          </w:tcPr>
          <w:p>
            <w:pPr>
              <w:pStyle w:val="TableParagraph"/>
              <w:spacing w:line="207" w:lineRule="exact"/>
              <w:ind w:left="18"/>
              <w:jc w:val="center"/>
              <w:rPr>
                <w:sz w:val="18"/>
              </w:rPr>
            </w:pPr>
            <w:r>
              <w:rPr>
                <w:spacing w:val="-5"/>
                <w:sz w:val="18"/>
              </w:rPr>
              <w:t>17</w:t>
            </w:r>
          </w:p>
        </w:tc>
        <w:tc>
          <w:tcPr>
            <w:tcW w:w="421" w:type="dxa"/>
          </w:tcPr>
          <w:p>
            <w:pPr>
              <w:pStyle w:val="TableParagraph"/>
              <w:spacing w:line="207" w:lineRule="exact"/>
              <w:ind w:left="80" w:right="55"/>
              <w:jc w:val="center"/>
              <w:rPr>
                <w:sz w:val="18"/>
              </w:rPr>
            </w:pPr>
            <w:r>
              <w:rPr>
                <w:spacing w:val="-5"/>
                <w:sz w:val="18"/>
              </w:rPr>
              <w:t>18</w:t>
            </w:r>
          </w:p>
        </w:tc>
        <w:tc>
          <w:tcPr>
            <w:tcW w:w="419" w:type="dxa"/>
          </w:tcPr>
          <w:p>
            <w:pPr>
              <w:pStyle w:val="TableParagraph"/>
              <w:spacing w:line="207" w:lineRule="exact"/>
              <w:ind w:left="98" w:right="73"/>
              <w:jc w:val="center"/>
              <w:rPr>
                <w:sz w:val="18"/>
              </w:rPr>
            </w:pPr>
            <w:r>
              <w:rPr>
                <w:spacing w:val="-5"/>
                <w:sz w:val="18"/>
              </w:rPr>
              <w:t>19</w:t>
            </w:r>
          </w:p>
        </w:tc>
        <w:tc>
          <w:tcPr>
            <w:tcW w:w="414" w:type="dxa"/>
          </w:tcPr>
          <w:p>
            <w:pPr>
              <w:pStyle w:val="TableParagraph"/>
              <w:spacing w:line="207" w:lineRule="exact"/>
              <w:ind w:left="80" w:right="42"/>
              <w:jc w:val="center"/>
              <w:rPr>
                <w:sz w:val="18"/>
              </w:rPr>
            </w:pPr>
            <w:r>
              <w:rPr>
                <w:spacing w:val="-5"/>
                <w:sz w:val="18"/>
              </w:rPr>
              <w:t>20</w:t>
            </w:r>
          </w:p>
        </w:tc>
      </w:tr>
      <w:tr>
        <w:trPr>
          <w:trHeight w:val="273" w:hRule="atLeast"/>
        </w:trPr>
        <w:tc>
          <w:tcPr>
            <w:tcW w:w="710" w:type="dxa"/>
            <w:shd w:val="clear" w:color="auto" w:fill="DEEAF6"/>
          </w:tcPr>
          <w:p>
            <w:pPr>
              <w:pStyle w:val="TableParagraph"/>
              <w:ind w:left="107"/>
              <w:rPr>
                <w:sz w:val="20"/>
              </w:rPr>
            </w:pPr>
            <w:r>
              <w:rPr>
                <w:spacing w:val="-5"/>
                <w:sz w:val="20"/>
              </w:rPr>
              <w:t>T0:</w:t>
            </w:r>
          </w:p>
        </w:tc>
        <w:tc>
          <w:tcPr>
            <w:tcW w:w="566" w:type="dxa"/>
            <w:shd w:val="clear" w:color="auto" w:fill="DEEAF6"/>
          </w:tcPr>
          <w:p>
            <w:pPr>
              <w:pStyle w:val="TableParagraph"/>
              <w:ind w:left="108"/>
              <w:rPr>
                <w:sz w:val="20"/>
              </w:rPr>
            </w:pPr>
            <w:r>
              <w:rPr>
                <w:spacing w:val="-5"/>
                <w:sz w:val="20"/>
              </w:rPr>
              <w:t>3.8</w:t>
            </w:r>
          </w:p>
        </w:tc>
        <w:tc>
          <w:tcPr>
            <w:tcW w:w="710" w:type="dxa"/>
            <w:shd w:val="clear" w:color="auto" w:fill="DEEAF6"/>
          </w:tcPr>
          <w:p>
            <w:pPr>
              <w:pStyle w:val="TableParagraph"/>
              <w:ind w:left="110"/>
              <w:rPr>
                <w:sz w:val="20"/>
              </w:rPr>
            </w:pPr>
            <w:r>
              <w:rPr>
                <w:spacing w:val="-5"/>
                <w:sz w:val="20"/>
              </w:rPr>
              <w:t>3.9</w:t>
            </w:r>
          </w:p>
        </w:tc>
        <w:tc>
          <w:tcPr>
            <w:tcW w:w="567" w:type="dxa"/>
            <w:shd w:val="clear" w:color="auto" w:fill="DEEAF6"/>
          </w:tcPr>
          <w:p>
            <w:pPr>
              <w:pStyle w:val="TableParagraph"/>
              <w:ind w:left="109"/>
              <w:rPr>
                <w:sz w:val="20"/>
              </w:rPr>
            </w:pPr>
            <w:r>
              <w:rPr>
                <w:spacing w:val="-10"/>
                <w:sz w:val="20"/>
              </w:rPr>
              <w:t>4</w:t>
            </w:r>
          </w:p>
        </w:tc>
        <w:tc>
          <w:tcPr>
            <w:tcW w:w="566" w:type="dxa"/>
            <w:gridSpan w:val="2"/>
            <w:shd w:val="clear" w:color="auto" w:fill="DEEAF6"/>
          </w:tcPr>
          <w:p>
            <w:pPr>
              <w:pStyle w:val="TableParagraph"/>
              <w:ind w:left="108"/>
              <w:rPr>
                <w:sz w:val="20"/>
              </w:rPr>
            </w:pPr>
            <w:r>
              <w:rPr>
                <w:spacing w:val="-10"/>
                <w:sz w:val="20"/>
              </w:rPr>
              <w:t>4</w:t>
            </w:r>
          </w:p>
        </w:tc>
        <w:tc>
          <w:tcPr>
            <w:tcW w:w="309" w:type="dxa"/>
            <w:shd w:val="clear" w:color="auto" w:fill="DEEAF6"/>
          </w:tcPr>
          <w:p>
            <w:pPr>
              <w:pStyle w:val="TableParagraph"/>
              <w:ind w:left="19"/>
              <w:jc w:val="center"/>
              <w:rPr>
                <w:sz w:val="20"/>
              </w:rPr>
            </w:pPr>
            <w:r>
              <w:rPr>
                <w:spacing w:val="-10"/>
                <w:sz w:val="20"/>
              </w:rPr>
              <w:t>4</w:t>
            </w:r>
          </w:p>
        </w:tc>
        <w:tc>
          <w:tcPr>
            <w:tcW w:w="395" w:type="dxa"/>
            <w:gridSpan w:val="2"/>
            <w:shd w:val="clear" w:color="auto" w:fill="DEEAF6"/>
          </w:tcPr>
          <w:p>
            <w:pPr>
              <w:pStyle w:val="TableParagraph"/>
              <w:ind w:left="112"/>
              <w:rPr>
                <w:sz w:val="20"/>
              </w:rPr>
            </w:pPr>
            <w:r>
              <w:rPr>
                <w:spacing w:val="-10"/>
                <w:sz w:val="20"/>
              </w:rPr>
              <w:t>4</w:t>
            </w:r>
          </w:p>
        </w:tc>
        <w:tc>
          <w:tcPr>
            <w:tcW w:w="324" w:type="dxa"/>
            <w:shd w:val="clear" w:color="auto" w:fill="DEEAF6"/>
          </w:tcPr>
          <w:p>
            <w:pPr>
              <w:pStyle w:val="TableParagraph"/>
              <w:ind w:left="7"/>
              <w:jc w:val="center"/>
              <w:rPr>
                <w:sz w:val="20"/>
              </w:rPr>
            </w:pPr>
            <w:r>
              <w:rPr>
                <w:spacing w:val="-10"/>
                <w:sz w:val="20"/>
              </w:rPr>
              <w:t>4</w:t>
            </w:r>
          </w:p>
        </w:tc>
        <w:tc>
          <w:tcPr>
            <w:tcW w:w="360" w:type="dxa"/>
            <w:gridSpan w:val="2"/>
            <w:shd w:val="clear" w:color="auto" w:fill="DEEAF6"/>
          </w:tcPr>
          <w:p>
            <w:pPr>
              <w:pStyle w:val="TableParagraph"/>
              <w:ind w:left="113"/>
              <w:rPr>
                <w:sz w:val="20"/>
              </w:rPr>
            </w:pPr>
            <w:r>
              <w:rPr>
                <w:spacing w:val="-10"/>
                <w:sz w:val="20"/>
              </w:rPr>
              <w:t>4</w:t>
            </w:r>
          </w:p>
        </w:tc>
        <w:tc>
          <w:tcPr>
            <w:tcW w:w="333" w:type="dxa"/>
            <w:shd w:val="clear" w:color="auto" w:fill="DEEAF6"/>
          </w:tcPr>
          <w:p>
            <w:pPr>
              <w:pStyle w:val="TableParagraph"/>
              <w:ind w:left="8" w:right="8"/>
              <w:jc w:val="center"/>
              <w:rPr>
                <w:sz w:val="20"/>
              </w:rPr>
            </w:pPr>
            <w:r>
              <w:rPr>
                <w:spacing w:val="-10"/>
                <w:sz w:val="20"/>
              </w:rPr>
              <w:t>4</w:t>
            </w:r>
          </w:p>
        </w:tc>
        <w:tc>
          <w:tcPr>
            <w:tcW w:w="418" w:type="dxa"/>
            <w:gridSpan w:val="2"/>
            <w:shd w:val="clear" w:color="auto" w:fill="DEEAF6"/>
          </w:tcPr>
          <w:p>
            <w:pPr>
              <w:pStyle w:val="TableParagraph"/>
              <w:ind w:left="111"/>
              <w:rPr>
                <w:sz w:val="20"/>
              </w:rPr>
            </w:pPr>
            <w:r>
              <w:rPr>
                <w:spacing w:val="-10"/>
                <w:sz w:val="20"/>
              </w:rPr>
              <w:t>4</w:t>
            </w:r>
          </w:p>
        </w:tc>
        <w:tc>
          <w:tcPr>
            <w:tcW w:w="426" w:type="dxa"/>
            <w:shd w:val="clear" w:color="auto" w:fill="DEEAF6"/>
          </w:tcPr>
          <w:p>
            <w:pPr>
              <w:pStyle w:val="TableParagraph"/>
              <w:ind w:right="86"/>
              <w:jc w:val="center"/>
              <w:rPr>
                <w:sz w:val="20"/>
              </w:rPr>
            </w:pPr>
            <w:r>
              <w:rPr>
                <w:spacing w:val="-10"/>
                <w:sz w:val="20"/>
              </w:rPr>
              <w:t>4</w:t>
            </w:r>
          </w:p>
        </w:tc>
        <w:tc>
          <w:tcPr>
            <w:tcW w:w="466" w:type="dxa"/>
            <w:gridSpan w:val="2"/>
            <w:shd w:val="clear" w:color="auto" w:fill="DEEAF6"/>
          </w:tcPr>
          <w:p>
            <w:pPr>
              <w:pStyle w:val="TableParagraph"/>
              <w:ind w:left="115"/>
              <w:rPr>
                <w:sz w:val="20"/>
              </w:rPr>
            </w:pPr>
            <w:r>
              <w:rPr>
                <w:spacing w:val="-10"/>
                <w:sz w:val="20"/>
              </w:rPr>
              <w:t>4</w:t>
            </w:r>
          </w:p>
        </w:tc>
        <w:tc>
          <w:tcPr>
            <w:tcW w:w="419" w:type="dxa"/>
            <w:shd w:val="clear" w:color="auto" w:fill="DEEAF6"/>
          </w:tcPr>
          <w:p>
            <w:pPr>
              <w:pStyle w:val="TableParagraph"/>
              <w:ind w:right="73"/>
              <w:jc w:val="center"/>
              <w:rPr>
                <w:sz w:val="20"/>
              </w:rPr>
            </w:pPr>
            <w:r>
              <w:rPr>
                <w:spacing w:val="-10"/>
                <w:sz w:val="20"/>
              </w:rPr>
              <w:t>4</w:t>
            </w:r>
          </w:p>
        </w:tc>
        <w:tc>
          <w:tcPr>
            <w:tcW w:w="457" w:type="dxa"/>
            <w:gridSpan w:val="2"/>
            <w:shd w:val="clear" w:color="auto" w:fill="DEEAF6"/>
          </w:tcPr>
          <w:p>
            <w:pPr>
              <w:pStyle w:val="TableParagraph"/>
              <w:ind w:left="118"/>
              <w:rPr>
                <w:sz w:val="20"/>
              </w:rPr>
            </w:pPr>
            <w:r>
              <w:rPr>
                <w:spacing w:val="-10"/>
                <w:sz w:val="20"/>
              </w:rPr>
              <w:t>4</w:t>
            </w:r>
          </w:p>
        </w:tc>
        <w:tc>
          <w:tcPr>
            <w:tcW w:w="457" w:type="dxa"/>
            <w:shd w:val="clear" w:color="auto" w:fill="DEEAF6"/>
          </w:tcPr>
          <w:p>
            <w:pPr>
              <w:pStyle w:val="TableParagraph"/>
              <w:ind w:right="100"/>
              <w:jc w:val="center"/>
              <w:rPr>
                <w:sz w:val="20"/>
              </w:rPr>
            </w:pPr>
            <w:r>
              <w:rPr>
                <w:spacing w:val="-10"/>
                <w:sz w:val="20"/>
              </w:rPr>
              <w:t>4</w:t>
            </w:r>
          </w:p>
        </w:tc>
        <w:tc>
          <w:tcPr>
            <w:tcW w:w="418" w:type="dxa"/>
            <w:gridSpan w:val="2"/>
            <w:shd w:val="clear" w:color="auto" w:fill="DEEAF6"/>
          </w:tcPr>
          <w:p>
            <w:pPr>
              <w:pStyle w:val="TableParagraph"/>
              <w:ind w:left="123"/>
              <w:rPr>
                <w:sz w:val="20"/>
              </w:rPr>
            </w:pPr>
            <w:r>
              <w:rPr>
                <w:spacing w:val="-10"/>
                <w:sz w:val="20"/>
              </w:rPr>
              <w:t>4</w:t>
            </w:r>
          </w:p>
        </w:tc>
        <w:tc>
          <w:tcPr>
            <w:tcW w:w="426" w:type="dxa"/>
            <w:shd w:val="clear" w:color="auto" w:fill="DEEAF6"/>
          </w:tcPr>
          <w:p>
            <w:pPr>
              <w:pStyle w:val="TableParagraph"/>
              <w:ind w:left="24" w:right="86"/>
              <w:jc w:val="center"/>
              <w:rPr>
                <w:sz w:val="20"/>
              </w:rPr>
            </w:pPr>
            <w:r>
              <w:rPr>
                <w:spacing w:val="-10"/>
                <w:sz w:val="20"/>
              </w:rPr>
              <w:t>4</w:t>
            </w:r>
          </w:p>
        </w:tc>
        <w:tc>
          <w:tcPr>
            <w:tcW w:w="421" w:type="dxa"/>
            <w:shd w:val="clear" w:color="auto" w:fill="DEEAF6"/>
          </w:tcPr>
          <w:p>
            <w:pPr>
              <w:pStyle w:val="TableParagraph"/>
              <w:ind w:left="25" w:right="80"/>
              <w:jc w:val="center"/>
              <w:rPr>
                <w:sz w:val="20"/>
              </w:rPr>
            </w:pPr>
            <w:r>
              <w:rPr>
                <w:spacing w:val="-10"/>
                <w:sz w:val="20"/>
              </w:rPr>
              <w:t>4</w:t>
            </w:r>
          </w:p>
        </w:tc>
        <w:tc>
          <w:tcPr>
            <w:tcW w:w="419" w:type="dxa"/>
            <w:shd w:val="clear" w:color="auto" w:fill="DEEAF6"/>
          </w:tcPr>
          <w:p>
            <w:pPr>
              <w:pStyle w:val="TableParagraph"/>
              <w:ind w:left="25" w:right="80"/>
              <w:jc w:val="center"/>
              <w:rPr>
                <w:sz w:val="20"/>
              </w:rPr>
            </w:pPr>
            <w:r>
              <w:rPr>
                <w:spacing w:val="-10"/>
                <w:sz w:val="20"/>
              </w:rPr>
              <w:t>4</w:t>
            </w:r>
          </w:p>
        </w:tc>
        <w:tc>
          <w:tcPr>
            <w:tcW w:w="414" w:type="dxa"/>
            <w:shd w:val="clear" w:color="auto" w:fill="DEEAF6"/>
          </w:tcPr>
          <w:p>
            <w:pPr>
              <w:pStyle w:val="TableParagraph"/>
              <w:ind w:right="42"/>
              <w:jc w:val="center"/>
              <w:rPr>
                <w:sz w:val="20"/>
              </w:rPr>
            </w:pPr>
            <w:r>
              <w:rPr>
                <w:spacing w:val="-10"/>
                <w:sz w:val="20"/>
              </w:rPr>
              <w:t>4</w:t>
            </w:r>
          </w:p>
        </w:tc>
      </w:tr>
      <w:tr>
        <w:trPr>
          <w:trHeight w:val="460" w:hRule="atLeast"/>
        </w:trPr>
        <w:tc>
          <w:tcPr>
            <w:tcW w:w="710" w:type="dxa"/>
            <w:shd w:val="clear" w:color="auto" w:fill="E1EED9"/>
          </w:tcPr>
          <w:p>
            <w:pPr>
              <w:pStyle w:val="TableParagraph"/>
              <w:ind w:left="107"/>
              <w:rPr>
                <w:sz w:val="20"/>
              </w:rPr>
            </w:pPr>
            <w:r>
              <w:rPr>
                <w:spacing w:val="-5"/>
                <w:sz w:val="20"/>
              </w:rPr>
              <w:t>T1:</w:t>
            </w:r>
          </w:p>
        </w:tc>
        <w:tc>
          <w:tcPr>
            <w:tcW w:w="566" w:type="dxa"/>
            <w:shd w:val="clear" w:color="auto" w:fill="E1EED9"/>
          </w:tcPr>
          <w:p>
            <w:pPr>
              <w:pStyle w:val="TableParagraph"/>
              <w:ind w:left="108"/>
              <w:rPr>
                <w:sz w:val="20"/>
              </w:rPr>
            </w:pPr>
            <w:r>
              <w:rPr>
                <w:spacing w:val="-5"/>
                <w:sz w:val="20"/>
              </w:rPr>
              <w:t>3.2</w:t>
            </w:r>
          </w:p>
        </w:tc>
        <w:tc>
          <w:tcPr>
            <w:tcW w:w="710" w:type="dxa"/>
            <w:shd w:val="clear" w:color="auto" w:fill="E1EED9"/>
          </w:tcPr>
          <w:p>
            <w:pPr>
              <w:pStyle w:val="TableParagraph"/>
              <w:ind w:left="110"/>
              <w:rPr>
                <w:sz w:val="20"/>
              </w:rPr>
            </w:pPr>
            <w:r>
              <w:rPr>
                <w:spacing w:val="-5"/>
                <w:sz w:val="20"/>
              </w:rPr>
              <w:t>3.4</w:t>
            </w:r>
          </w:p>
        </w:tc>
        <w:tc>
          <w:tcPr>
            <w:tcW w:w="567" w:type="dxa"/>
            <w:shd w:val="clear" w:color="auto" w:fill="E1EED9"/>
          </w:tcPr>
          <w:p>
            <w:pPr>
              <w:pStyle w:val="TableParagraph"/>
              <w:ind w:left="109"/>
              <w:rPr>
                <w:sz w:val="20"/>
              </w:rPr>
            </w:pPr>
            <w:r>
              <w:rPr>
                <w:spacing w:val="-5"/>
                <w:sz w:val="20"/>
              </w:rPr>
              <w:t>3.6</w:t>
            </w:r>
          </w:p>
        </w:tc>
        <w:tc>
          <w:tcPr>
            <w:tcW w:w="566" w:type="dxa"/>
            <w:gridSpan w:val="2"/>
            <w:shd w:val="clear" w:color="auto" w:fill="E1EED9"/>
          </w:tcPr>
          <w:p>
            <w:pPr>
              <w:pStyle w:val="TableParagraph"/>
              <w:ind w:left="108"/>
              <w:rPr>
                <w:sz w:val="20"/>
              </w:rPr>
            </w:pPr>
            <w:r>
              <w:rPr>
                <w:spacing w:val="-5"/>
                <w:sz w:val="20"/>
              </w:rPr>
              <w:t>3.8</w:t>
            </w:r>
          </w:p>
        </w:tc>
        <w:tc>
          <w:tcPr>
            <w:tcW w:w="309" w:type="dxa"/>
            <w:shd w:val="clear" w:color="auto" w:fill="E1EED9"/>
          </w:tcPr>
          <w:p>
            <w:pPr>
              <w:pStyle w:val="TableParagraph"/>
              <w:ind w:left="19"/>
              <w:jc w:val="center"/>
              <w:rPr>
                <w:sz w:val="20"/>
              </w:rPr>
            </w:pPr>
            <w:r>
              <w:rPr>
                <w:spacing w:val="-10"/>
                <w:sz w:val="20"/>
              </w:rPr>
              <w:t>4</w:t>
            </w:r>
          </w:p>
        </w:tc>
        <w:tc>
          <w:tcPr>
            <w:tcW w:w="395" w:type="dxa"/>
            <w:gridSpan w:val="2"/>
            <w:shd w:val="clear" w:color="auto" w:fill="E1EED9"/>
          </w:tcPr>
          <w:p>
            <w:pPr>
              <w:pStyle w:val="TableParagraph"/>
              <w:ind w:left="112"/>
              <w:rPr>
                <w:sz w:val="20"/>
              </w:rPr>
            </w:pPr>
            <w:r>
              <w:rPr>
                <w:spacing w:val="-10"/>
                <w:sz w:val="20"/>
              </w:rPr>
              <w:t>4</w:t>
            </w:r>
          </w:p>
        </w:tc>
        <w:tc>
          <w:tcPr>
            <w:tcW w:w="324" w:type="dxa"/>
            <w:shd w:val="clear" w:color="auto" w:fill="E1EED9"/>
          </w:tcPr>
          <w:p>
            <w:pPr>
              <w:pStyle w:val="TableParagraph"/>
              <w:ind w:left="7"/>
              <w:jc w:val="center"/>
              <w:rPr>
                <w:sz w:val="20"/>
              </w:rPr>
            </w:pPr>
            <w:r>
              <w:rPr>
                <w:spacing w:val="-10"/>
                <w:sz w:val="20"/>
              </w:rPr>
              <w:t>4</w:t>
            </w:r>
          </w:p>
        </w:tc>
        <w:tc>
          <w:tcPr>
            <w:tcW w:w="360" w:type="dxa"/>
            <w:gridSpan w:val="2"/>
            <w:shd w:val="clear" w:color="auto" w:fill="E1EED9"/>
          </w:tcPr>
          <w:p>
            <w:pPr>
              <w:pStyle w:val="TableParagraph"/>
              <w:ind w:left="113"/>
              <w:rPr>
                <w:sz w:val="20"/>
              </w:rPr>
            </w:pPr>
            <w:r>
              <w:rPr>
                <w:spacing w:val="-10"/>
                <w:sz w:val="20"/>
              </w:rPr>
              <w:t>4</w:t>
            </w:r>
          </w:p>
        </w:tc>
        <w:tc>
          <w:tcPr>
            <w:tcW w:w="333" w:type="dxa"/>
            <w:shd w:val="clear" w:color="auto" w:fill="E1EED9"/>
          </w:tcPr>
          <w:p>
            <w:pPr>
              <w:pStyle w:val="TableParagraph"/>
              <w:ind w:left="8" w:right="8"/>
              <w:jc w:val="center"/>
              <w:rPr>
                <w:sz w:val="20"/>
              </w:rPr>
            </w:pPr>
            <w:r>
              <w:rPr>
                <w:spacing w:val="-10"/>
                <w:sz w:val="20"/>
              </w:rPr>
              <w:t>4</w:t>
            </w:r>
          </w:p>
        </w:tc>
        <w:tc>
          <w:tcPr>
            <w:tcW w:w="418" w:type="dxa"/>
            <w:gridSpan w:val="2"/>
            <w:shd w:val="clear" w:color="auto" w:fill="E1EED9"/>
          </w:tcPr>
          <w:p>
            <w:pPr>
              <w:pStyle w:val="TableParagraph"/>
              <w:ind w:left="111"/>
              <w:rPr>
                <w:sz w:val="20"/>
              </w:rPr>
            </w:pPr>
            <w:r>
              <w:rPr>
                <w:spacing w:val="-10"/>
                <w:sz w:val="20"/>
              </w:rPr>
              <w:t>4</w:t>
            </w:r>
          </w:p>
        </w:tc>
        <w:tc>
          <w:tcPr>
            <w:tcW w:w="426" w:type="dxa"/>
            <w:shd w:val="clear" w:color="auto" w:fill="E1EED9"/>
          </w:tcPr>
          <w:p>
            <w:pPr>
              <w:pStyle w:val="TableParagraph"/>
              <w:ind w:right="86"/>
              <w:jc w:val="center"/>
              <w:rPr>
                <w:sz w:val="20"/>
              </w:rPr>
            </w:pPr>
            <w:r>
              <w:rPr>
                <w:spacing w:val="-10"/>
                <w:sz w:val="20"/>
              </w:rPr>
              <w:t>4</w:t>
            </w:r>
          </w:p>
        </w:tc>
        <w:tc>
          <w:tcPr>
            <w:tcW w:w="466" w:type="dxa"/>
            <w:gridSpan w:val="2"/>
            <w:shd w:val="clear" w:color="auto" w:fill="E1EED9"/>
          </w:tcPr>
          <w:p>
            <w:pPr>
              <w:pStyle w:val="TableParagraph"/>
              <w:ind w:left="115"/>
              <w:rPr>
                <w:sz w:val="20"/>
              </w:rPr>
            </w:pPr>
            <w:r>
              <w:rPr>
                <w:spacing w:val="-10"/>
                <w:sz w:val="20"/>
              </w:rPr>
              <w:t>4</w:t>
            </w:r>
          </w:p>
        </w:tc>
        <w:tc>
          <w:tcPr>
            <w:tcW w:w="419" w:type="dxa"/>
            <w:shd w:val="clear" w:color="auto" w:fill="E1EED9"/>
          </w:tcPr>
          <w:p>
            <w:pPr>
              <w:pStyle w:val="TableParagraph"/>
              <w:ind w:right="73"/>
              <w:jc w:val="center"/>
              <w:rPr>
                <w:sz w:val="20"/>
              </w:rPr>
            </w:pPr>
            <w:r>
              <w:rPr>
                <w:spacing w:val="-10"/>
                <w:sz w:val="20"/>
              </w:rPr>
              <w:t>4</w:t>
            </w:r>
          </w:p>
        </w:tc>
        <w:tc>
          <w:tcPr>
            <w:tcW w:w="457" w:type="dxa"/>
            <w:gridSpan w:val="2"/>
            <w:shd w:val="clear" w:color="auto" w:fill="E1EED9"/>
          </w:tcPr>
          <w:p>
            <w:pPr>
              <w:pStyle w:val="TableParagraph"/>
              <w:ind w:left="118"/>
              <w:rPr>
                <w:sz w:val="20"/>
              </w:rPr>
            </w:pPr>
            <w:r>
              <w:rPr>
                <w:spacing w:val="-10"/>
                <w:sz w:val="20"/>
              </w:rPr>
              <w:t>4</w:t>
            </w:r>
          </w:p>
        </w:tc>
        <w:tc>
          <w:tcPr>
            <w:tcW w:w="457" w:type="dxa"/>
            <w:shd w:val="clear" w:color="auto" w:fill="E1EED9"/>
          </w:tcPr>
          <w:p>
            <w:pPr>
              <w:pStyle w:val="TableParagraph"/>
              <w:ind w:right="100"/>
              <w:jc w:val="center"/>
              <w:rPr>
                <w:sz w:val="20"/>
              </w:rPr>
            </w:pPr>
            <w:r>
              <w:rPr>
                <w:spacing w:val="-10"/>
                <w:sz w:val="20"/>
              </w:rPr>
              <w:t>4</w:t>
            </w:r>
          </w:p>
        </w:tc>
        <w:tc>
          <w:tcPr>
            <w:tcW w:w="418" w:type="dxa"/>
            <w:gridSpan w:val="2"/>
            <w:shd w:val="clear" w:color="auto" w:fill="E1EED9"/>
          </w:tcPr>
          <w:p>
            <w:pPr>
              <w:pStyle w:val="TableParagraph"/>
              <w:ind w:left="123"/>
              <w:rPr>
                <w:sz w:val="20"/>
              </w:rPr>
            </w:pPr>
            <w:r>
              <w:rPr>
                <w:spacing w:val="-10"/>
                <w:sz w:val="20"/>
              </w:rPr>
              <w:t>4</w:t>
            </w:r>
          </w:p>
        </w:tc>
        <w:tc>
          <w:tcPr>
            <w:tcW w:w="426" w:type="dxa"/>
            <w:shd w:val="clear" w:color="auto" w:fill="E1EED9"/>
          </w:tcPr>
          <w:p>
            <w:pPr>
              <w:pStyle w:val="TableParagraph"/>
              <w:ind w:left="24" w:right="86"/>
              <w:jc w:val="center"/>
              <w:rPr>
                <w:sz w:val="20"/>
              </w:rPr>
            </w:pPr>
            <w:r>
              <w:rPr>
                <w:spacing w:val="-10"/>
                <w:sz w:val="20"/>
              </w:rPr>
              <w:t>4</w:t>
            </w:r>
          </w:p>
        </w:tc>
        <w:tc>
          <w:tcPr>
            <w:tcW w:w="421" w:type="dxa"/>
            <w:shd w:val="clear" w:color="auto" w:fill="E1EED9"/>
          </w:tcPr>
          <w:p>
            <w:pPr>
              <w:pStyle w:val="TableParagraph"/>
              <w:ind w:left="25" w:right="80"/>
              <w:jc w:val="center"/>
              <w:rPr>
                <w:sz w:val="20"/>
              </w:rPr>
            </w:pPr>
            <w:r>
              <w:rPr>
                <w:spacing w:val="-10"/>
                <w:sz w:val="20"/>
              </w:rPr>
              <w:t>4</w:t>
            </w:r>
          </w:p>
        </w:tc>
        <w:tc>
          <w:tcPr>
            <w:tcW w:w="419" w:type="dxa"/>
            <w:shd w:val="clear" w:color="auto" w:fill="E1EED9"/>
          </w:tcPr>
          <w:p>
            <w:pPr>
              <w:pStyle w:val="TableParagraph"/>
              <w:ind w:left="25" w:right="80"/>
              <w:jc w:val="center"/>
              <w:rPr>
                <w:sz w:val="20"/>
              </w:rPr>
            </w:pPr>
            <w:r>
              <w:rPr>
                <w:spacing w:val="-10"/>
                <w:sz w:val="20"/>
              </w:rPr>
              <w:t>4</w:t>
            </w:r>
          </w:p>
        </w:tc>
        <w:tc>
          <w:tcPr>
            <w:tcW w:w="414" w:type="dxa"/>
            <w:shd w:val="clear" w:color="auto" w:fill="E1EED9"/>
          </w:tcPr>
          <w:p>
            <w:pPr>
              <w:pStyle w:val="TableParagraph"/>
              <w:ind w:right="42"/>
              <w:jc w:val="center"/>
              <w:rPr>
                <w:sz w:val="20"/>
              </w:rPr>
            </w:pPr>
            <w:r>
              <w:rPr>
                <w:spacing w:val="-10"/>
                <w:sz w:val="20"/>
              </w:rPr>
              <w:t>4</w:t>
            </w:r>
          </w:p>
        </w:tc>
      </w:tr>
      <w:tr>
        <w:trPr>
          <w:trHeight w:val="460" w:hRule="atLeast"/>
        </w:trPr>
        <w:tc>
          <w:tcPr>
            <w:tcW w:w="710" w:type="dxa"/>
            <w:shd w:val="clear" w:color="auto" w:fill="FFF1CC"/>
          </w:tcPr>
          <w:p>
            <w:pPr>
              <w:pStyle w:val="TableParagraph"/>
              <w:ind w:left="107"/>
              <w:rPr>
                <w:sz w:val="20"/>
              </w:rPr>
            </w:pPr>
            <w:r>
              <w:rPr>
                <w:spacing w:val="-5"/>
                <w:sz w:val="20"/>
              </w:rPr>
              <w:t>T2:</w:t>
            </w:r>
          </w:p>
        </w:tc>
        <w:tc>
          <w:tcPr>
            <w:tcW w:w="566" w:type="dxa"/>
            <w:shd w:val="clear" w:color="auto" w:fill="FFF1CC"/>
          </w:tcPr>
          <w:p>
            <w:pPr>
              <w:pStyle w:val="TableParagraph"/>
              <w:ind w:left="108"/>
              <w:rPr>
                <w:sz w:val="20"/>
              </w:rPr>
            </w:pPr>
            <w:r>
              <w:rPr>
                <w:spacing w:val="-5"/>
                <w:sz w:val="20"/>
              </w:rPr>
              <w:t>3,6</w:t>
            </w:r>
          </w:p>
        </w:tc>
        <w:tc>
          <w:tcPr>
            <w:tcW w:w="710" w:type="dxa"/>
            <w:shd w:val="clear" w:color="auto" w:fill="FFF1CC"/>
          </w:tcPr>
          <w:p>
            <w:pPr>
              <w:pStyle w:val="TableParagraph"/>
              <w:ind w:left="110"/>
              <w:rPr>
                <w:sz w:val="20"/>
              </w:rPr>
            </w:pPr>
            <w:r>
              <w:rPr>
                <w:spacing w:val="-5"/>
                <w:sz w:val="20"/>
              </w:rPr>
              <w:t>3.7</w:t>
            </w:r>
          </w:p>
        </w:tc>
        <w:tc>
          <w:tcPr>
            <w:tcW w:w="567" w:type="dxa"/>
            <w:shd w:val="clear" w:color="auto" w:fill="FFF1CC"/>
          </w:tcPr>
          <w:p>
            <w:pPr>
              <w:pStyle w:val="TableParagraph"/>
              <w:ind w:left="109"/>
              <w:rPr>
                <w:sz w:val="20"/>
              </w:rPr>
            </w:pPr>
            <w:r>
              <w:rPr>
                <w:spacing w:val="-5"/>
                <w:sz w:val="20"/>
              </w:rPr>
              <w:t>3.9</w:t>
            </w:r>
          </w:p>
        </w:tc>
        <w:tc>
          <w:tcPr>
            <w:tcW w:w="566" w:type="dxa"/>
            <w:gridSpan w:val="2"/>
            <w:shd w:val="clear" w:color="auto" w:fill="FFF1CC"/>
          </w:tcPr>
          <w:p>
            <w:pPr>
              <w:pStyle w:val="TableParagraph"/>
              <w:ind w:left="108"/>
              <w:rPr>
                <w:sz w:val="20"/>
              </w:rPr>
            </w:pPr>
            <w:r>
              <w:rPr>
                <w:spacing w:val="-10"/>
                <w:sz w:val="20"/>
              </w:rPr>
              <w:t>4</w:t>
            </w:r>
          </w:p>
        </w:tc>
        <w:tc>
          <w:tcPr>
            <w:tcW w:w="309" w:type="dxa"/>
            <w:shd w:val="clear" w:color="auto" w:fill="FFF1CC"/>
          </w:tcPr>
          <w:p>
            <w:pPr>
              <w:pStyle w:val="TableParagraph"/>
              <w:ind w:left="19"/>
              <w:jc w:val="center"/>
              <w:rPr>
                <w:sz w:val="20"/>
              </w:rPr>
            </w:pPr>
            <w:r>
              <w:rPr>
                <w:spacing w:val="-10"/>
                <w:sz w:val="20"/>
              </w:rPr>
              <w:t>4</w:t>
            </w:r>
          </w:p>
        </w:tc>
        <w:tc>
          <w:tcPr>
            <w:tcW w:w="395" w:type="dxa"/>
            <w:gridSpan w:val="2"/>
            <w:shd w:val="clear" w:color="auto" w:fill="FFF1CC"/>
          </w:tcPr>
          <w:p>
            <w:pPr>
              <w:pStyle w:val="TableParagraph"/>
              <w:ind w:left="112"/>
              <w:rPr>
                <w:sz w:val="20"/>
              </w:rPr>
            </w:pPr>
            <w:r>
              <w:rPr>
                <w:spacing w:val="-10"/>
                <w:sz w:val="20"/>
              </w:rPr>
              <w:t>4</w:t>
            </w:r>
          </w:p>
        </w:tc>
        <w:tc>
          <w:tcPr>
            <w:tcW w:w="324" w:type="dxa"/>
            <w:shd w:val="clear" w:color="auto" w:fill="FFF1CC"/>
          </w:tcPr>
          <w:p>
            <w:pPr>
              <w:pStyle w:val="TableParagraph"/>
              <w:ind w:left="7"/>
              <w:jc w:val="center"/>
              <w:rPr>
                <w:sz w:val="20"/>
              </w:rPr>
            </w:pPr>
            <w:r>
              <w:rPr>
                <w:spacing w:val="-10"/>
                <w:sz w:val="20"/>
              </w:rPr>
              <w:t>4</w:t>
            </w:r>
          </w:p>
        </w:tc>
        <w:tc>
          <w:tcPr>
            <w:tcW w:w="360" w:type="dxa"/>
            <w:gridSpan w:val="2"/>
            <w:shd w:val="clear" w:color="auto" w:fill="FFF1CC"/>
          </w:tcPr>
          <w:p>
            <w:pPr>
              <w:pStyle w:val="TableParagraph"/>
              <w:ind w:left="113"/>
              <w:rPr>
                <w:sz w:val="20"/>
              </w:rPr>
            </w:pPr>
            <w:r>
              <w:rPr>
                <w:spacing w:val="-10"/>
                <w:sz w:val="20"/>
              </w:rPr>
              <w:t>4</w:t>
            </w:r>
          </w:p>
        </w:tc>
        <w:tc>
          <w:tcPr>
            <w:tcW w:w="333" w:type="dxa"/>
            <w:shd w:val="clear" w:color="auto" w:fill="FFF1CC"/>
          </w:tcPr>
          <w:p>
            <w:pPr>
              <w:pStyle w:val="TableParagraph"/>
              <w:ind w:left="8" w:right="8"/>
              <w:jc w:val="center"/>
              <w:rPr>
                <w:sz w:val="20"/>
              </w:rPr>
            </w:pPr>
            <w:r>
              <w:rPr>
                <w:spacing w:val="-10"/>
                <w:sz w:val="20"/>
              </w:rPr>
              <w:t>4</w:t>
            </w:r>
          </w:p>
        </w:tc>
        <w:tc>
          <w:tcPr>
            <w:tcW w:w="418" w:type="dxa"/>
            <w:gridSpan w:val="2"/>
            <w:shd w:val="clear" w:color="auto" w:fill="FFF1CC"/>
          </w:tcPr>
          <w:p>
            <w:pPr>
              <w:pStyle w:val="TableParagraph"/>
              <w:ind w:left="111"/>
              <w:rPr>
                <w:sz w:val="20"/>
              </w:rPr>
            </w:pPr>
            <w:r>
              <w:rPr>
                <w:spacing w:val="-10"/>
                <w:sz w:val="20"/>
              </w:rPr>
              <w:t>4</w:t>
            </w:r>
          </w:p>
        </w:tc>
        <w:tc>
          <w:tcPr>
            <w:tcW w:w="426" w:type="dxa"/>
            <w:shd w:val="clear" w:color="auto" w:fill="FFF1CC"/>
          </w:tcPr>
          <w:p>
            <w:pPr>
              <w:pStyle w:val="TableParagraph"/>
              <w:ind w:right="86"/>
              <w:jc w:val="center"/>
              <w:rPr>
                <w:sz w:val="20"/>
              </w:rPr>
            </w:pPr>
            <w:r>
              <w:rPr>
                <w:spacing w:val="-10"/>
                <w:sz w:val="20"/>
              </w:rPr>
              <w:t>4</w:t>
            </w:r>
          </w:p>
        </w:tc>
        <w:tc>
          <w:tcPr>
            <w:tcW w:w="466" w:type="dxa"/>
            <w:gridSpan w:val="2"/>
            <w:shd w:val="clear" w:color="auto" w:fill="FFF1CC"/>
          </w:tcPr>
          <w:p>
            <w:pPr>
              <w:pStyle w:val="TableParagraph"/>
              <w:ind w:left="115"/>
              <w:rPr>
                <w:sz w:val="20"/>
              </w:rPr>
            </w:pPr>
            <w:r>
              <w:rPr>
                <w:spacing w:val="-10"/>
                <w:sz w:val="20"/>
              </w:rPr>
              <w:t>4</w:t>
            </w:r>
          </w:p>
        </w:tc>
        <w:tc>
          <w:tcPr>
            <w:tcW w:w="419" w:type="dxa"/>
            <w:shd w:val="clear" w:color="auto" w:fill="FFF1CC"/>
          </w:tcPr>
          <w:p>
            <w:pPr>
              <w:pStyle w:val="TableParagraph"/>
              <w:ind w:right="73"/>
              <w:jc w:val="center"/>
              <w:rPr>
                <w:sz w:val="20"/>
              </w:rPr>
            </w:pPr>
            <w:r>
              <w:rPr>
                <w:spacing w:val="-10"/>
                <w:sz w:val="20"/>
              </w:rPr>
              <w:t>4</w:t>
            </w:r>
          </w:p>
        </w:tc>
        <w:tc>
          <w:tcPr>
            <w:tcW w:w="457" w:type="dxa"/>
            <w:gridSpan w:val="2"/>
            <w:shd w:val="clear" w:color="auto" w:fill="FFF1CC"/>
          </w:tcPr>
          <w:p>
            <w:pPr>
              <w:pStyle w:val="TableParagraph"/>
              <w:ind w:left="118"/>
              <w:rPr>
                <w:sz w:val="20"/>
              </w:rPr>
            </w:pPr>
            <w:r>
              <w:rPr>
                <w:spacing w:val="-10"/>
                <w:sz w:val="20"/>
              </w:rPr>
              <w:t>4</w:t>
            </w:r>
          </w:p>
        </w:tc>
        <w:tc>
          <w:tcPr>
            <w:tcW w:w="457" w:type="dxa"/>
            <w:shd w:val="clear" w:color="auto" w:fill="FFF1CC"/>
          </w:tcPr>
          <w:p>
            <w:pPr>
              <w:pStyle w:val="TableParagraph"/>
              <w:ind w:right="100"/>
              <w:jc w:val="center"/>
              <w:rPr>
                <w:sz w:val="20"/>
              </w:rPr>
            </w:pPr>
            <w:r>
              <w:rPr>
                <w:spacing w:val="-10"/>
                <w:sz w:val="20"/>
              </w:rPr>
              <w:t>4</w:t>
            </w:r>
          </w:p>
        </w:tc>
        <w:tc>
          <w:tcPr>
            <w:tcW w:w="418" w:type="dxa"/>
            <w:gridSpan w:val="2"/>
            <w:shd w:val="clear" w:color="auto" w:fill="FFF1CC"/>
          </w:tcPr>
          <w:p>
            <w:pPr>
              <w:pStyle w:val="TableParagraph"/>
              <w:ind w:left="123"/>
              <w:rPr>
                <w:sz w:val="20"/>
              </w:rPr>
            </w:pPr>
            <w:r>
              <w:rPr>
                <w:spacing w:val="-10"/>
                <w:sz w:val="20"/>
              </w:rPr>
              <w:t>4</w:t>
            </w:r>
          </w:p>
        </w:tc>
        <w:tc>
          <w:tcPr>
            <w:tcW w:w="426" w:type="dxa"/>
            <w:shd w:val="clear" w:color="auto" w:fill="FFF1CC"/>
          </w:tcPr>
          <w:p>
            <w:pPr>
              <w:pStyle w:val="TableParagraph"/>
              <w:ind w:left="24" w:right="86"/>
              <w:jc w:val="center"/>
              <w:rPr>
                <w:sz w:val="20"/>
              </w:rPr>
            </w:pPr>
            <w:r>
              <w:rPr>
                <w:spacing w:val="-10"/>
                <w:sz w:val="20"/>
              </w:rPr>
              <w:t>4</w:t>
            </w:r>
          </w:p>
        </w:tc>
        <w:tc>
          <w:tcPr>
            <w:tcW w:w="421" w:type="dxa"/>
            <w:shd w:val="clear" w:color="auto" w:fill="FFF1CC"/>
          </w:tcPr>
          <w:p>
            <w:pPr>
              <w:pStyle w:val="TableParagraph"/>
              <w:ind w:left="25" w:right="80"/>
              <w:jc w:val="center"/>
              <w:rPr>
                <w:sz w:val="20"/>
              </w:rPr>
            </w:pPr>
            <w:r>
              <w:rPr>
                <w:spacing w:val="-10"/>
                <w:sz w:val="20"/>
              </w:rPr>
              <w:t>4</w:t>
            </w:r>
          </w:p>
        </w:tc>
        <w:tc>
          <w:tcPr>
            <w:tcW w:w="419" w:type="dxa"/>
            <w:shd w:val="clear" w:color="auto" w:fill="FFF1CC"/>
          </w:tcPr>
          <w:p>
            <w:pPr>
              <w:pStyle w:val="TableParagraph"/>
              <w:ind w:left="25" w:right="80"/>
              <w:jc w:val="center"/>
              <w:rPr>
                <w:sz w:val="20"/>
              </w:rPr>
            </w:pPr>
            <w:r>
              <w:rPr>
                <w:spacing w:val="-10"/>
                <w:sz w:val="20"/>
              </w:rPr>
              <w:t>4</w:t>
            </w:r>
          </w:p>
        </w:tc>
        <w:tc>
          <w:tcPr>
            <w:tcW w:w="414" w:type="dxa"/>
            <w:shd w:val="clear" w:color="auto" w:fill="FFF1CC"/>
          </w:tcPr>
          <w:p>
            <w:pPr>
              <w:pStyle w:val="TableParagraph"/>
              <w:ind w:right="42"/>
              <w:jc w:val="center"/>
              <w:rPr>
                <w:sz w:val="20"/>
              </w:rPr>
            </w:pPr>
            <w:r>
              <w:rPr>
                <w:spacing w:val="-10"/>
                <w:sz w:val="20"/>
              </w:rPr>
              <w:t>4</w:t>
            </w:r>
          </w:p>
        </w:tc>
      </w:tr>
      <w:tr>
        <w:trPr>
          <w:trHeight w:val="460" w:hRule="atLeast"/>
        </w:trPr>
        <w:tc>
          <w:tcPr>
            <w:tcW w:w="710" w:type="dxa"/>
            <w:shd w:val="clear" w:color="auto" w:fill="FAE3D4"/>
          </w:tcPr>
          <w:p>
            <w:pPr>
              <w:pStyle w:val="TableParagraph"/>
              <w:ind w:left="107"/>
              <w:rPr>
                <w:sz w:val="20"/>
              </w:rPr>
            </w:pPr>
            <w:r>
              <w:rPr>
                <w:spacing w:val="-5"/>
                <w:sz w:val="20"/>
              </w:rPr>
              <w:t>T3:</w:t>
            </w:r>
          </w:p>
        </w:tc>
        <w:tc>
          <w:tcPr>
            <w:tcW w:w="566" w:type="dxa"/>
            <w:shd w:val="clear" w:color="auto" w:fill="FAE3D4"/>
          </w:tcPr>
          <w:p>
            <w:pPr>
              <w:pStyle w:val="TableParagraph"/>
              <w:ind w:left="108"/>
              <w:rPr>
                <w:sz w:val="20"/>
              </w:rPr>
            </w:pPr>
            <w:r>
              <w:rPr>
                <w:spacing w:val="-5"/>
                <w:sz w:val="20"/>
              </w:rPr>
              <w:t>3.9</w:t>
            </w:r>
          </w:p>
        </w:tc>
        <w:tc>
          <w:tcPr>
            <w:tcW w:w="710" w:type="dxa"/>
            <w:shd w:val="clear" w:color="auto" w:fill="FAE3D4"/>
          </w:tcPr>
          <w:p>
            <w:pPr>
              <w:pStyle w:val="TableParagraph"/>
              <w:ind w:left="110"/>
              <w:rPr>
                <w:sz w:val="20"/>
              </w:rPr>
            </w:pPr>
            <w:r>
              <w:rPr>
                <w:spacing w:val="-10"/>
                <w:sz w:val="20"/>
              </w:rPr>
              <w:t>4</w:t>
            </w:r>
          </w:p>
        </w:tc>
        <w:tc>
          <w:tcPr>
            <w:tcW w:w="567" w:type="dxa"/>
            <w:shd w:val="clear" w:color="auto" w:fill="FAE3D4"/>
          </w:tcPr>
          <w:p>
            <w:pPr>
              <w:pStyle w:val="TableParagraph"/>
              <w:ind w:left="109"/>
              <w:rPr>
                <w:sz w:val="20"/>
              </w:rPr>
            </w:pPr>
            <w:r>
              <w:rPr>
                <w:spacing w:val="-10"/>
                <w:sz w:val="20"/>
              </w:rPr>
              <w:t>4</w:t>
            </w:r>
          </w:p>
        </w:tc>
        <w:tc>
          <w:tcPr>
            <w:tcW w:w="566" w:type="dxa"/>
            <w:gridSpan w:val="2"/>
            <w:shd w:val="clear" w:color="auto" w:fill="FAE3D4"/>
          </w:tcPr>
          <w:p>
            <w:pPr>
              <w:pStyle w:val="TableParagraph"/>
              <w:ind w:left="108"/>
              <w:rPr>
                <w:sz w:val="20"/>
              </w:rPr>
            </w:pPr>
            <w:r>
              <w:rPr>
                <w:spacing w:val="-10"/>
                <w:sz w:val="20"/>
              </w:rPr>
              <w:t>4</w:t>
            </w:r>
          </w:p>
        </w:tc>
        <w:tc>
          <w:tcPr>
            <w:tcW w:w="309" w:type="dxa"/>
            <w:shd w:val="clear" w:color="auto" w:fill="FAE3D4"/>
          </w:tcPr>
          <w:p>
            <w:pPr>
              <w:pStyle w:val="TableParagraph"/>
              <w:ind w:left="19"/>
              <w:jc w:val="center"/>
              <w:rPr>
                <w:sz w:val="20"/>
              </w:rPr>
            </w:pPr>
            <w:r>
              <w:rPr>
                <w:spacing w:val="-10"/>
                <w:sz w:val="20"/>
              </w:rPr>
              <w:t>4</w:t>
            </w:r>
          </w:p>
        </w:tc>
        <w:tc>
          <w:tcPr>
            <w:tcW w:w="395" w:type="dxa"/>
            <w:gridSpan w:val="2"/>
            <w:shd w:val="clear" w:color="auto" w:fill="FAE3D4"/>
          </w:tcPr>
          <w:p>
            <w:pPr>
              <w:pStyle w:val="TableParagraph"/>
              <w:ind w:left="112"/>
              <w:rPr>
                <w:sz w:val="20"/>
              </w:rPr>
            </w:pPr>
            <w:r>
              <w:rPr>
                <w:spacing w:val="-10"/>
                <w:sz w:val="20"/>
              </w:rPr>
              <w:t>4</w:t>
            </w:r>
          </w:p>
        </w:tc>
        <w:tc>
          <w:tcPr>
            <w:tcW w:w="324" w:type="dxa"/>
            <w:shd w:val="clear" w:color="auto" w:fill="FAE3D4"/>
          </w:tcPr>
          <w:p>
            <w:pPr>
              <w:pStyle w:val="TableParagraph"/>
              <w:ind w:left="7"/>
              <w:jc w:val="center"/>
              <w:rPr>
                <w:sz w:val="20"/>
              </w:rPr>
            </w:pPr>
            <w:r>
              <w:rPr>
                <w:spacing w:val="-10"/>
                <w:sz w:val="20"/>
              </w:rPr>
              <w:t>4</w:t>
            </w:r>
          </w:p>
        </w:tc>
        <w:tc>
          <w:tcPr>
            <w:tcW w:w="360" w:type="dxa"/>
            <w:gridSpan w:val="2"/>
            <w:shd w:val="clear" w:color="auto" w:fill="FAE3D4"/>
          </w:tcPr>
          <w:p>
            <w:pPr>
              <w:pStyle w:val="TableParagraph"/>
              <w:ind w:left="113"/>
              <w:rPr>
                <w:sz w:val="20"/>
              </w:rPr>
            </w:pPr>
            <w:r>
              <w:rPr>
                <w:spacing w:val="-10"/>
                <w:sz w:val="20"/>
              </w:rPr>
              <w:t>4</w:t>
            </w:r>
          </w:p>
        </w:tc>
        <w:tc>
          <w:tcPr>
            <w:tcW w:w="333" w:type="dxa"/>
            <w:shd w:val="clear" w:color="auto" w:fill="FAE3D4"/>
          </w:tcPr>
          <w:p>
            <w:pPr>
              <w:pStyle w:val="TableParagraph"/>
              <w:ind w:left="8" w:right="8"/>
              <w:jc w:val="center"/>
              <w:rPr>
                <w:sz w:val="20"/>
              </w:rPr>
            </w:pPr>
            <w:r>
              <w:rPr>
                <w:spacing w:val="-10"/>
                <w:sz w:val="20"/>
              </w:rPr>
              <w:t>4</w:t>
            </w:r>
          </w:p>
        </w:tc>
        <w:tc>
          <w:tcPr>
            <w:tcW w:w="418" w:type="dxa"/>
            <w:gridSpan w:val="2"/>
            <w:shd w:val="clear" w:color="auto" w:fill="FAE3D4"/>
          </w:tcPr>
          <w:p>
            <w:pPr>
              <w:pStyle w:val="TableParagraph"/>
              <w:ind w:left="111"/>
              <w:rPr>
                <w:sz w:val="20"/>
              </w:rPr>
            </w:pPr>
            <w:r>
              <w:rPr>
                <w:spacing w:val="-10"/>
                <w:sz w:val="20"/>
              </w:rPr>
              <w:t>4</w:t>
            </w:r>
          </w:p>
        </w:tc>
        <w:tc>
          <w:tcPr>
            <w:tcW w:w="426" w:type="dxa"/>
            <w:shd w:val="clear" w:color="auto" w:fill="FAE3D4"/>
          </w:tcPr>
          <w:p>
            <w:pPr>
              <w:pStyle w:val="TableParagraph"/>
              <w:ind w:right="86"/>
              <w:jc w:val="center"/>
              <w:rPr>
                <w:sz w:val="20"/>
              </w:rPr>
            </w:pPr>
            <w:r>
              <w:rPr>
                <w:spacing w:val="-10"/>
                <w:sz w:val="20"/>
              </w:rPr>
              <w:t>4</w:t>
            </w:r>
          </w:p>
        </w:tc>
        <w:tc>
          <w:tcPr>
            <w:tcW w:w="466" w:type="dxa"/>
            <w:gridSpan w:val="2"/>
            <w:shd w:val="clear" w:color="auto" w:fill="FAE3D4"/>
          </w:tcPr>
          <w:p>
            <w:pPr>
              <w:pStyle w:val="TableParagraph"/>
              <w:ind w:left="115"/>
              <w:rPr>
                <w:sz w:val="20"/>
              </w:rPr>
            </w:pPr>
            <w:r>
              <w:rPr>
                <w:spacing w:val="-10"/>
                <w:sz w:val="20"/>
              </w:rPr>
              <w:t>4</w:t>
            </w:r>
          </w:p>
        </w:tc>
        <w:tc>
          <w:tcPr>
            <w:tcW w:w="419" w:type="dxa"/>
            <w:shd w:val="clear" w:color="auto" w:fill="FAE3D4"/>
          </w:tcPr>
          <w:p>
            <w:pPr>
              <w:pStyle w:val="TableParagraph"/>
              <w:ind w:right="73"/>
              <w:jc w:val="center"/>
              <w:rPr>
                <w:sz w:val="20"/>
              </w:rPr>
            </w:pPr>
            <w:r>
              <w:rPr>
                <w:spacing w:val="-10"/>
                <w:sz w:val="20"/>
              </w:rPr>
              <w:t>4</w:t>
            </w:r>
          </w:p>
        </w:tc>
        <w:tc>
          <w:tcPr>
            <w:tcW w:w="457" w:type="dxa"/>
            <w:gridSpan w:val="2"/>
            <w:shd w:val="clear" w:color="auto" w:fill="FAE3D4"/>
          </w:tcPr>
          <w:p>
            <w:pPr>
              <w:pStyle w:val="TableParagraph"/>
              <w:ind w:left="118"/>
              <w:rPr>
                <w:sz w:val="20"/>
              </w:rPr>
            </w:pPr>
            <w:r>
              <w:rPr>
                <w:spacing w:val="-10"/>
                <w:sz w:val="20"/>
              </w:rPr>
              <w:t>4</w:t>
            </w:r>
          </w:p>
        </w:tc>
        <w:tc>
          <w:tcPr>
            <w:tcW w:w="457" w:type="dxa"/>
            <w:shd w:val="clear" w:color="auto" w:fill="FAE3D4"/>
          </w:tcPr>
          <w:p>
            <w:pPr>
              <w:pStyle w:val="TableParagraph"/>
              <w:ind w:right="100"/>
              <w:jc w:val="center"/>
              <w:rPr>
                <w:sz w:val="20"/>
              </w:rPr>
            </w:pPr>
            <w:r>
              <w:rPr>
                <w:spacing w:val="-10"/>
                <w:sz w:val="20"/>
              </w:rPr>
              <w:t>4</w:t>
            </w:r>
          </w:p>
        </w:tc>
        <w:tc>
          <w:tcPr>
            <w:tcW w:w="418" w:type="dxa"/>
            <w:gridSpan w:val="2"/>
            <w:shd w:val="clear" w:color="auto" w:fill="FAE3D4"/>
          </w:tcPr>
          <w:p>
            <w:pPr>
              <w:pStyle w:val="TableParagraph"/>
              <w:ind w:left="123"/>
              <w:rPr>
                <w:sz w:val="20"/>
              </w:rPr>
            </w:pPr>
            <w:r>
              <w:rPr>
                <w:spacing w:val="-10"/>
                <w:sz w:val="20"/>
              </w:rPr>
              <w:t>4</w:t>
            </w:r>
          </w:p>
        </w:tc>
        <w:tc>
          <w:tcPr>
            <w:tcW w:w="426" w:type="dxa"/>
            <w:shd w:val="clear" w:color="auto" w:fill="FAE3D4"/>
          </w:tcPr>
          <w:p>
            <w:pPr>
              <w:pStyle w:val="TableParagraph"/>
              <w:ind w:left="24" w:right="86"/>
              <w:jc w:val="center"/>
              <w:rPr>
                <w:sz w:val="20"/>
              </w:rPr>
            </w:pPr>
            <w:r>
              <w:rPr>
                <w:spacing w:val="-10"/>
                <w:sz w:val="20"/>
              </w:rPr>
              <w:t>4</w:t>
            </w:r>
          </w:p>
        </w:tc>
        <w:tc>
          <w:tcPr>
            <w:tcW w:w="421" w:type="dxa"/>
            <w:shd w:val="clear" w:color="auto" w:fill="FAE3D4"/>
          </w:tcPr>
          <w:p>
            <w:pPr>
              <w:pStyle w:val="TableParagraph"/>
              <w:ind w:left="25" w:right="80"/>
              <w:jc w:val="center"/>
              <w:rPr>
                <w:sz w:val="20"/>
              </w:rPr>
            </w:pPr>
            <w:r>
              <w:rPr>
                <w:spacing w:val="-10"/>
                <w:sz w:val="20"/>
              </w:rPr>
              <w:t>4</w:t>
            </w:r>
          </w:p>
        </w:tc>
        <w:tc>
          <w:tcPr>
            <w:tcW w:w="419" w:type="dxa"/>
            <w:shd w:val="clear" w:color="auto" w:fill="FAE3D4"/>
          </w:tcPr>
          <w:p>
            <w:pPr>
              <w:pStyle w:val="TableParagraph"/>
              <w:ind w:left="25" w:right="80"/>
              <w:jc w:val="center"/>
              <w:rPr>
                <w:sz w:val="20"/>
              </w:rPr>
            </w:pPr>
            <w:r>
              <w:rPr>
                <w:spacing w:val="-10"/>
                <w:sz w:val="20"/>
              </w:rPr>
              <w:t>4</w:t>
            </w:r>
          </w:p>
        </w:tc>
        <w:tc>
          <w:tcPr>
            <w:tcW w:w="414" w:type="dxa"/>
            <w:shd w:val="clear" w:color="auto" w:fill="FAE3D4"/>
          </w:tcPr>
          <w:p>
            <w:pPr>
              <w:pStyle w:val="TableParagraph"/>
              <w:ind w:right="42"/>
              <w:jc w:val="center"/>
              <w:rPr>
                <w:sz w:val="20"/>
              </w:rPr>
            </w:pPr>
            <w:r>
              <w:rPr>
                <w:spacing w:val="-10"/>
                <w:sz w:val="20"/>
              </w:rPr>
              <w:t>4</w:t>
            </w:r>
          </w:p>
        </w:tc>
      </w:tr>
    </w:tbl>
    <w:p>
      <w:pPr>
        <w:spacing w:before="34"/>
        <w:ind w:left="1135" w:right="0" w:firstLine="0"/>
        <w:jc w:val="left"/>
        <w:rPr>
          <w:sz w:val="24"/>
        </w:rPr>
      </w:pPr>
      <w:r>
        <w:rPr>
          <w:b/>
          <w:sz w:val="24"/>
        </w:rPr>
        <w:t>Anexo</w:t>
      </w:r>
      <w:r>
        <w:rPr>
          <w:b/>
          <w:spacing w:val="-1"/>
          <w:sz w:val="24"/>
        </w:rPr>
        <w:t> </w:t>
      </w:r>
      <w:r>
        <w:rPr>
          <w:b/>
          <w:sz w:val="24"/>
        </w:rPr>
        <w:t>4:</w:t>
      </w:r>
      <w:r>
        <w:rPr>
          <w:b/>
          <w:spacing w:val="-2"/>
          <w:sz w:val="24"/>
        </w:rPr>
        <w:t> </w:t>
      </w:r>
      <w:r>
        <w:rPr>
          <w:sz w:val="24"/>
        </w:rPr>
        <w:t>Ficha</w:t>
      </w:r>
      <w:r>
        <w:rPr>
          <w:spacing w:val="-2"/>
          <w:sz w:val="24"/>
        </w:rPr>
        <w:t> </w:t>
      </w:r>
      <w:r>
        <w:rPr>
          <w:sz w:val="24"/>
        </w:rPr>
        <w:t>de</w:t>
      </w:r>
      <w:r>
        <w:rPr>
          <w:spacing w:val="-1"/>
          <w:sz w:val="24"/>
        </w:rPr>
        <w:t> </w:t>
      </w:r>
      <w:r>
        <w:rPr>
          <w:sz w:val="24"/>
        </w:rPr>
        <w:t>recolección</w:t>
      </w:r>
      <w:r>
        <w:rPr>
          <w:spacing w:val="-1"/>
          <w:sz w:val="24"/>
        </w:rPr>
        <w:t> </w:t>
      </w:r>
      <w:r>
        <w:rPr>
          <w:sz w:val="24"/>
        </w:rPr>
        <w:t>de </w:t>
      </w:r>
      <w:r>
        <w:rPr>
          <w:spacing w:val="-2"/>
          <w:sz w:val="24"/>
        </w:rPr>
        <w:t>datos</w:t>
      </w:r>
    </w:p>
    <w:p>
      <w:pPr>
        <w:spacing w:after="0"/>
        <w:jc w:val="left"/>
        <w:rPr>
          <w:sz w:val="24"/>
        </w:rPr>
        <w:sectPr>
          <w:footerReference w:type="default" r:id="rId51"/>
          <w:pgSz w:w="11900" w:h="16860"/>
          <w:pgMar w:header="0" w:footer="0" w:top="940" w:bottom="280" w:left="1133" w:right="850"/>
        </w:sectPr>
      </w:pPr>
    </w:p>
    <w:p>
      <w:pPr>
        <w:pStyle w:val="BodyText"/>
        <w:spacing w:before="70"/>
      </w:pPr>
      <w:r>
        <w:rPr/>
        <w:t>Anexo</w:t>
      </w:r>
      <w:r>
        <w:rPr>
          <w:spacing w:val="-1"/>
        </w:rPr>
        <w:t> </w:t>
      </w:r>
      <w:r>
        <w:rPr/>
        <w:t>5: Ficha</w:t>
      </w:r>
      <w:r>
        <w:rPr>
          <w:spacing w:val="-3"/>
        </w:rPr>
        <w:t> </w:t>
      </w:r>
      <w:r>
        <w:rPr/>
        <w:t>de</w:t>
      </w:r>
      <w:r>
        <w:rPr>
          <w:spacing w:val="-1"/>
        </w:rPr>
        <w:t> </w:t>
      </w:r>
      <w:r>
        <w:rPr/>
        <w:t>la</w:t>
      </w:r>
      <w:r>
        <w:rPr>
          <w:spacing w:val="1"/>
        </w:rPr>
        <w:t> </w:t>
      </w:r>
      <w:r>
        <w:rPr/>
        <w:t>evaluación de</w:t>
      </w:r>
      <w:r>
        <w:rPr>
          <w:spacing w:val="-1"/>
        </w:rPr>
        <w:t> </w:t>
      </w:r>
      <w:r>
        <w:rPr>
          <w:spacing w:val="-2"/>
        </w:rPr>
        <w:t>dolor</w:t>
      </w:r>
    </w:p>
    <w:p>
      <w:pPr>
        <w:pStyle w:val="BodyText"/>
        <w:spacing w:before="148"/>
        <w:ind w:left="0"/>
        <w:rPr>
          <w:sz w:val="20"/>
        </w:rPr>
      </w:pPr>
    </w:p>
    <w:tbl>
      <w:tblPr>
        <w:tblW w:w="0" w:type="auto"/>
        <w:jc w:val="left"/>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17"/>
        <w:gridCol w:w="641"/>
        <w:gridCol w:w="615"/>
        <w:gridCol w:w="434"/>
        <w:gridCol w:w="436"/>
        <w:gridCol w:w="434"/>
        <w:gridCol w:w="482"/>
        <w:gridCol w:w="463"/>
        <w:gridCol w:w="436"/>
        <w:gridCol w:w="434"/>
        <w:gridCol w:w="434"/>
        <w:gridCol w:w="434"/>
        <w:gridCol w:w="436"/>
        <w:gridCol w:w="528"/>
        <w:gridCol w:w="527"/>
        <w:gridCol w:w="544"/>
      </w:tblGrid>
      <w:tr>
        <w:trPr>
          <w:trHeight w:val="1170" w:hRule="atLeast"/>
        </w:trPr>
        <w:tc>
          <w:tcPr>
            <w:tcW w:w="1217" w:type="dxa"/>
            <w:tcBorders>
              <w:right w:val="nil"/>
            </w:tcBorders>
          </w:tcPr>
          <w:p>
            <w:pPr>
              <w:pStyle w:val="TableParagraph"/>
              <w:ind w:left="118"/>
              <w:rPr>
                <w:sz w:val="20"/>
              </w:rPr>
            </w:pPr>
            <w:r>
              <w:rPr>
                <w:sz w:val="20"/>
              </w:rPr>
              <w:drawing>
                <wp:inline distT="0" distB="0" distL="0" distR="0">
                  <wp:extent cx="416466" cy="580644"/>
                  <wp:effectExtent l="0" t="0" r="0" b="0"/>
                  <wp:docPr id="58" name="Image 58" descr="No hay texto alternativo automático disponible."/>
                  <wp:cNvGraphicFramePr>
                    <a:graphicFrameLocks/>
                  </wp:cNvGraphicFramePr>
                  <a:graphic>
                    <a:graphicData uri="http://schemas.openxmlformats.org/drawingml/2006/picture">
                      <pic:pic>
                        <pic:nvPicPr>
                          <pic:cNvPr id="58" name="Image 58" descr="No hay texto alternativo automático disponible."/>
                          <pic:cNvPicPr/>
                        </pic:nvPicPr>
                        <pic:blipFill>
                          <a:blip r:embed="rId52" cstate="print"/>
                          <a:stretch>
                            <a:fillRect/>
                          </a:stretch>
                        </pic:blipFill>
                        <pic:spPr>
                          <a:xfrm>
                            <a:off x="0" y="0"/>
                            <a:ext cx="416466" cy="580644"/>
                          </a:xfrm>
                          <a:prstGeom prst="rect">
                            <a:avLst/>
                          </a:prstGeom>
                        </pic:spPr>
                      </pic:pic>
                    </a:graphicData>
                  </a:graphic>
                </wp:inline>
              </w:drawing>
            </w:r>
            <w:r>
              <w:rPr>
                <w:sz w:val="20"/>
              </w:rPr>
            </w:r>
          </w:p>
        </w:tc>
        <w:tc>
          <w:tcPr>
            <w:tcW w:w="5243" w:type="dxa"/>
            <w:gridSpan w:val="11"/>
            <w:tcBorders>
              <w:left w:val="nil"/>
              <w:right w:val="nil"/>
            </w:tcBorders>
          </w:tcPr>
          <w:p>
            <w:pPr>
              <w:pStyle w:val="TableParagraph"/>
              <w:spacing w:line="229" w:lineRule="exact" w:before="127"/>
              <w:ind w:left="233" w:right="6"/>
              <w:jc w:val="center"/>
              <w:rPr>
                <w:sz w:val="20"/>
              </w:rPr>
            </w:pPr>
            <w:r>
              <w:rPr>
                <w:sz w:val="20"/>
              </w:rPr>
              <w:t>UNIVERSIDAD</w:t>
            </w:r>
            <w:r>
              <w:rPr>
                <w:spacing w:val="-8"/>
                <w:sz w:val="20"/>
              </w:rPr>
              <w:t> </w:t>
            </w:r>
            <w:r>
              <w:rPr>
                <w:sz w:val="20"/>
              </w:rPr>
              <w:t>ESTATAL</w:t>
            </w:r>
            <w:r>
              <w:rPr>
                <w:spacing w:val="-10"/>
                <w:sz w:val="20"/>
              </w:rPr>
              <w:t> </w:t>
            </w:r>
            <w:r>
              <w:rPr>
                <w:sz w:val="20"/>
              </w:rPr>
              <w:t>DE</w:t>
            </w:r>
            <w:r>
              <w:rPr>
                <w:spacing w:val="-8"/>
                <w:sz w:val="20"/>
              </w:rPr>
              <w:t> </w:t>
            </w:r>
            <w:r>
              <w:rPr>
                <w:spacing w:val="-2"/>
                <w:sz w:val="20"/>
              </w:rPr>
              <w:t>BOLÍVAR</w:t>
            </w:r>
          </w:p>
          <w:p>
            <w:pPr>
              <w:pStyle w:val="TableParagraph"/>
              <w:ind w:left="233"/>
              <w:jc w:val="center"/>
              <w:rPr>
                <w:sz w:val="20"/>
              </w:rPr>
            </w:pPr>
            <w:r>
              <w:rPr>
                <w:sz w:val="20"/>
              </w:rPr>
              <w:t>Facultad</w:t>
            </w:r>
            <w:r>
              <w:rPr>
                <w:spacing w:val="-5"/>
                <w:sz w:val="20"/>
              </w:rPr>
              <w:t> </w:t>
            </w:r>
            <w:r>
              <w:rPr>
                <w:sz w:val="20"/>
              </w:rPr>
              <w:t>de</w:t>
            </w:r>
            <w:r>
              <w:rPr>
                <w:spacing w:val="-6"/>
                <w:sz w:val="20"/>
              </w:rPr>
              <w:t> </w:t>
            </w:r>
            <w:r>
              <w:rPr>
                <w:sz w:val="20"/>
              </w:rPr>
              <w:t>Ciencias</w:t>
            </w:r>
            <w:r>
              <w:rPr>
                <w:spacing w:val="-4"/>
                <w:sz w:val="20"/>
              </w:rPr>
              <w:t> </w:t>
            </w:r>
            <w:r>
              <w:rPr>
                <w:sz w:val="20"/>
              </w:rPr>
              <w:t>Agropecuarias</w:t>
            </w:r>
            <w:r>
              <w:rPr>
                <w:spacing w:val="-7"/>
                <w:sz w:val="20"/>
              </w:rPr>
              <w:t> </w:t>
            </w:r>
            <w:r>
              <w:rPr>
                <w:sz w:val="20"/>
              </w:rPr>
              <w:t>Recursos</w:t>
            </w:r>
            <w:r>
              <w:rPr>
                <w:spacing w:val="-3"/>
                <w:sz w:val="20"/>
              </w:rPr>
              <w:t> </w:t>
            </w:r>
            <w:r>
              <w:rPr>
                <w:sz w:val="20"/>
              </w:rPr>
              <w:t>Naturales</w:t>
            </w:r>
            <w:r>
              <w:rPr>
                <w:spacing w:val="-4"/>
                <w:sz w:val="20"/>
              </w:rPr>
              <w:t> </w:t>
            </w:r>
            <w:r>
              <w:rPr>
                <w:sz w:val="20"/>
              </w:rPr>
              <w:t>y</w:t>
            </w:r>
            <w:r>
              <w:rPr>
                <w:spacing w:val="-10"/>
                <w:sz w:val="20"/>
              </w:rPr>
              <w:t> </w:t>
            </w:r>
            <w:r>
              <w:rPr>
                <w:sz w:val="20"/>
              </w:rPr>
              <w:t>del </w:t>
            </w:r>
            <w:r>
              <w:rPr>
                <w:spacing w:val="-2"/>
                <w:sz w:val="20"/>
              </w:rPr>
              <w:t>Ambiente</w:t>
            </w:r>
          </w:p>
          <w:p>
            <w:pPr>
              <w:pStyle w:val="TableParagraph"/>
              <w:ind w:left="233" w:right="9"/>
              <w:jc w:val="center"/>
              <w:rPr>
                <w:sz w:val="20"/>
              </w:rPr>
            </w:pPr>
            <w:r>
              <w:rPr>
                <w:sz w:val="20"/>
              </w:rPr>
              <w:t>Carrera</w:t>
            </w:r>
            <w:r>
              <w:rPr>
                <w:spacing w:val="-6"/>
                <w:sz w:val="20"/>
              </w:rPr>
              <w:t> </w:t>
            </w:r>
            <w:r>
              <w:rPr>
                <w:sz w:val="20"/>
              </w:rPr>
              <w:t>de</w:t>
            </w:r>
            <w:r>
              <w:rPr>
                <w:spacing w:val="-5"/>
                <w:sz w:val="20"/>
              </w:rPr>
              <w:t> </w:t>
            </w:r>
            <w:r>
              <w:rPr>
                <w:sz w:val="20"/>
              </w:rPr>
              <w:t>Medicina</w:t>
            </w:r>
            <w:r>
              <w:rPr>
                <w:spacing w:val="-5"/>
                <w:sz w:val="20"/>
              </w:rPr>
              <w:t> </w:t>
            </w:r>
            <w:r>
              <w:rPr>
                <w:sz w:val="20"/>
              </w:rPr>
              <w:t>Veterinaria</w:t>
            </w:r>
            <w:r>
              <w:rPr>
                <w:spacing w:val="-3"/>
                <w:sz w:val="20"/>
              </w:rPr>
              <w:t> </w:t>
            </w:r>
            <w:r>
              <w:rPr>
                <w:sz w:val="20"/>
              </w:rPr>
              <w:t>y</w:t>
            </w:r>
            <w:r>
              <w:rPr>
                <w:spacing w:val="-9"/>
                <w:sz w:val="20"/>
              </w:rPr>
              <w:t> </w:t>
            </w:r>
            <w:r>
              <w:rPr>
                <w:spacing w:val="-2"/>
                <w:sz w:val="20"/>
              </w:rPr>
              <w:t>Zootecnia</w:t>
            </w:r>
          </w:p>
        </w:tc>
        <w:tc>
          <w:tcPr>
            <w:tcW w:w="436" w:type="dxa"/>
            <w:tcBorders>
              <w:left w:val="nil"/>
              <w:right w:val="nil"/>
            </w:tcBorders>
          </w:tcPr>
          <w:p>
            <w:pPr>
              <w:pStyle w:val="TableParagraph"/>
              <w:rPr>
                <w:sz w:val="18"/>
              </w:rPr>
            </w:pPr>
          </w:p>
        </w:tc>
        <w:tc>
          <w:tcPr>
            <w:tcW w:w="1055" w:type="dxa"/>
            <w:gridSpan w:val="2"/>
            <w:tcBorders>
              <w:left w:val="nil"/>
            </w:tcBorders>
          </w:tcPr>
          <w:p>
            <w:pPr>
              <w:pStyle w:val="TableParagraph"/>
              <w:spacing w:before="4" w:after="1"/>
              <w:rPr>
                <w:sz w:val="14"/>
              </w:rPr>
            </w:pPr>
          </w:p>
          <w:p>
            <w:pPr>
              <w:pStyle w:val="TableParagraph"/>
              <w:ind w:left="7"/>
              <w:rPr>
                <w:sz w:val="20"/>
              </w:rPr>
            </w:pPr>
            <w:r>
              <w:rPr>
                <w:sz w:val="20"/>
              </w:rPr>
              <w:drawing>
                <wp:inline distT="0" distB="0" distL="0" distR="0">
                  <wp:extent cx="535781" cy="535781"/>
                  <wp:effectExtent l="0" t="0" r="0" b="0"/>
                  <wp:docPr id="59" name="Image 59" descr="Medicina Veterinaria UEB | Guaranda"/>
                  <wp:cNvGraphicFramePr>
                    <a:graphicFrameLocks/>
                  </wp:cNvGraphicFramePr>
                  <a:graphic>
                    <a:graphicData uri="http://schemas.openxmlformats.org/drawingml/2006/picture">
                      <pic:pic>
                        <pic:nvPicPr>
                          <pic:cNvPr id="59" name="Image 59" descr="Medicina Veterinaria UEB | Guaranda"/>
                          <pic:cNvPicPr/>
                        </pic:nvPicPr>
                        <pic:blipFill>
                          <a:blip r:embed="rId53" cstate="print"/>
                          <a:stretch>
                            <a:fillRect/>
                          </a:stretch>
                        </pic:blipFill>
                        <pic:spPr>
                          <a:xfrm>
                            <a:off x="0" y="0"/>
                            <a:ext cx="535781" cy="535781"/>
                          </a:xfrm>
                          <a:prstGeom prst="rect">
                            <a:avLst/>
                          </a:prstGeom>
                        </pic:spPr>
                      </pic:pic>
                    </a:graphicData>
                  </a:graphic>
                </wp:inline>
              </w:drawing>
            </w:r>
            <w:r>
              <w:rPr>
                <w:sz w:val="20"/>
              </w:rPr>
            </w:r>
          </w:p>
        </w:tc>
        <w:tc>
          <w:tcPr>
            <w:tcW w:w="544" w:type="dxa"/>
            <w:vMerge w:val="restart"/>
            <w:tcBorders>
              <w:top w:val="nil"/>
              <w:right w:val="nil"/>
            </w:tcBorders>
          </w:tcPr>
          <w:p>
            <w:pPr>
              <w:pStyle w:val="TableParagraph"/>
              <w:rPr>
                <w:sz w:val="18"/>
              </w:rPr>
            </w:pPr>
          </w:p>
        </w:tc>
      </w:tr>
      <w:tr>
        <w:trPr>
          <w:trHeight w:val="460" w:hRule="atLeast"/>
        </w:trPr>
        <w:tc>
          <w:tcPr>
            <w:tcW w:w="2907" w:type="dxa"/>
            <w:gridSpan w:val="4"/>
          </w:tcPr>
          <w:p>
            <w:pPr>
              <w:pStyle w:val="TableParagraph"/>
              <w:spacing w:line="230" w:lineRule="atLeast"/>
              <w:ind w:left="107" w:right="153"/>
              <w:rPr>
                <w:sz w:val="20"/>
              </w:rPr>
            </w:pPr>
            <w:r>
              <w:rPr>
                <w:sz w:val="20"/>
              </w:rPr>
              <w:t>Fecha</w:t>
            </w:r>
            <w:r>
              <w:rPr>
                <w:spacing w:val="-11"/>
                <w:sz w:val="20"/>
              </w:rPr>
              <w:t> </w:t>
            </w:r>
            <w:r>
              <w:rPr>
                <w:sz w:val="20"/>
              </w:rPr>
              <w:t>actual:</w:t>
            </w:r>
            <w:r>
              <w:rPr>
                <w:spacing w:val="-10"/>
                <w:sz w:val="20"/>
              </w:rPr>
              <w:t> </w:t>
            </w:r>
            <w:r>
              <w:rPr>
                <w:sz w:val="20"/>
              </w:rPr>
              <w:t>03</w:t>
            </w:r>
            <w:r>
              <w:rPr>
                <w:spacing w:val="-10"/>
                <w:sz w:val="20"/>
              </w:rPr>
              <w:t> </w:t>
            </w:r>
            <w:r>
              <w:rPr>
                <w:sz w:val="20"/>
              </w:rPr>
              <w:t>de</w:t>
            </w:r>
            <w:r>
              <w:rPr>
                <w:spacing w:val="-11"/>
                <w:sz w:val="20"/>
              </w:rPr>
              <w:t> </w:t>
            </w:r>
            <w:r>
              <w:rPr>
                <w:sz w:val="20"/>
              </w:rPr>
              <w:t>noviembre del 2025</w:t>
            </w:r>
          </w:p>
        </w:tc>
        <w:tc>
          <w:tcPr>
            <w:tcW w:w="1352" w:type="dxa"/>
            <w:gridSpan w:val="3"/>
          </w:tcPr>
          <w:p>
            <w:pPr>
              <w:pStyle w:val="TableParagraph"/>
              <w:rPr>
                <w:sz w:val="18"/>
              </w:rPr>
            </w:pPr>
          </w:p>
        </w:tc>
        <w:tc>
          <w:tcPr>
            <w:tcW w:w="3692" w:type="dxa"/>
            <w:gridSpan w:val="8"/>
            <w:vMerge w:val="restart"/>
          </w:tcPr>
          <w:p>
            <w:pPr>
              <w:pStyle w:val="TableParagraph"/>
              <w:ind w:left="109"/>
              <w:rPr>
                <w:sz w:val="20"/>
              </w:rPr>
            </w:pPr>
            <w:r>
              <w:rPr>
                <w:sz w:val="20"/>
              </w:rPr>
              <w:t>#</w:t>
            </w:r>
            <w:r>
              <w:rPr>
                <w:spacing w:val="-5"/>
                <w:sz w:val="20"/>
              </w:rPr>
              <w:t> </w:t>
            </w:r>
            <w:r>
              <w:rPr>
                <w:sz w:val="20"/>
              </w:rPr>
              <w:t>de</w:t>
            </w:r>
            <w:r>
              <w:rPr>
                <w:spacing w:val="-5"/>
                <w:sz w:val="20"/>
              </w:rPr>
              <w:t> </w:t>
            </w:r>
            <w:r>
              <w:rPr>
                <w:sz w:val="20"/>
              </w:rPr>
              <w:t>evaluación:</w:t>
            </w:r>
            <w:r>
              <w:rPr>
                <w:spacing w:val="-4"/>
                <w:sz w:val="20"/>
              </w:rPr>
              <w:t> </w:t>
            </w:r>
            <w:r>
              <w:rPr>
                <w:spacing w:val="-5"/>
                <w:sz w:val="20"/>
              </w:rPr>
              <w:t>002</w:t>
            </w:r>
          </w:p>
        </w:tc>
        <w:tc>
          <w:tcPr>
            <w:tcW w:w="544" w:type="dxa"/>
            <w:vMerge/>
            <w:tcBorders>
              <w:top w:val="nil"/>
              <w:right w:val="nil"/>
            </w:tcBorders>
          </w:tcPr>
          <w:p>
            <w:pPr>
              <w:rPr>
                <w:sz w:val="2"/>
                <w:szCs w:val="2"/>
              </w:rPr>
            </w:pPr>
          </w:p>
        </w:tc>
      </w:tr>
      <w:tr>
        <w:trPr>
          <w:trHeight w:val="460" w:hRule="atLeast"/>
        </w:trPr>
        <w:tc>
          <w:tcPr>
            <w:tcW w:w="2907" w:type="dxa"/>
            <w:gridSpan w:val="4"/>
          </w:tcPr>
          <w:p>
            <w:pPr>
              <w:pStyle w:val="TableParagraph"/>
              <w:spacing w:line="230" w:lineRule="atLeast"/>
              <w:ind w:left="107" w:right="153"/>
              <w:rPr>
                <w:sz w:val="20"/>
              </w:rPr>
            </w:pPr>
            <w:r>
              <w:rPr>
                <w:sz w:val="20"/>
              </w:rPr>
              <w:t>Estudiante:</w:t>
            </w:r>
            <w:r>
              <w:rPr>
                <w:spacing w:val="-13"/>
                <w:sz w:val="20"/>
              </w:rPr>
              <w:t> </w:t>
            </w:r>
            <w:r>
              <w:rPr>
                <w:sz w:val="20"/>
              </w:rPr>
              <w:t>Bryan</w:t>
            </w:r>
            <w:r>
              <w:rPr>
                <w:spacing w:val="-12"/>
                <w:sz w:val="20"/>
              </w:rPr>
              <w:t> </w:t>
            </w:r>
            <w:r>
              <w:rPr>
                <w:sz w:val="20"/>
              </w:rPr>
              <w:t>Carvajal</w:t>
            </w:r>
            <w:r>
              <w:rPr>
                <w:spacing w:val="-13"/>
                <w:sz w:val="20"/>
              </w:rPr>
              <w:t> </w:t>
            </w:r>
            <w:r>
              <w:rPr>
                <w:sz w:val="20"/>
              </w:rPr>
              <w:t>; Evelyn Gaibor</w:t>
            </w:r>
          </w:p>
        </w:tc>
        <w:tc>
          <w:tcPr>
            <w:tcW w:w="1352" w:type="dxa"/>
            <w:gridSpan w:val="3"/>
          </w:tcPr>
          <w:p>
            <w:pPr>
              <w:pStyle w:val="TableParagraph"/>
              <w:rPr>
                <w:sz w:val="18"/>
              </w:rPr>
            </w:pPr>
          </w:p>
        </w:tc>
        <w:tc>
          <w:tcPr>
            <w:tcW w:w="3692" w:type="dxa"/>
            <w:gridSpan w:val="8"/>
            <w:vMerge/>
            <w:tcBorders>
              <w:top w:val="nil"/>
            </w:tcBorders>
          </w:tcPr>
          <w:p>
            <w:pPr>
              <w:rPr>
                <w:sz w:val="2"/>
                <w:szCs w:val="2"/>
              </w:rPr>
            </w:pPr>
          </w:p>
        </w:tc>
        <w:tc>
          <w:tcPr>
            <w:tcW w:w="544" w:type="dxa"/>
            <w:vMerge/>
            <w:tcBorders>
              <w:top w:val="nil"/>
              <w:right w:val="nil"/>
            </w:tcBorders>
          </w:tcPr>
          <w:p>
            <w:pPr>
              <w:rPr>
                <w:sz w:val="2"/>
                <w:szCs w:val="2"/>
              </w:rPr>
            </w:pPr>
          </w:p>
        </w:tc>
      </w:tr>
      <w:tr>
        <w:trPr>
          <w:trHeight w:val="230" w:hRule="atLeast"/>
        </w:trPr>
        <w:tc>
          <w:tcPr>
            <w:tcW w:w="7951" w:type="dxa"/>
            <w:gridSpan w:val="15"/>
          </w:tcPr>
          <w:p>
            <w:pPr>
              <w:pStyle w:val="TableParagraph"/>
              <w:spacing w:line="210" w:lineRule="exact"/>
              <w:ind w:left="11"/>
              <w:jc w:val="center"/>
              <w:rPr>
                <w:b/>
                <w:sz w:val="20"/>
              </w:rPr>
            </w:pPr>
            <w:r>
              <w:rPr>
                <w:b/>
                <w:sz w:val="20"/>
              </w:rPr>
              <w:t>Evaluación</w:t>
            </w:r>
            <w:r>
              <w:rPr>
                <w:b/>
                <w:spacing w:val="-6"/>
                <w:sz w:val="20"/>
              </w:rPr>
              <w:t> </w:t>
            </w:r>
            <w:r>
              <w:rPr>
                <w:b/>
                <w:sz w:val="20"/>
              </w:rPr>
              <w:t>del</w:t>
            </w:r>
            <w:r>
              <w:rPr>
                <w:b/>
                <w:spacing w:val="-6"/>
                <w:sz w:val="20"/>
              </w:rPr>
              <w:t> </w:t>
            </w:r>
            <w:r>
              <w:rPr>
                <w:b/>
                <w:spacing w:val="-2"/>
                <w:sz w:val="20"/>
              </w:rPr>
              <w:t>dolor</w:t>
            </w:r>
          </w:p>
        </w:tc>
        <w:tc>
          <w:tcPr>
            <w:tcW w:w="544" w:type="dxa"/>
            <w:vMerge/>
            <w:tcBorders>
              <w:top w:val="nil"/>
              <w:right w:val="nil"/>
            </w:tcBorders>
          </w:tcPr>
          <w:p>
            <w:pPr>
              <w:rPr>
                <w:sz w:val="2"/>
                <w:szCs w:val="2"/>
              </w:rPr>
            </w:pPr>
          </w:p>
        </w:tc>
      </w:tr>
      <w:tr>
        <w:trPr>
          <w:trHeight w:val="2236" w:hRule="atLeast"/>
        </w:trPr>
        <w:tc>
          <w:tcPr>
            <w:tcW w:w="1217" w:type="dxa"/>
          </w:tcPr>
          <w:p>
            <w:pPr>
              <w:pStyle w:val="TableParagraph"/>
              <w:rPr>
                <w:sz w:val="18"/>
              </w:rPr>
            </w:pPr>
          </w:p>
          <w:p>
            <w:pPr>
              <w:pStyle w:val="TableParagraph"/>
              <w:rPr>
                <w:sz w:val="18"/>
              </w:rPr>
            </w:pPr>
          </w:p>
          <w:p>
            <w:pPr>
              <w:pStyle w:val="TableParagraph"/>
              <w:rPr>
                <w:sz w:val="18"/>
              </w:rPr>
            </w:pPr>
          </w:p>
          <w:p>
            <w:pPr>
              <w:pStyle w:val="TableParagraph"/>
              <w:spacing w:before="187"/>
              <w:rPr>
                <w:sz w:val="18"/>
              </w:rPr>
            </w:pPr>
          </w:p>
          <w:p>
            <w:pPr>
              <w:pStyle w:val="TableParagraph"/>
              <w:ind w:left="316"/>
              <w:rPr>
                <w:sz w:val="18"/>
              </w:rPr>
            </w:pPr>
            <w:r>
              <w:rPr>
                <w:spacing w:val="-2"/>
                <w:sz w:val="18"/>
              </w:rPr>
              <w:t>Código:</w:t>
            </w:r>
          </w:p>
        </w:tc>
        <w:tc>
          <w:tcPr>
            <w:tcW w:w="641" w:type="dxa"/>
            <w:textDirection w:val="btLr"/>
          </w:tcPr>
          <w:p>
            <w:pPr>
              <w:pStyle w:val="TableParagraph"/>
              <w:spacing w:before="8"/>
              <w:rPr>
                <w:sz w:val="18"/>
              </w:rPr>
            </w:pPr>
          </w:p>
          <w:p>
            <w:pPr>
              <w:pStyle w:val="TableParagraph"/>
              <w:ind w:left="642"/>
              <w:rPr>
                <w:sz w:val="18"/>
              </w:rPr>
            </w:pPr>
            <w:r>
              <w:rPr>
                <w:spacing w:val="-2"/>
                <w:sz w:val="18"/>
              </w:rPr>
              <w:t>Vocalización</w:t>
            </w:r>
          </w:p>
        </w:tc>
        <w:tc>
          <w:tcPr>
            <w:tcW w:w="615" w:type="dxa"/>
            <w:textDirection w:val="btLr"/>
          </w:tcPr>
          <w:p>
            <w:pPr>
              <w:pStyle w:val="TableParagraph"/>
              <w:spacing w:before="203"/>
              <w:ind w:left="486"/>
              <w:rPr>
                <w:sz w:val="18"/>
              </w:rPr>
            </w:pPr>
            <w:r>
              <w:rPr>
                <w:sz w:val="18"/>
              </w:rPr>
              <w:t>Sacudir</w:t>
            </w:r>
            <w:r>
              <w:rPr>
                <w:spacing w:val="-2"/>
                <w:sz w:val="18"/>
              </w:rPr>
              <w:t> </w:t>
            </w:r>
            <w:r>
              <w:rPr>
                <w:sz w:val="18"/>
              </w:rPr>
              <w:t>la </w:t>
            </w:r>
            <w:r>
              <w:rPr>
                <w:spacing w:val="-2"/>
                <w:sz w:val="18"/>
              </w:rPr>
              <w:t>cabeza</w:t>
            </w:r>
          </w:p>
        </w:tc>
        <w:tc>
          <w:tcPr>
            <w:tcW w:w="434" w:type="dxa"/>
            <w:textDirection w:val="btLr"/>
          </w:tcPr>
          <w:p>
            <w:pPr>
              <w:pStyle w:val="TableParagraph"/>
              <w:spacing w:before="114"/>
              <w:ind w:left="513"/>
              <w:rPr>
                <w:sz w:val="18"/>
              </w:rPr>
            </w:pPr>
            <w:r>
              <w:rPr>
                <w:sz w:val="18"/>
              </w:rPr>
              <w:t>Mueve</w:t>
            </w:r>
            <w:r>
              <w:rPr>
                <w:spacing w:val="-3"/>
                <w:sz w:val="18"/>
              </w:rPr>
              <w:t> </w:t>
            </w:r>
            <w:r>
              <w:rPr>
                <w:sz w:val="18"/>
              </w:rPr>
              <w:t>la</w:t>
            </w:r>
            <w:r>
              <w:rPr>
                <w:spacing w:val="1"/>
                <w:sz w:val="18"/>
              </w:rPr>
              <w:t> </w:t>
            </w:r>
            <w:r>
              <w:rPr>
                <w:spacing w:val="-2"/>
                <w:sz w:val="18"/>
              </w:rPr>
              <w:t>cabeza</w:t>
            </w:r>
          </w:p>
        </w:tc>
        <w:tc>
          <w:tcPr>
            <w:tcW w:w="436" w:type="dxa"/>
            <w:textDirection w:val="btLr"/>
          </w:tcPr>
          <w:p>
            <w:pPr>
              <w:pStyle w:val="TableParagraph"/>
              <w:spacing w:before="115"/>
              <w:ind w:left="146"/>
              <w:rPr>
                <w:sz w:val="18"/>
              </w:rPr>
            </w:pPr>
            <w:r>
              <w:rPr>
                <w:sz w:val="18"/>
              </w:rPr>
              <w:t>Rascar</w:t>
            </w:r>
            <w:r>
              <w:rPr>
                <w:spacing w:val="-1"/>
                <w:sz w:val="18"/>
              </w:rPr>
              <w:t> </w:t>
            </w:r>
            <w:r>
              <w:rPr>
                <w:sz w:val="18"/>
              </w:rPr>
              <w:t>la</w:t>
            </w:r>
            <w:r>
              <w:rPr>
                <w:spacing w:val="-2"/>
                <w:sz w:val="18"/>
              </w:rPr>
              <w:t> </w:t>
            </w:r>
            <w:r>
              <w:rPr>
                <w:sz w:val="18"/>
              </w:rPr>
              <w:t>herida</w:t>
            </w:r>
            <w:r>
              <w:rPr>
                <w:spacing w:val="-1"/>
                <w:sz w:val="18"/>
              </w:rPr>
              <w:t> </w:t>
            </w:r>
            <w:r>
              <w:rPr>
                <w:spacing w:val="-2"/>
                <w:sz w:val="18"/>
              </w:rPr>
              <w:t>quirúrgica</w:t>
            </w:r>
          </w:p>
        </w:tc>
        <w:tc>
          <w:tcPr>
            <w:tcW w:w="434" w:type="dxa"/>
            <w:textDirection w:val="btLr"/>
          </w:tcPr>
          <w:p>
            <w:pPr>
              <w:pStyle w:val="TableParagraph"/>
              <w:spacing w:before="113"/>
              <w:ind w:left="345"/>
              <w:rPr>
                <w:sz w:val="18"/>
              </w:rPr>
            </w:pPr>
            <w:r>
              <w:rPr>
                <w:sz w:val="18"/>
              </w:rPr>
              <w:t>Posición</w:t>
            </w:r>
            <w:r>
              <w:rPr>
                <w:spacing w:val="1"/>
                <w:sz w:val="18"/>
              </w:rPr>
              <w:t> </w:t>
            </w:r>
            <w:r>
              <w:rPr>
                <w:sz w:val="18"/>
              </w:rPr>
              <w:t>de</w:t>
            </w:r>
            <w:r>
              <w:rPr>
                <w:spacing w:val="-1"/>
                <w:sz w:val="18"/>
              </w:rPr>
              <w:t> </w:t>
            </w:r>
            <w:r>
              <w:rPr>
                <w:sz w:val="18"/>
              </w:rPr>
              <w:t>la </w:t>
            </w:r>
            <w:r>
              <w:rPr>
                <w:spacing w:val="-2"/>
                <w:sz w:val="18"/>
              </w:rPr>
              <w:t>cabeza</w:t>
            </w:r>
          </w:p>
        </w:tc>
        <w:tc>
          <w:tcPr>
            <w:tcW w:w="482" w:type="dxa"/>
            <w:textDirection w:val="btLr"/>
          </w:tcPr>
          <w:p>
            <w:pPr>
              <w:pStyle w:val="TableParagraph"/>
              <w:spacing w:line="210" w:lineRule="atLeast" w:before="68"/>
              <w:ind w:left="731" w:hanging="226"/>
              <w:rPr>
                <w:sz w:val="18"/>
              </w:rPr>
            </w:pPr>
            <w:r>
              <w:rPr>
                <w:spacing w:val="-2"/>
                <w:sz w:val="18"/>
              </w:rPr>
              <w:t>Comportamiento interactivo</w:t>
            </w:r>
          </w:p>
        </w:tc>
        <w:tc>
          <w:tcPr>
            <w:tcW w:w="463" w:type="dxa"/>
            <w:textDirection w:val="btLr"/>
          </w:tcPr>
          <w:p>
            <w:pPr>
              <w:pStyle w:val="TableParagraph"/>
              <w:spacing w:before="131"/>
              <w:ind w:left="1" w:right="1"/>
              <w:jc w:val="center"/>
              <w:rPr>
                <w:sz w:val="18"/>
              </w:rPr>
            </w:pPr>
            <w:r>
              <w:rPr>
                <w:spacing w:val="-2"/>
                <w:sz w:val="18"/>
              </w:rPr>
              <w:t>Actividad</w:t>
            </w:r>
          </w:p>
        </w:tc>
        <w:tc>
          <w:tcPr>
            <w:tcW w:w="436" w:type="dxa"/>
            <w:textDirection w:val="btLr"/>
          </w:tcPr>
          <w:p>
            <w:pPr>
              <w:pStyle w:val="TableParagraph"/>
              <w:spacing w:before="117"/>
              <w:ind w:left="1" w:right="1"/>
              <w:jc w:val="center"/>
              <w:rPr>
                <w:sz w:val="18"/>
              </w:rPr>
            </w:pPr>
            <w:r>
              <w:rPr>
                <w:spacing w:val="-2"/>
                <w:sz w:val="18"/>
              </w:rPr>
              <w:t>Apetito</w:t>
            </w:r>
          </w:p>
        </w:tc>
        <w:tc>
          <w:tcPr>
            <w:tcW w:w="434" w:type="dxa"/>
            <w:textDirection w:val="btLr"/>
          </w:tcPr>
          <w:p>
            <w:pPr>
              <w:pStyle w:val="TableParagraph"/>
              <w:spacing w:before="115"/>
              <w:ind w:left="1" w:right="1"/>
              <w:jc w:val="center"/>
              <w:rPr>
                <w:sz w:val="18"/>
              </w:rPr>
            </w:pPr>
            <w:r>
              <w:rPr>
                <w:spacing w:val="-4"/>
                <w:sz w:val="18"/>
              </w:rPr>
              <w:t>Rumia</w:t>
            </w:r>
          </w:p>
        </w:tc>
        <w:tc>
          <w:tcPr>
            <w:tcW w:w="434" w:type="dxa"/>
            <w:textDirection w:val="btLr"/>
          </w:tcPr>
          <w:p>
            <w:pPr>
              <w:pStyle w:val="TableParagraph"/>
              <w:spacing w:before="118"/>
              <w:ind w:left="662"/>
              <w:rPr>
                <w:sz w:val="18"/>
              </w:rPr>
            </w:pPr>
            <w:r>
              <w:rPr>
                <w:spacing w:val="-2"/>
                <w:sz w:val="18"/>
              </w:rPr>
              <w:t>Locomoción</w:t>
            </w:r>
          </w:p>
        </w:tc>
        <w:tc>
          <w:tcPr>
            <w:tcW w:w="434" w:type="dxa"/>
            <w:textDirection w:val="btLr"/>
          </w:tcPr>
          <w:p>
            <w:pPr>
              <w:pStyle w:val="TableParagraph"/>
              <w:spacing w:before="118"/>
              <w:ind w:left="285"/>
              <w:rPr>
                <w:sz w:val="18"/>
              </w:rPr>
            </w:pPr>
            <w:r>
              <w:rPr>
                <w:sz w:val="18"/>
              </w:rPr>
              <w:t>Movimiento</w:t>
            </w:r>
            <w:r>
              <w:rPr>
                <w:spacing w:val="-3"/>
                <w:sz w:val="18"/>
              </w:rPr>
              <w:t> </w:t>
            </w:r>
            <w:r>
              <w:rPr>
                <w:sz w:val="18"/>
              </w:rPr>
              <w:t>de</w:t>
            </w:r>
            <w:r>
              <w:rPr>
                <w:spacing w:val="-1"/>
                <w:sz w:val="18"/>
              </w:rPr>
              <w:t> </w:t>
            </w:r>
            <w:r>
              <w:rPr>
                <w:sz w:val="18"/>
              </w:rPr>
              <w:t>la </w:t>
            </w:r>
            <w:r>
              <w:rPr>
                <w:spacing w:val="-4"/>
                <w:sz w:val="18"/>
              </w:rPr>
              <w:t>Cola</w:t>
            </w:r>
          </w:p>
        </w:tc>
        <w:tc>
          <w:tcPr>
            <w:tcW w:w="436" w:type="dxa"/>
            <w:textDirection w:val="btLr"/>
          </w:tcPr>
          <w:p>
            <w:pPr>
              <w:pStyle w:val="TableParagraph"/>
              <w:spacing w:before="116"/>
              <w:ind w:left="467"/>
              <w:rPr>
                <w:sz w:val="18"/>
              </w:rPr>
            </w:pPr>
            <w:r>
              <w:rPr>
                <w:sz w:val="18"/>
              </w:rPr>
              <w:t>Extiende</w:t>
            </w:r>
            <w:r>
              <w:rPr>
                <w:spacing w:val="-2"/>
                <w:sz w:val="18"/>
              </w:rPr>
              <w:t> </w:t>
            </w:r>
            <w:r>
              <w:rPr>
                <w:sz w:val="18"/>
              </w:rPr>
              <w:t>el</w:t>
            </w:r>
            <w:r>
              <w:rPr>
                <w:spacing w:val="-1"/>
                <w:sz w:val="18"/>
              </w:rPr>
              <w:t> </w:t>
            </w:r>
            <w:r>
              <w:rPr>
                <w:spacing w:val="-2"/>
                <w:sz w:val="18"/>
              </w:rPr>
              <w:t>cuello</w:t>
            </w:r>
          </w:p>
        </w:tc>
        <w:tc>
          <w:tcPr>
            <w:tcW w:w="528" w:type="dxa"/>
            <w:textDirection w:val="btLr"/>
          </w:tcPr>
          <w:p>
            <w:pPr>
              <w:pStyle w:val="TableParagraph"/>
              <w:spacing w:before="118"/>
              <w:ind w:left="158"/>
              <w:rPr>
                <w:sz w:val="18"/>
              </w:rPr>
            </w:pPr>
            <w:r>
              <w:rPr>
                <w:sz w:val="18"/>
              </w:rPr>
              <w:t>Mueve</w:t>
            </w:r>
            <w:r>
              <w:rPr>
                <w:spacing w:val="-1"/>
                <w:sz w:val="18"/>
              </w:rPr>
              <w:t> </w:t>
            </w:r>
            <w:r>
              <w:rPr>
                <w:sz w:val="18"/>
              </w:rPr>
              <w:t>y</w:t>
            </w:r>
            <w:r>
              <w:rPr>
                <w:spacing w:val="-1"/>
                <w:sz w:val="18"/>
              </w:rPr>
              <w:t> </w:t>
            </w:r>
            <w:r>
              <w:rPr>
                <w:sz w:val="18"/>
              </w:rPr>
              <w:t>arquea</w:t>
            </w:r>
            <w:r>
              <w:rPr>
                <w:spacing w:val="-1"/>
                <w:sz w:val="18"/>
              </w:rPr>
              <w:t> </w:t>
            </w:r>
            <w:r>
              <w:rPr>
                <w:sz w:val="18"/>
              </w:rPr>
              <w:t>la</w:t>
            </w:r>
            <w:r>
              <w:rPr>
                <w:spacing w:val="1"/>
                <w:sz w:val="18"/>
              </w:rPr>
              <w:t> </w:t>
            </w:r>
            <w:r>
              <w:rPr>
                <w:spacing w:val="-2"/>
                <w:sz w:val="18"/>
              </w:rPr>
              <w:t>espalda</w:t>
            </w:r>
          </w:p>
        </w:tc>
        <w:tc>
          <w:tcPr>
            <w:tcW w:w="527" w:type="dxa"/>
            <w:textDirection w:val="btLr"/>
          </w:tcPr>
          <w:p>
            <w:pPr>
              <w:pStyle w:val="TableParagraph"/>
              <w:spacing w:before="118"/>
              <w:ind w:left="1" w:right="1"/>
              <w:jc w:val="center"/>
              <w:rPr>
                <w:sz w:val="18"/>
              </w:rPr>
            </w:pPr>
            <w:r>
              <w:rPr>
                <w:spacing w:val="-2"/>
                <w:sz w:val="18"/>
              </w:rPr>
              <w:t>Patea</w:t>
            </w:r>
          </w:p>
        </w:tc>
        <w:tc>
          <w:tcPr>
            <w:tcW w:w="544" w:type="dxa"/>
            <w:textDirection w:val="btLr"/>
          </w:tcPr>
          <w:p>
            <w:pPr>
              <w:pStyle w:val="TableParagraph"/>
              <w:spacing w:before="119"/>
              <w:ind w:left="1"/>
              <w:jc w:val="center"/>
              <w:rPr>
                <w:sz w:val="18"/>
              </w:rPr>
            </w:pPr>
            <w:r>
              <w:rPr>
                <w:spacing w:val="-2"/>
                <w:sz w:val="18"/>
              </w:rPr>
              <w:t>Total</w:t>
            </w:r>
          </w:p>
        </w:tc>
      </w:tr>
      <w:tr>
        <w:trPr>
          <w:trHeight w:val="230" w:hRule="atLeast"/>
        </w:trPr>
        <w:tc>
          <w:tcPr>
            <w:tcW w:w="1217" w:type="dxa"/>
            <w:shd w:val="clear" w:color="auto" w:fill="DEEAF6"/>
          </w:tcPr>
          <w:p>
            <w:pPr>
              <w:pStyle w:val="TableParagraph"/>
              <w:spacing w:line="210" w:lineRule="exact"/>
              <w:ind w:left="107"/>
              <w:rPr>
                <w:sz w:val="20"/>
              </w:rPr>
            </w:pPr>
            <w:r>
              <w:rPr>
                <w:spacing w:val="-2"/>
                <w:sz w:val="20"/>
              </w:rPr>
              <w:t>T0-</w:t>
            </w:r>
            <w:r>
              <w:rPr>
                <w:spacing w:val="-12"/>
                <w:sz w:val="20"/>
              </w:rPr>
              <w:t>1</w:t>
            </w:r>
          </w:p>
        </w:tc>
        <w:tc>
          <w:tcPr>
            <w:tcW w:w="641" w:type="dxa"/>
            <w:shd w:val="clear" w:color="auto" w:fill="DEEAF6"/>
          </w:tcPr>
          <w:p>
            <w:pPr>
              <w:pStyle w:val="TableParagraph"/>
              <w:rPr>
                <w:sz w:val="16"/>
              </w:rPr>
            </w:pPr>
          </w:p>
        </w:tc>
        <w:tc>
          <w:tcPr>
            <w:tcW w:w="615"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82" w:type="dxa"/>
            <w:shd w:val="clear" w:color="auto" w:fill="DEEAF6"/>
          </w:tcPr>
          <w:p>
            <w:pPr>
              <w:pStyle w:val="TableParagraph"/>
              <w:rPr>
                <w:sz w:val="16"/>
              </w:rPr>
            </w:pPr>
          </w:p>
        </w:tc>
        <w:tc>
          <w:tcPr>
            <w:tcW w:w="463"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528" w:type="dxa"/>
            <w:shd w:val="clear" w:color="auto" w:fill="DEEAF6"/>
          </w:tcPr>
          <w:p>
            <w:pPr>
              <w:pStyle w:val="TableParagraph"/>
              <w:rPr>
                <w:sz w:val="16"/>
              </w:rPr>
            </w:pPr>
          </w:p>
        </w:tc>
        <w:tc>
          <w:tcPr>
            <w:tcW w:w="527" w:type="dxa"/>
            <w:shd w:val="clear" w:color="auto" w:fill="DEEAF6"/>
          </w:tcPr>
          <w:p>
            <w:pPr>
              <w:pStyle w:val="TableParagraph"/>
              <w:rPr>
                <w:sz w:val="16"/>
              </w:rPr>
            </w:pPr>
          </w:p>
        </w:tc>
        <w:tc>
          <w:tcPr>
            <w:tcW w:w="544" w:type="dxa"/>
            <w:vMerge w:val="restart"/>
          </w:tcPr>
          <w:p>
            <w:pPr>
              <w:pStyle w:val="TableParagraph"/>
              <w:ind w:left="114"/>
              <w:rPr>
                <w:sz w:val="20"/>
              </w:rPr>
            </w:pPr>
            <w:r>
              <w:rPr>
                <w:sz w:val="20"/>
              </w:rPr>
              <w:t>P: </w:t>
            </w:r>
            <w:r>
              <w:rPr>
                <w:spacing w:val="-10"/>
                <w:sz w:val="20"/>
              </w:rPr>
              <w:t>6</w:t>
            </w:r>
          </w:p>
        </w:tc>
      </w:tr>
      <w:tr>
        <w:trPr>
          <w:trHeight w:val="230" w:hRule="atLeast"/>
        </w:trPr>
        <w:tc>
          <w:tcPr>
            <w:tcW w:w="1217" w:type="dxa"/>
            <w:shd w:val="clear" w:color="auto" w:fill="DEEAF6"/>
          </w:tcPr>
          <w:p>
            <w:pPr>
              <w:pStyle w:val="TableParagraph"/>
              <w:spacing w:line="210" w:lineRule="exact"/>
              <w:ind w:left="107"/>
              <w:rPr>
                <w:sz w:val="20"/>
              </w:rPr>
            </w:pPr>
            <w:r>
              <w:rPr>
                <w:spacing w:val="-2"/>
                <w:sz w:val="20"/>
              </w:rPr>
              <w:t>Presente</w:t>
            </w:r>
          </w:p>
        </w:tc>
        <w:tc>
          <w:tcPr>
            <w:tcW w:w="641" w:type="dxa"/>
            <w:shd w:val="clear" w:color="auto" w:fill="DEEAF6"/>
          </w:tcPr>
          <w:p>
            <w:pPr>
              <w:pStyle w:val="TableParagraph"/>
              <w:rPr>
                <w:sz w:val="16"/>
              </w:rPr>
            </w:pPr>
          </w:p>
        </w:tc>
        <w:tc>
          <w:tcPr>
            <w:tcW w:w="615" w:type="dxa"/>
            <w:shd w:val="clear" w:color="auto" w:fill="DEEAF6"/>
          </w:tcPr>
          <w:p>
            <w:pPr>
              <w:pStyle w:val="TableParagraph"/>
              <w:spacing w:line="210" w:lineRule="exact"/>
              <w:ind w:left="107"/>
              <w:rPr>
                <w:sz w:val="20"/>
              </w:rPr>
            </w:pPr>
            <w:r>
              <w:rPr>
                <w:spacing w:val="-2"/>
                <w:sz w:val="20"/>
              </w:rPr>
              <w:t>-----</w:t>
            </w:r>
          </w:p>
        </w:tc>
        <w:tc>
          <w:tcPr>
            <w:tcW w:w="434" w:type="dxa"/>
            <w:shd w:val="clear" w:color="auto" w:fill="DEEAF6"/>
          </w:tcPr>
          <w:p>
            <w:pPr>
              <w:pStyle w:val="TableParagraph"/>
              <w:spacing w:line="210" w:lineRule="exact"/>
              <w:ind w:right="9"/>
              <w:jc w:val="center"/>
              <w:rPr>
                <w:sz w:val="20"/>
              </w:rPr>
            </w:pPr>
            <w:r>
              <w:rPr>
                <w:spacing w:val="-2"/>
                <w:sz w:val="20"/>
              </w:rPr>
              <w:t>---</w:t>
            </w:r>
          </w:p>
        </w:tc>
        <w:tc>
          <w:tcPr>
            <w:tcW w:w="436" w:type="dxa"/>
            <w:shd w:val="clear" w:color="auto" w:fill="DEEAF6"/>
          </w:tcPr>
          <w:p>
            <w:pPr>
              <w:pStyle w:val="TableParagraph"/>
              <w:spacing w:line="210" w:lineRule="exact"/>
              <w:ind w:right="10"/>
              <w:jc w:val="center"/>
              <w:rPr>
                <w:sz w:val="20"/>
              </w:rPr>
            </w:pPr>
            <w:r>
              <w:rPr>
                <w:spacing w:val="-2"/>
                <w:sz w:val="20"/>
              </w:rPr>
              <w:t>---</w:t>
            </w:r>
          </w:p>
        </w:tc>
        <w:tc>
          <w:tcPr>
            <w:tcW w:w="434" w:type="dxa"/>
            <w:shd w:val="clear" w:color="auto" w:fill="DEEAF6"/>
          </w:tcPr>
          <w:p>
            <w:pPr>
              <w:pStyle w:val="TableParagraph"/>
              <w:rPr>
                <w:sz w:val="16"/>
              </w:rPr>
            </w:pPr>
          </w:p>
        </w:tc>
        <w:tc>
          <w:tcPr>
            <w:tcW w:w="482" w:type="dxa"/>
            <w:shd w:val="clear" w:color="auto" w:fill="DEEAF6"/>
          </w:tcPr>
          <w:p>
            <w:pPr>
              <w:pStyle w:val="TableParagraph"/>
              <w:rPr>
                <w:sz w:val="16"/>
              </w:rPr>
            </w:pPr>
          </w:p>
        </w:tc>
        <w:tc>
          <w:tcPr>
            <w:tcW w:w="463" w:type="dxa"/>
            <w:shd w:val="clear" w:color="auto" w:fill="DEEAF6"/>
          </w:tcPr>
          <w:p>
            <w:pPr>
              <w:pStyle w:val="TableParagraph"/>
              <w:spacing w:line="210" w:lineRule="exact"/>
              <w:ind w:right="34"/>
              <w:jc w:val="center"/>
              <w:rPr>
                <w:sz w:val="20"/>
              </w:rPr>
            </w:pPr>
            <w:r>
              <w:rPr>
                <w:spacing w:val="-2"/>
                <w:sz w:val="20"/>
              </w:rPr>
              <w:t>---</w:t>
            </w:r>
          </w:p>
        </w:tc>
        <w:tc>
          <w:tcPr>
            <w:tcW w:w="436" w:type="dxa"/>
            <w:shd w:val="clear" w:color="auto" w:fill="DEEAF6"/>
          </w:tcPr>
          <w:p>
            <w:pPr>
              <w:pStyle w:val="TableParagraph"/>
              <w:rPr>
                <w:sz w:val="16"/>
              </w:rPr>
            </w:pPr>
          </w:p>
        </w:tc>
        <w:tc>
          <w:tcPr>
            <w:tcW w:w="434" w:type="dxa"/>
            <w:shd w:val="clear" w:color="auto" w:fill="DEEAF6"/>
          </w:tcPr>
          <w:p>
            <w:pPr>
              <w:pStyle w:val="TableParagraph"/>
              <w:spacing w:line="210" w:lineRule="exact"/>
              <w:ind w:right="2"/>
              <w:jc w:val="center"/>
              <w:rPr>
                <w:sz w:val="20"/>
              </w:rPr>
            </w:pPr>
            <w:r>
              <w:rPr>
                <w:spacing w:val="-2"/>
                <w:sz w:val="20"/>
              </w:rPr>
              <w:t>---</w:t>
            </w:r>
          </w:p>
        </w:tc>
        <w:tc>
          <w:tcPr>
            <w:tcW w:w="434" w:type="dxa"/>
            <w:shd w:val="clear" w:color="auto" w:fill="DEEAF6"/>
          </w:tcPr>
          <w:p>
            <w:pPr>
              <w:pStyle w:val="TableParagraph"/>
              <w:spacing w:line="210" w:lineRule="exact"/>
              <w:ind w:right="1"/>
              <w:jc w:val="center"/>
              <w:rPr>
                <w:sz w:val="20"/>
              </w:rPr>
            </w:pPr>
            <w:r>
              <w:rPr>
                <w:spacing w:val="-2"/>
                <w:sz w:val="20"/>
              </w:rPr>
              <w:t>---</w:t>
            </w:r>
          </w:p>
        </w:tc>
        <w:tc>
          <w:tcPr>
            <w:tcW w:w="434"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528" w:type="dxa"/>
            <w:shd w:val="clear" w:color="auto" w:fill="DEEAF6"/>
          </w:tcPr>
          <w:p>
            <w:pPr>
              <w:pStyle w:val="TableParagraph"/>
              <w:spacing w:line="210" w:lineRule="exact"/>
              <w:ind w:right="24"/>
              <w:jc w:val="center"/>
              <w:rPr>
                <w:sz w:val="20"/>
              </w:rPr>
            </w:pPr>
            <w:r>
              <w:rPr>
                <w:spacing w:val="-2"/>
                <w:sz w:val="20"/>
              </w:rPr>
              <w:t>----</w:t>
            </w:r>
          </w:p>
        </w:tc>
        <w:tc>
          <w:tcPr>
            <w:tcW w:w="527" w:type="dxa"/>
            <w:shd w:val="clear" w:color="auto" w:fill="DEEAF6"/>
          </w:tcPr>
          <w:p>
            <w:pPr>
              <w:pStyle w:val="TableParagraph"/>
              <w:spacing w:line="210" w:lineRule="exact"/>
              <w:ind w:right="90"/>
              <w:jc w:val="center"/>
              <w:rPr>
                <w:sz w:val="20"/>
              </w:rPr>
            </w:pPr>
            <w:r>
              <w:rPr>
                <w:spacing w:val="-2"/>
                <w:sz w:val="20"/>
              </w:rPr>
              <w:t>---</w:t>
            </w:r>
          </w:p>
        </w:tc>
        <w:tc>
          <w:tcPr>
            <w:tcW w:w="544" w:type="dxa"/>
            <w:vMerge/>
            <w:tcBorders>
              <w:top w:val="nil"/>
            </w:tcBorders>
          </w:tcPr>
          <w:p>
            <w:pPr>
              <w:rPr>
                <w:sz w:val="2"/>
                <w:szCs w:val="2"/>
              </w:rPr>
            </w:pPr>
          </w:p>
        </w:tc>
      </w:tr>
      <w:tr>
        <w:trPr>
          <w:trHeight w:val="230" w:hRule="atLeast"/>
        </w:trPr>
        <w:tc>
          <w:tcPr>
            <w:tcW w:w="1217" w:type="dxa"/>
            <w:shd w:val="clear" w:color="auto" w:fill="DEEAF6"/>
          </w:tcPr>
          <w:p>
            <w:pPr>
              <w:pStyle w:val="TableParagraph"/>
              <w:spacing w:line="210" w:lineRule="exact"/>
              <w:ind w:left="107"/>
              <w:rPr>
                <w:sz w:val="20"/>
              </w:rPr>
            </w:pPr>
            <w:r>
              <w:rPr>
                <w:spacing w:val="-2"/>
                <w:sz w:val="20"/>
              </w:rPr>
              <w:t>Ausente</w:t>
            </w:r>
          </w:p>
        </w:tc>
        <w:tc>
          <w:tcPr>
            <w:tcW w:w="641" w:type="dxa"/>
            <w:shd w:val="clear" w:color="auto" w:fill="DEEAF6"/>
          </w:tcPr>
          <w:p>
            <w:pPr>
              <w:pStyle w:val="TableParagraph"/>
              <w:spacing w:line="210" w:lineRule="exact"/>
              <w:ind w:right="81"/>
              <w:jc w:val="center"/>
              <w:rPr>
                <w:sz w:val="20"/>
              </w:rPr>
            </w:pPr>
            <w:r>
              <w:rPr>
                <w:spacing w:val="-2"/>
                <w:sz w:val="20"/>
              </w:rPr>
              <w:t>-----</w:t>
            </w:r>
          </w:p>
        </w:tc>
        <w:tc>
          <w:tcPr>
            <w:tcW w:w="615"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82" w:type="dxa"/>
            <w:shd w:val="clear" w:color="auto" w:fill="DEEAF6"/>
          </w:tcPr>
          <w:p>
            <w:pPr>
              <w:pStyle w:val="TableParagraph"/>
              <w:spacing w:line="210" w:lineRule="exact"/>
              <w:ind w:right="54"/>
              <w:jc w:val="center"/>
              <w:rPr>
                <w:sz w:val="20"/>
              </w:rPr>
            </w:pPr>
            <w:r>
              <w:rPr>
                <w:spacing w:val="-2"/>
                <w:sz w:val="20"/>
              </w:rPr>
              <w:t>---</w:t>
            </w:r>
          </w:p>
        </w:tc>
        <w:tc>
          <w:tcPr>
            <w:tcW w:w="463" w:type="dxa"/>
            <w:shd w:val="clear" w:color="auto" w:fill="DEEAF6"/>
          </w:tcPr>
          <w:p>
            <w:pPr>
              <w:pStyle w:val="TableParagraph"/>
              <w:rPr>
                <w:sz w:val="16"/>
              </w:rPr>
            </w:pPr>
          </w:p>
        </w:tc>
        <w:tc>
          <w:tcPr>
            <w:tcW w:w="436" w:type="dxa"/>
            <w:shd w:val="clear" w:color="auto" w:fill="DEEAF6"/>
          </w:tcPr>
          <w:p>
            <w:pPr>
              <w:pStyle w:val="TableParagraph"/>
              <w:spacing w:line="210" w:lineRule="exact"/>
              <w:ind w:right="6"/>
              <w:jc w:val="center"/>
              <w:rPr>
                <w:sz w:val="20"/>
              </w:rPr>
            </w:pPr>
            <w:r>
              <w:rPr>
                <w:spacing w:val="-2"/>
                <w:sz w:val="20"/>
              </w:rPr>
              <w:t>---</w:t>
            </w:r>
          </w:p>
        </w:tc>
        <w:tc>
          <w:tcPr>
            <w:tcW w:w="434"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4" w:type="dxa"/>
            <w:shd w:val="clear" w:color="auto" w:fill="DEEAF6"/>
          </w:tcPr>
          <w:p>
            <w:pPr>
              <w:pStyle w:val="TableParagraph"/>
              <w:spacing w:line="210" w:lineRule="exact"/>
              <w:jc w:val="center"/>
              <w:rPr>
                <w:sz w:val="20"/>
              </w:rPr>
            </w:pPr>
            <w:r>
              <w:rPr>
                <w:spacing w:val="-2"/>
                <w:sz w:val="20"/>
              </w:rPr>
              <w:t>---</w:t>
            </w:r>
          </w:p>
        </w:tc>
        <w:tc>
          <w:tcPr>
            <w:tcW w:w="436" w:type="dxa"/>
            <w:shd w:val="clear" w:color="auto" w:fill="DEEAF6"/>
          </w:tcPr>
          <w:p>
            <w:pPr>
              <w:pStyle w:val="TableParagraph"/>
              <w:spacing w:line="210" w:lineRule="exact"/>
              <w:ind w:right="2"/>
              <w:jc w:val="center"/>
              <w:rPr>
                <w:sz w:val="20"/>
              </w:rPr>
            </w:pPr>
            <w:r>
              <w:rPr>
                <w:spacing w:val="-2"/>
                <w:sz w:val="20"/>
              </w:rPr>
              <w:t>---</w:t>
            </w:r>
          </w:p>
        </w:tc>
        <w:tc>
          <w:tcPr>
            <w:tcW w:w="528" w:type="dxa"/>
            <w:shd w:val="clear" w:color="auto" w:fill="DEEAF6"/>
          </w:tcPr>
          <w:p>
            <w:pPr>
              <w:pStyle w:val="TableParagraph"/>
              <w:rPr>
                <w:sz w:val="16"/>
              </w:rPr>
            </w:pPr>
          </w:p>
        </w:tc>
        <w:tc>
          <w:tcPr>
            <w:tcW w:w="527" w:type="dxa"/>
            <w:shd w:val="clear" w:color="auto" w:fill="DEEAF6"/>
          </w:tcPr>
          <w:p>
            <w:pPr>
              <w:pStyle w:val="TableParagraph"/>
              <w:rPr>
                <w:sz w:val="16"/>
              </w:rPr>
            </w:pPr>
          </w:p>
        </w:tc>
        <w:tc>
          <w:tcPr>
            <w:tcW w:w="544" w:type="dxa"/>
            <w:vMerge/>
            <w:tcBorders>
              <w:top w:val="nil"/>
            </w:tcBorders>
          </w:tcPr>
          <w:p>
            <w:pPr>
              <w:rPr>
                <w:sz w:val="2"/>
                <w:szCs w:val="2"/>
              </w:rPr>
            </w:pPr>
          </w:p>
        </w:tc>
      </w:tr>
      <w:tr>
        <w:trPr>
          <w:trHeight w:val="230" w:hRule="atLeast"/>
        </w:trPr>
        <w:tc>
          <w:tcPr>
            <w:tcW w:w="1217" w:type="dxa"/>
            <w:shd w:val="clear" w:color="auto" w:fill="DEEAF6"/>
          </w:tcPr>
          <w:p>
            <w:pPr>
              <w:pStyle w:val="TableParagraph"/>
              <w:spacing w:line="210" w:lineRule="exact"/>
              <w:ind w:left="107"/>
              <w:rPr>
                <w:sz w:val="20"/>
              </w:rPr>
            </w:pPr>
            <w:r>
              <w:rPr>
                <w:spacing w:val="-2"/>
                <w:sz w:val="20"/>
              </w:rPr>
              <w:t>T0-</w:t>
            </w:r>
            <w:r>
              <w:rPr>
                <w:spacing w:val="-12"/>
                <w:sz w:val="20"/>
              </w:rPr>
              <w:t>2</w:t>
            </w:r>
          </w:p>
        </w:tc>
        <w:tc>
          <w:tcPr>
            <w:tcW w:w="641" w:type="dxa"/>
            <w:shd w:val="clear" w:color="auto" w:fill="DEEAF6"/>
          </w:tcPr>
          <w:p>
            <w:pPr>
              <w:pStyle w:val="TableParagraph"/>
              <w:rPr>
                <w:sz w:val="16"/>
              </w:rPr>
            </w:pPr>
          </w:p>
        </w:tc>
        <w:tc>
          <w:tcPr>
            <w:tcW w:w="615"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82" w:type="dxa"/>
            <w:shd w:val="clear" w:color="auto" w:fill="DEEAF6"/>
          </w:tcPr>
          <w:p>
            <w:pPr>
              <w:pStyle w:val="TableParagraph"/>
              <w:rPr>
                <w:sz w:val="16"/>
              </w:rPr>
            </w:pPr>
          </w:p>
        </w:tc>
        <w:tc>
          <w:tcPr>
            <w:tcW w:w="463"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528" w:type="dxa"/>
            <w:shd w:val="clear" w:color="auto" w:fill="DEEAF6"/>
          </w:tcPr>
          <w:p>
            <w:pPr>
              <w:pStyle w:val="TableParagraph"/>
              <w:rPr>
                <w:sz w:val="16"/>
              </w:rPr>
            </w:pPr>
          </w:p>
        </w:tc>
        <w:tc>
          <w:tcPr>
            <w:tcW w:w="527" w:type="dxa"/>
            <w:shd w:val="clear" w:color="auto" w:fill="DEEAF6"/>
          </w:tcPr>
          <w:p>
            <w:pPr>
              <w:pStyle w:val="TableParagraph"/>
              <w:rPr>
                <w:sz w:val="16"/>
              </w:rPr>
            </w:pPr>
          </w:p>
        </w:tc>
        <w:tc>
          <w:tcPr>
            <w:tcW w:w="544" w:type="dxa"/>
            <w:vMerge w:val="restart"/>
          </w:tcPr>
          <w:p>
            <w:pPr>
              <w:pStyle w:val="TableParagraph"/>
              <w:ind w:left="114"/>
              <w:rPr>
                <w:sz w:val="20"/>
              </w:rPr>
            </w:pPr>
            <w:r>
              <w:rPr>
                <w:sz w:val="20"/>
              </w:rPr>
              <w:t>P: </w:t>
            </w:r>
            <w:r>
              <w:rPr>
                <w:spacing w:val="-10"/>
                <w:sz w:val="20"/>
              </w:rPr>
              <w:t>5</w:t>
            </w:r>
          </w:p>
        </w:tc>
      </w:tr>
      <w:tr>
        <w:trPr>
          <w:trHeight w:val="230" w:hRule="atLeast"/>
        </w:trPr>
        <w:tc>
          <w:tcPr>
            <w:tcW w:w="1217" w:type="dxa"/>
            <w:shd w:val="clear" w:color="auto" w:fill="DEEAF6"/>
          </w:tcPr>
          <w:p>
            <w:pPr>
              <w:pStyle w:val="TableParagraph"/>
              <w:spacing w:line="210" w:lineRule="exact"/>
              <w:ind w:left="107"/>
              <w:rPr>
                <w:sz w:val="20"/>
              </w:rPr>
            </w:pPr>
            <w:r>
              <w:rPr>
                <w:spacing w:val="-2"/>
                <w:sz w:val="20"/>
              </w:rPr>
              <w:t>Presente</w:t>
            </w:r>
          </w:p>
        </w:tc>
        <w:tc>
          <w:tcPr>
            <w:tcW w:w="641" w:type="dxa"/>
            <w:shd w:val="clear" w:color="auto" w:fill="DEEAF6"/>
          </w:tcPr>
          <w:p>
            <w:pPr>
              <w:pStyle w:val="TableParagraph"/>
              <w:spacing w:line="210" w:lineRule="exact"/>
              <w:ind w:right="82"/>
              <w:jc w:val="center"/>
              <w:rPr>
                <w:sz w:val="20"/>
              </w:rPr>
            </w:pPr>
            <w:r>
              <w:rPr>
                <w:spacing w:val="-2"/>
                <w:sz w:val="20"/>
              </w:rPr>
              <w:t>-----</w:t>
            </w:r>
          </w:p>
        </w:tc>
        <w:tc>
          <w:tcPr>
            <w:tcW w:w="615" w:type="dxa"/>
            <w:shd w:val="clear" w:color="auto" w:fill="DEEAF6"/>
          </w:tcPr>
          <w:p>
            <w:pPr>
              <w:pStyle w:val="TableParagraph"/>
              <w:spacing w:line="210" w:lineRule="exact"/>
              <w:ind w:left="107"/>
              <w:rPr>
                <w:sz w:val="20"/>
              </w:rPr>
            </w:pPr>
            <w:r>
              <w:rPr>
                <w:spacing w:val="-2"/>
                <w:sz w:val="20"/>
              </w:rPr>
              <w:t>----</w:t>
            </w:r>
          </w:p>
        </w:tc>
        <w:tc>
          <w:tcPr>
            <w:tcW w:w="434" w:type="dxa"/>
            <w:shd w:val="clear" w:color="auto" w:fill="DEEAF6"/>
          </w:tcPr>
          <w:p>
            <w:pPr>
              <w:pStyle w:val="TableParagraph"/>
              <w:spacing w:line="210" w:lineRule="exact"/>
              <w:ind w:right="9"/>
              <w:jc w:val="center"/>
              <w:rPr>
                <w:sz w:val="20"/>
              </w:rPr>
            </w:pPr>
            <w:r>
              <w:rPr>
                <w:spacing w:val="-2"/>
                <w:sz w:val="20"/>
              </w:rPr>
              <w:t>---</w:t>
            </w:r>
          </w:p>
        </w:tc>
        <w:tc>
          <w:tcPr>
            <w:tcW w:w="436" w:type="dxa"/>
            <w:shd w:val="clear" w:color="auto" w:fill="DEEAF6"/>
          </w:tcPr>
          <w:p>
            <w:pPr>
              <w:pStyle w:val="TableParagraph"/>
              <w:spacing w:line="210" w:lineRule="exact"/>
              <w:ind w:right="10"/>
              <w:jc w:val="center"/>
              <w:rPr>
                <w:sz w:val="20"/>
              </w:rPr>
            </w:pPr>
            <w:r>
              <w:rPr>
                <w:spacing w:val="-2"/>
                <w:sz w:val="20"/>
              </w:rPr>
              <w:t>---</w:t>
            </w:r>
          </w:p>
        </w:tc>
        <w:tc>
          <w:tcPr>
            <w:tcW w:w="434" w:type="dxa"/>
            <w:shd w:val="clear" w:color="auto" w:fill="DEEAF6"/>
          </w:tcPr>
          <w:p>
            <w:pPr>
              <w:pStyle w:val="TableParagraph"/>
              <w:rPr>
                <w:sz w:val="16"/>
              </w:rPr>
            </w:pPr>
          </w:p>
        </w:tc>
        <w:tc>
          <w:tcPr>
            <w:tcW w:w="482" w:type="dxa"/>
            <w:shd w:val="clear" w:color="auto" w:fill="DEEAF6"/>
          </w:tcPr>
          <w:p>
            <w:pPr>
              <w:pStyle w:val="TableParagraph"/>
              <w:rPr>
                <w:sz w:val="16"/>
              </w:rPr>
            </w:pPr>
          </w:p>
        </w:tc>
        <w:tc>
          <w:tcPr>
            <w:tcW w:w="463" w:type="dxa"/>
            <w:shd w:val="clear" w:color="auto" w:fill="DEEAF6"/>
          </w:tcPr>
          <w:p>
            <w:pPr>
              <w:pStyle w:val="TableParagraph"/>
              <w:spacing w:line="210" w:lineRule="exact"/>
              <w:ind w:right="34"/>
              <w:jc w:val="center"/>
              <w:rPr>
                <w:sz w:val="20"/>
              </w:rPr>
            </w:pPr>
            <w:r>
              <w:rPr>
                <w:spacing w:val="-2"/>
                <w:sz w:val="20"/>
              </w:rPr>
              <w:t>---</w:t>
            </w:r>
          </w:p>
        </w:tc>
        <w:tc>
          <w:tcPr>
            <w:tcW w:w="436" w:type="dxa"/>
            <w:shd w:val="clear" w:color="auto" w:fill="DEEAF6"/>
          </w:tcPr>
          <w:p>
            <w:pPr>
              <w:pStyle w:val="TableParagraph"/>
              <w:spacing w:line="210" w:lineRule="exact"/>
              <w:ind w:right="6"/>
              <w:jc w:val="center"/>
              <w:rPr>
                <w:sz w:val="20"/>
              </w:rPr>
            </w:pPr>
            <w:r>
              <w:rPr>
                <w:spacing w:val="-2"/>
                <w:sz w:val="20"/>
              </w:rPr>
              <w:t>---</w:t>
            </w:r>
          </w:p>
        </w:tc>
        <w:tc>
          <w:tcPr>
            <w:tcW w:w="434" w:type="dxa"/>
            <w:shd w:val="clear" w:color="auto" w:fill="DEEAF6"/>
          </w:tcPr>
          <w:p>
            <w:pPr>
              <w:pStyle w:val="TableParagraph"/>
              <w:spacing w:line="210" w:lineRule="exact"/>
              <w:ind w:right="2"/>
              <w:jc w:val="center"/>
              <w:rPr>
                <w:sz w:val="20"/>
              </w:rPr>
            </w:pPr>
            <w:r>
              <w:rPr>
                <w:spacing w:val="-2"/>
                <w:sz w:val="20"/>
              </w:rPr>
              <w:t>---</w:t>
            </w:r>
          </w:p>
        </w:tc>
        <w:tc>
          <w:tcPr>
            <w:tcW w:w="434" w:type="dxa"/>
            <w:shd w:val="clear" w:color="auto" w:fill="DEEAF6"/>
          </w:tcPr>
          <w:p>
            <w:pPr>
              <w:pStyle w:val="TableParagraph"/>
              <w:spacing w:line="210" w:lineRule="exact"/>
              <w:ind w:right="1"/>
              <w:jc w:val="center"/>
              <w:rPr>
                <w:sz w:val="20"/>
              </w:rPr>
            </w:pPr>
            <w:r>
              <w:rPr>
                <w:spacing w:val="-2"/>
                <w:sz w:val="20"/>
              </w:rPr>
              <w:t>---</w:t>
            </w:r>
          </w:p>
        </w:tc>
        <w:tc>
          <w:tcPr>
            <w:tcW w:w="434"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528" w:type="dxa"/>
            <w:shd w:val="clear" w:color="auto" w:fill="DEEAF6"/>
          </w:tcPr>
          <w:p>
            <w:pPr>
              <w:pStyle w:val="TableParagraph"/>
              <w:rPr>
                <w:sz w:val="16"/>
              </w:rPr>
            </w:pPr>
          </w:p>
        </w:tc>
        <w:tc>
          <w:tcPr>
            <w:tcW w:w="527" w:type="dxa"/>
            <w:shd w:val="clear" w:color="auto" w:fill="DEEAF6"/>
          </w:tcPr>
          <w:p>
            <w:pPr>
              <w:pStyle w:val="TableParagraph"/>
              <w:spacing w:line="210" w:lineRule="exact"/>
              <w:ind w:right="23"/>
              <w:jc w:val="center"/>
              <w:rPr>
                <w:sz w:val="20"/>
              </w:rPr>
            </w:pPr>
            <w:r>
              <w:rPr>
                <w:spacing w:val="-2"/>
                <w:sz w:val="20"/>
              </w:rPr>
              <w:t>----</w:t>
            </w:r>
          </w:p>
        </w:tc>
        <w:tc>
          <w:tcPr>
            <w:tcW w:w="544" w:type="dxa"/>
            <w:vMerge/>
            <w:tcBorders>
              <w:top w:val="nil"/>
            </w:tcBorders>
          </w:tcPr>
          <w:p>
            <w:pPr>
              <w:rPr>
                <w:sz w:val="2"/>
                <w:szCs w:val="2"/>
              </w:rPr>
            </w:pPr>
          </w:p>
        </w:tc>
      </w:tr>
      <w:tr>
        <w:trPr>
          <w:trHeight w:val="230" w:hRule="atLeast"/>
        </w:trPr>
        <w:tc>
          <w:tcPr>
            <w:tcW w:w="1217" w:type="dxa"/>
            <w:shd w:val="clear" w:color="auto" w:fill="DEEAF6"/>
          </w:tcPr>
          <w:p>
            <w:pPr>
              <w:pStyle w:val="TableParagraph"/>
              <w:spacing w:line="210" w:lineRule="exact"/>
              <w:ind w:left="107"/>
              <w:rPr>
                <w:sz w:val="20"/>
              </w:rPr>
            </w:pPr>
            <w:r>
              <w:rPr>
                <w:spacing w:val="-2"/>
                <w:sz w:val="20"/>
              </w:rPr>
              <w:t>Ausente</w:t>
            </w:r>
          </w:p>
        </w:tc>
        <w:tc>
          <w:tcPr>
            <w:tcW w:w="641" w:type="dxa"/>
            <w:shd w:val="clear" w:color="auto" w:fill="DEEAF6"/>
          </w:tcPr>
          <w:p>
            <w:pPr>
              <w:pStyle w:val="TableParagraph"/>
              <w:rPr>
                <w:sz w:val="16"/>
              </w:rPr>
            </w:pPr>
          </w:p>
        </w:tc>
        <w:tc>
          <w:tcPr>
            <w:tcW w:w="615"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82" w:type="dxa"/>
            <w:shd w:val="clear" w:color="auto" w:fill="DEEAF6"/>
          </w:tcPr>
          <w:p>
            <w:pPr>
              <w:pStyle w:val="TableParagraph"/>
              <w:spacing w:line="210" w:lineRule="exact"/>
              <w:ind w:right="54"/>
              <w:jc w:val="center"/>
              <w:rPr>
                <w:sz w:val="20"/>
              </w:rPr>
            </w:pPr>
            <w:r>
              <w:rPr>
                <w:spacing w:val="-2"/>
                <w:sz w:val="20"/>
              </w:rPr>
              <w:t>---</w:t>
            </w:r>
          </w:p>
        </w:tc>
        <w:tc>
          <w:tcPr>
            <w:tcW w:w="463"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4" w:type="dxa"/>
            <w:shd w:val="clear" w:color="auto" w:fill="DEEAF6"/>
          </w:tcPr>
          <w:p>
            <w:pPr>
              <w:pStyle w:val="TableParagraph"/>
              <w:spacing w:line="210" w:lineRule="exact"/>
              <w:jc w:val="center"/>
              <w:rPr>
                <w:sz w:val="20"/>
              </w:rPr>
            </w:pPr>
            <w:r>
              <w:rPr>
                <w:spacing w:val="-2"/>
                <w:sz w:val="20"/>
              </w:rPr>
              <w:t>---</w:t>
            </w:r>
          </w:p>
        </w:tc>
        <w:tc>
          <w:tcPr>
            <w:tcW w:w="436" w:type="dxa"/>
            <w:shd w:val="clear" w:color="auto" w:fill="DEEAF6"/>
          </w:tcPr>
          <w:p>
            <w:pPr>
              <w:pStyle w:val="TableParagraph"/>
              <w:spacing w:line="210" w:lineRule="exact"/>
              <w:ind w:right="2"/>
              <w:jc w:val="center"/>
              <w:rPr>
                <w:sz w:val="20"/>
              </w:rPr>
            </w:pPr>
            <w:r>
              <w:rPr>
                <w:spacing w:val="-2"/>
                <w:sz w:val="20"/>
              </w:rPr>
              <w:t>---</w:t>
            </w:r>
          </w:p>
        </w:tc>
        <w:tc>
          <w:tcPr>
            <w:tcW w:w="528" w:type="dxa"/>
            <w:shd w:val="clear" w:color="auto" w:fill="DEEAF6"/>
          </w:tcPr>
          <w:p>
            <w:pPr>
              <w:pStyle w:val="TableParagraph"/>
              <w:spacing w:line="210" w:lineRule="exact"/>
              <w:ind w:right="24"/>
              <w:jc w:val="center"/>
              <w:rPr>
                <w:sz w:val="20"/>
              </w:rPr>
            </w:pPr>
            <w:r>
              <w:rPr>
                <w:spacing w:val="-2"/>
                <w:sz w:val="20"/>
              </w:rPr>
              <w:t>----</w:t>
            </w:r>
          </w:p>
        </w:tc>
        <w:tc>
          <w:tcPr>
            <w:tcW w:w="527" w:type="dxa"/>
            <w:shd w:val="clear" w:color="auto" w:fill="DEEAF6"/>
          </w:tcPr>
          <w:p>
            <w:pPr>
              <w:pStyle w:val="TableParagraph"/>
              <w:rPr>
                <w:sz w:val="16"/>
              </w:rPr>
            </w:pPr>
          </w:p>
        </w:tc>
        <w:tc>
          <w:tcPr>
            <w:tcW w:w="544" w:type="dxa"/>
            <w:vMerge/>
            <w:tcBorders>
              <w:top w:val="nil"/>
            </w:tcBorders>
          </w:tcPr>
          <w:p>
            <w:pPr>
              <w:rPr>
                <w:sz w:val="2"/>
                <w:szCs w:val="2"/>
              </w:rPr>
            </w:pPr>
          </w:p>
        </w:tc>
      </w:tr>
      <w:tr>
        <w:trPr>
          <w:trHeight w:val="230" w:hRule="atLeast"/>
        </w:trPr>
        <w:tc>
          <w:tcPr>
            <w:tcW w:w="1217" w:type="dxa"/>
            <w:shd w:val="clear" w:color="auto" w:fill="DEEAF6"/>
          </w:tcPr>
          <w:p>
            <w:pPr>
              <w:pStyle w:val="TableParagraph"/>
              <w:spacing w:line="210" w:lineRule="exact"/>
              <w:ind w:left="107"/>
              <w:rPr>
                <w:sz w:val="20"/>
              </w:rPr>
            </w:pPr>
            <w:r>
              <w:rPr>
                <w:spacing w:val="-2"/>
                <w:sz w:val="20"/>
              </w:rPr>
              <w:t>T0-</w:t>
            </w:r>
            <w:r>
              <w:rPr>
                <w:spacing w:val="-12"/>
                <w:sz w:val="20"/>
              </w:rPr>
              <w:t>3</w:t>
            </w:r>
          </w:p>
        </w:tc>
        <w:tc>
          <w:tcPr>
            <w:tcW w:w="641" w:type="dxa"/>
            <w:shd w:val="clear" w:color="auto" w:fill="DEEAF6"/>
          </w:tcPr>
          <w:p>
            <w:pPr>
              <w:pStyle w:val="TableParagraph"/>
              <w:rPr>
                <w:sz w:val="16"/>
              </w:rPr>
            </w:pPr>
          </w:p>
        </w:tc>
        <w:tc>
          <w:tcPr>
            <w:tcW w:w="615"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82" w:type="dxa"/>
            <w:shd w:val="clear" w:color="auto" w:fill="DEEAF6"/>
          </w:tcPr>
          <w:p>
            <w:pPr>
              <w:pStyle w:val="TableParagraph"/>
              <w:rPr>
                <w:sz w:val="16"/>
              </w:rPr>
            </w:pPr>
          </w:p>
        </w:tc>
        <w:tc>
          <w:tcPr>
            <w:tcW w:w="463"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528" w:type="dxa"/>
            <w:shd w:val="clear" w:color="auto" w:fill="DEEAF6"/>
          </w:tcPr>
          <w:p>
            <w:pPr>
              <w:pStyle w:val="TableParagraph"/>
              <w:rPr>
                <w:sz w:val="16"/>
              </w:rPr>
            </w:pPr>
          </w:p>
        </w:tc>
        <w:tc>
          <w:tcPr>
            <w:tcW w:w="527" w:type="dxa"/>
            <w:shd w:val="clear" w:color="auto" w:fill="DEEAF6"/>
          </w:tcPr>
          <w:p>
            <w:pPr>
              <w:pStyle w:val="TableParagraph"/>
              <w:rPr>
                <w:sz w:val="16"/>
              </w:rPr>
            </w:pPr>
          </w:p>
        </w:tc>
        <w:tc>
          <w:tcPr>
            <w:tcW w:w="544" w:type="dxa"/>
            <w:vMerge w:val="restart"/>
          </w:tcPr>
          <w:p>
            <w:pPr>
              <w:pStyle w:val="TableParagraph"/>
              <w:ind w:left="114"/>
              <w:rPr>
                <w:sz w:val="20"/>
              </w:rPr>
            </w:pPr>
            <w:r>
              <w:rPr>
                <w:sz w:val="20"/>
              </w:rPr>
              <w:t>P:</w:t>
            </w:r>
            <w:r>
              <w:rPr>
                <w:spacing w:val="-1"/>
                <w:sz w:val="20"/>
              </w:rPr>
              <w:t> </w:t>
            </w:r>
            <w:r>
              <w:rPr>
                <w:spacing w:val="-10"/>
                <w:sz w:val="20"/>
              </w:rPr>
              <w:t>5</w:t>
            </w:r>
          </w:p>
        </w:tc>
      </w:tr>
      <w:tr>
        <w:trPr>
          <w:trHeight w:val="230" w:hRule="atLeast"/>
        </w:trPr>
        <w:tc>
          <w:tcPr>
            <w:tcW w:w="1217" w:type="dxa"/>
            <w:shd w:val="clear" w:color="auto" w:fill="DEEAF6"/>
          </w:tcPr>
          <w:p>
            <w:pPr>
              <w:pStyle w:val="TableParagraph"/>
              <w:spacing w:line="210" w:lineRule="exact"/>
              <w:ind w:left="107"/>
              <w:rPr>
                <w:sz w:val="20"/>
              </w:rPr>
            </w:pPr>
            <w:r>
              <w:rPr>
                <w:spacing w:val="-2"/>
                <w:sz w:val="20"/>
              </w:rPr>
              <w:t>Presente</w:t>
            </w:r>
          </w:p>
        </w:tc>
        <w:tc>
          <w:tcPr>
            <w:tcW w:w="641" w:type="dxa"/>
            <w:shd w:val="clear" w:color="auto" w:fill="DEEAF6"/>
          </w:tcPr>
          <w:p>
            <w:pPr>
              <w:pStyle w:val="TableParagraph"/>
              <w:spacing w:line="210" w:lineRule="exact"/>
              <w:ind w:right="15"/>
              <w:jc w:val="center"/>
              <w:rPr>
                <w:sz w:val="20"/>
              </w:rPr>
            </w:pPr>
            <w:r>
              <w:rPr>
                <w:spacing w:val="-2"/>
                <w:sz w:val="20"/>
              </w:rPr>
              <w:t>------</w:t>
            </w:r>
          </w:p>
        </w:tc>
        <w:tc>
          <w:tcPr>
            <w:tcW w:w="615" w:type="dxa"/>
            <w:shd w:val="clear" w:color="auto" w:fill="DEEAF6"/>
          </w:tcPr>
          <w:p>
            <w:pPr>
              <w:pStyle w:val="TableParagraph"/>
              <w:spacing w:line="210" w:lineRule="exact"/>
              <w:ind w:left="107"/>
              <w:rPr>
                <w:sz w:val="20"/>
              </w:rPr>
            </w:pPr>
            <w:r>
              <w:rPr>
                <w:spacing w:val="-2"/>
                <w:sz w:val="20"/>
              </w:rPr>
              <w:t>----</w:t>
            </w:r>
          </w:p>
        </w:tc>
        <w:tc>
          <w:tcPr>
            <w:tcW w:w="434" w:type="dxa"/>
            <w:shd w:val="clear" w:color="auto" w:fill="DEEAF6"/>
          </w:tcPr>
          <w:p>
            <w:pPr>
              <w:pStyle w:val="TableParagraph"/>
              <w:spacing w:line="210" w:lineRule="exact"/>
              <w:ind w:right="9"/>
              <w:jc w:val="center"/>
              <w:rPr>
                <w:sz w:val="20"/>
              </w:rPr>
            </w:pPr>
            <w:r>
              <w:rPr>
                <w:spacing w:val="-2"/>
                <w:sz w:val="20"/>
              </w:rPr>
              <w:t>---</w:t>
            </w:r>
          </w:p>
        </w:tc>
        <w:tc>
          <w:tcPr>
            <w:tcW w:w="436" w:type="dxa"/>
            <w:shd w:val="clear" w:color="auto" w:fill="DEEAF6"/>
          </w:tcPr>
          <w:p>
            <w:pPr>
              <w:pStyle w:val="TableParagraph"/>
              <w:spacing w:line="210" w:lineRule="exact"/>
              <w:ind w:right="10"/>
              <w:jc w:val="center"/>
              <w:rPr>
                <w:sz w:val="20"/>
              </w:rPr>
            </w:pPr>
            <w:r>
              <w:rPr>
                <w:spacing w:val="-2"/>
                <w:sz w:val="20"/>
              </w:rPr>
              <w:t>---</w:t>
            </w:r>
          </w:p>
        </w:tc>
        <w:tc>
          <w:tcPr>
            <w:tcW w:w="434" w:type="dxa"/>
            <w:shd w:val="clear" w:color="auto" w:fill="DEEAF6"/>
          </w:tcPr>
          <w:p>
            <w:pPr>
              <w:pStyle w:val="TableParagraph"/>
              <w:rPr>
                <w:sz w:val="16"/>
              </w:rPr>
            </w:pPr>
          </w:p>
        </w:tc>
        <w:tc>
          <w:tcPr>
            <w:tcW w:w="482" w:type="dxa"/>
            <w:shd w:val="clear" w:color="auto" w:fill="DEEAF6"/>
          </w:tcPr>
          <w:p>
            <w:pPr>
              <w:pStyle w:val="TableParagraph"/>
              <w:rPr>
                <w:sz w:val="16"/>
              </w:rPr>
            </w:pPr>
          </w:p>
        </w:tc>
        <w:tc>
          <w:tcPr>
            <w:tcW w:w="463" w:type="dxa"/>
            <w:shd w:val="clear" w:color="auto" w:fill="DEEAF6"/>
          </w:tcPr>
          <w:p>
            <w:pPr>
              <w:pStyle w:val="TableParagraph"/>
              <w:spacing w:line="210" w:lineRule="exact"/>
              <w:ind w:right="34"/>
              <w:jc w:val="center"/>
              <w:rPr>
                <w:sz w:val="20"/>
              </w:rPr>
            </w:pPr>
            <w:r>
              <w:rPr>
                <w:spacing w:val="-2"/>
                <w:sz w:val="20"/>
              </w:rPr>
              <w:t>---</w:t>
            </w:r>
          </w:p>
        </w:tc>
        <w:tc>
          <w:tcPr>
            <w:tcW w:w="436" w:type="dxa"/>
            <w:shd w:val="clear" w:color="auto" w:fill="DEEAF6"/>
          </w:tcPr>
          <w:p>
            <w:pPr>
              <w:pStyle w:val="TableParagraph"/>
              <w:spacing w:line="210" w:lineRule="exact"/>
              <w:ind w:right="6"/>
              <w:jc w:val="center"/>
              <w:rPr>
                <w:sz w:val="20"/>
              </w:rPr>
            </w:pPr>
            <w:r>
              <w:rPr>
                <w:spacing w:val="-2"/>
                <w:sz w:val="20"/>
              </w:rPr>
              <w:t>---</w:t>
            </w:r>
          </w:p>
        </w:tc>
        <w:tc>
          <w:tcPr>
            <w:tcW w:w="434" w:type="dxa"/>
            <w:shd w:val="clear" w:color="auto" w:fill="DEEAF6"/>
          </w:tcPr>
          <w:p>
            <w:pPr>
              <w:pStyle w:val="TableParagraph"/>
              <w:spacing w:line="210" w:lineRule="exact"/>
              <w:ind w:right="2"/>
              <w:jc w:val="center"/>
              <w:rPr>
                <w:sz w:val="20"/>
              </w:rPr>
            </w:pPr>
            <w:r>
              <w:rPr>
                <w:spacing w:val="-2"/>
                <w:sz w:val="20"/>
              </w:rPr>
              <w:t>---</w:t>
            </w:r>
          </w:p>
        </w:tc>
        <w:tc>
          <w:tcPr>
            <w:tcW w:w="434" w:type="dxa"/>
            <w:shd w:val="clear" w:color="auto" w:fill="DEEAF6"/>
          </w:tcPr>
          <w:p>
            <w:pPr>
              <w:pStyle w:val="TableParagraph"/>
              <w:spacing w:line="210" w:lineRule="exact"/>
              <w:ind w:right="1"/>
              <w:jc w:val="center"/>
              <w:rPr>
                <w:sz w:val="20"/>
              </w:rPr>
            </w:pPr>
            <w:r>
              <w:rPr>
                <w:spacing w:val="-2"/>
                <w:sz w:val="20"/>
              </w:rPr>
              <w:t>---</w:t>
            </w:r>
          </w:p>
        </w:tc>
        <w:tc>
          <w:tcPr>
            <w:tcW w:w="434"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528" w:type="dxa"/>
            <w:shd w:val="clear" w:color="auto" w:fill="DEEAF6"/>
          </w:tcPr>
          <w:p>
            <w:pPr>
              <w:pStyle w:val="TableParagraph"/>
              <w:rPr>
                <w:sz w:val="16"/>
              </w:rPr>
            </w:pPr>
          </w:p>
        </w:tc>
        <w:tc>
          <w:tcPr>
            <w:tcW w:w="527" w:type="dxa"/>
            <w:shd w:val="clear" w:color="auto" w:fill="DEEAF6"/>
          </w:tcPr>
          <w:p>
            <w:pPr>
              <w:pStyle w:val="TableParagraph"/>
              <w:spacing w:line="210" w:lineRule="exact"/>
              <w:ind w:right="23"/>
              <w:jc w:val="center"/>
              <w:rPr>
                <w:sz w:val="20"/>
              </w:rPr>
            </w:pPr>
            <w:r>
              <w:rPr>
                <w:spacing w:val="-2"/>
                <w:sz w:val="20"/>
              </w:rPr>
              <w:t>----</w:t>
            </w:r>
          </w:p>
        </w:tc>
        <w:tc>
          <w:tcPr>
            <w:tcW w:w="544" w:type="dxa"/>
            <w:vMerge/>
            <w:tcBorders>
              <w:top w:val="nil"/>
            </w:tcBorders>
          </w:tcPr>
          <w:p>
            <w:pPr>
              <w:rPr>
                <w:sz w:val="2"/>
                <w:szCs w:val="2"/>
              </w:rPr>
            </w:pPr>
          </w:p>
        </w:tc>
      </w:tr>
      <w:tr>
        <w:trPr>
          <w:trHeight w:val="230" w:hRule="atLeast"/>
        </w:trPr>
        <w:tc>
          <w:tcPr>
            <w:tcW w:w="1217" w:type="dxa"/>
            <w:shd w:val="clear" w:color="auto" w:fill="DEEAF6"/>
          </w:tcPr>
          <w:p>
            <w:pPr>
              <w:pStyle w:val="TableParagraph"/>
              <w:spacing w:line="210" w:lineRule="exact"/>
              <w:ind w:left="107"/>
              <w:rPr>
                <w:sz w:val="20"/>
              </w:rPr>
            </w:pPr>
            <w:r>
              <w:rPr>
                <w:spacing w:val="-2"/>
                <w:sz w:val="20"/>
              </w:rPr>
              <w:t>Ausente</w:t>
            </w:r>
          </w:p>
        </w:tc>
        <w:tc>
          <w:tcPr>
            <w:tcW w:w="641" w:type="dxa"/>
            <w:shd w:val="clear" w:color="auto" w:fill="DEEAF6"/>
          </w:tcPr>
          <w:p>
            <w:pPr>
              <w:pStyle w:val="TableParagraph"/>
              <w:rPr>
                <w:sz w:val="16"/>
              </w:rPr>
            </w:pPr>
          </w:p>
        </w:tc>
        <w:tc>
          <w:tcPr>
            <w:tcW w:w="615"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82" w:type="dxa"/>
            <w:shd w:val="clear" w:color="auto" w:fill="DEEAF6"/>
          </w:tcPr>
          <w:p>
            <w:pPr>
              <w:pStyle w:val="TableParagraph"/>
              <w:spacing w:line="210" w:lineRule="exact"/>
              <w:ind w:right="54"/>
              <w:jc w:val="center"/>
              <w:rPr>
                <w:sz w:val="20"/>
              </w:rPr>
            </w:pPr>
            <w:r>
              <w:rPr>
                <w:spacing w:val="-2"/>
                <w:sz w:val="20"/>
              </w:rPr>
              <w:t>---</w:t>
            </w:r>
          </w:p>
        </w:tc>
        <w:tc>
          <w:tcPr>
            <w:tcW w:w="463"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4" w:type="dxa"/>
            <w:shd w:val="clear" w:color="auto" w:fill="DEEAF6"/>
          </w:tcPr>
          <w:p>
            <w:pPr>
              <w:pStyle w:val="TableParagraph"/>
              <w:spacing w:line="210" w:lineRule="exact"/>
              <w:jc w:val="center"/>
              <w:rPr>
                <w:sz w:val="20"/>
              </w:rPr>
            </w:pPr>
            <w:r>
              <w:rPr>
                <w:spacing w:val="-2"/>
                <w:sz w:val="20"/>
              </w:rPr>
              <w:t>---</w:t>
            </w:r>
          </w:p>
        </w:tc>
        <w:tc>
          <w:tcPr>
            <w:tcW w:w="436" w:type="dxa"/>
            <w:shd w:val="clear" w:color="auto" w:fill="DEEAF6"/>
          </w:tcPr>
          <w:p>
            <w:pPr>
              <w:pStyle w:val="TableParagraph"/>
              <w:spacing w:line="210" w:lineRule="exact"/>
              <w:ind w:right="2"/>
              <w:jc w:val="center"/>
              <w:rPr>
                <w:sz w:val="20"/>
              </w:rPr>
            </w:pPr>
            <w:r>
              <w:rPr>
                <w:spacing w:val="-2"/>
                <w:sz w:val="20"/>
              </w:rPr>
              <w:t>---</w:t>
            </w:r>
          </w:p>
        </w:tc>
        <w:tc>
          <w:tcPr>
            <w:tcW w:w="528" w:type="dxa"/>
            <w:shd w:val="clear" w:color="auto" w:fill="DEEAF6"/>
          </w:tcPr>
          <w:p>
            <w:pPr>
              <w:pStyle w:val="TableParagraph"/>
              <w:spacing w:line="210" w:lineRule="exact"/>
              <w:ind w:right="24"/>
              <w:jc w:val="center"/>
              <w:rPr>
                <w:sz w:val="20"/>
              </w:rPr>
            </w:pPr>
            <w:r>
              <w:rPr>
                <w:spacing w:val="-2"/>
                <w:sz w:val="20"/>
              </w:rPr>
              <w:t>----</w:t>
            </w:r>
          </w:p>
        </w:tc>
        <w:tc>
          <w:tcPr>
            <w:tcW w:w="527" w:type="dxa"/>
            <w:shd w:val="clear" w:color="auto" w:fill="DEEAF6"/>
          </w:tcPr>
          <w:p>
            <w:pPr>
              <w:pStyle w:val="TableParagraph"/>
              <w:rPr>
                <w:sz w:val="16"/>
              </w:rPr>
            </w:pPr>
          </w:p>
        </w:tc>
        <w:tc>
          <w:tcPr>
            <w:tcW w:w="544" w:type="dxa"/>
            <w:vMerge/>
            <w:tcBorders>
              <w:top w:val="nil"/>
            </w:tcBorders>
          </w:tcPr>
          <w:p>
            <w:pPr>
              <w:rPr>
                <w:sz w:val="2"/>
                <w:szCs w:val="2"/>
              </w:rPr>
            </w:pPr>
          </w:p>
        </w:tc>
      </w:tr>
      <w:tr>
        <w:trPr>
          <w:trHeight w:val="230" w:hRule="atLeast"/>
        </w:trPr>
        <w:tc>
          <w:tcPr>
            <w:tcW w:w="1217" w:type="dxa"/>
            <w:shd w:val="clear" w:color="auto" w:fill="DEEAF6"/>
          </w:tcPr>
          <w:p>
            <w:pPr>
              <w:pStyle w:val="TableParagraph"/>
              <w:spacing w:line="210" w:lineRule="exact"/>
              <w:ind w:left="107"/>
              <w:rPr>
                <w:sz w:val="20"/>
              </w:rPr>
            </w:pPr>
            <w:r>
              <w:rPr>
                <w:spacing w:val="-2"/>
                <w:sz w:val="20"/>
              </w:rPr>
              <w:t>T0-</w:t>
            </w:r>
            <w:r>
              <w:rPr>
                <w:spacing w:val="-12"/>
                <w:sz w:val="20"/>
              </w:rPr>
              <w:t>4</w:t>
            </w:r>
          </w:p>
        </w:tc>
        <w:tc>
          <w:tcPr>
            <w:tcW w:w="641" w:type="dxa"/>
            <w:shd w:val="clear" w:color="auto" w:fill="DEEAF6"/>
          </w:tcPr>
          <w:p>
            <w:pPr>
              <w:pStyle w:val="TableParagraph"/>
              <w:rPr>
                <w:sz w:val="16"/>
              </w:rPr>
            </w:pPr>
          </w:p>
        </w:tc>
        <w:tc>
          <w:tcPr>
            <w:tcW w:w="615"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82" w:type="dxa"/>
            <w:shd w:val="clear" w:color="auto" w:fill="DEEAF6"/>
          </w:tcPr>
          <w:p>
            <w:pPr>
              <w:pStyle w:val="TableParagraph"/>
              <w:rPr>
                <w:sz w:val="16"/>
              </w:rPr>
            </w:pPr>
          </w:p>
        </w:tc>
        <w:tc>
          <w:tcPr>
            <w:tcW w:w="463"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528" w:type="dxa"/>
            <w:shd w:val="clear" w:color="auto" w:fill="DEEAF6"/>
          </w:tcPr>
          <w:p>
            <w:pPr>
              <w:pStyle w:val="TableParagraph"/>
              <w:rPr>
                <w:sz w:val="16"/>
              </w:rPr>
            </w:pPr>
          </w:p>
        </w:tc>
        <w:tc>
          <w:tcPr>
            <w:tcW w:w="527" w:type="dxa"/>
            <w:shd w:val="clear" w:color="auto" w:fill="DEEAF6"/>
          </w:tcPr>
          <w:p>
            <w:pPr>
              <w:pStyle w:val="TableParagraph"/>
              <w:rPr>
                <w:sz w:val="16"/>
              </w:rPr>
            </w:pPr>
          </w:p>
        </w:tc>
        <w:tc>
          <w:tcPr>
            <w:tcW w:w="544" w:type="dxa"/>
            <w:vMerge w:val="restart"/>
          </w:tcPr>
          <w:p>
            <w:pPr>
              <w:pStyle w:val="TableParagraph"/>
              <w:ind w:left="114"/>
              <w:rPr>
                <w:sz w:val="20"/>
              </w:rPr>
            </w:pPr>
            <w:r>
              <w:rPr>
                <w:sz w:val="20"/>
              </w:rPr>
              <w:t>P:</w:t>
            </w:r>
            <w:r>
              <w:rPr>
                <w:spacing w:val="-1"/>
                <w:sz w:val="20"/>
              </w:rPr>
              <w:t> </w:t>
            </w:r>
            <w:r>
              <w:rPr>
                <w:spacing w:val="-10"/>
                <w:sz w:val="20"/>
              </w:rPr>
              <w:t>5</w:t>
            </w:r>
          </w:p>
        </w:tc>
      </w:tr>
      <w:tr>
        <w:trPr>
          <w:trHeight w:val="230" w:hRule="atLeast"/>
        </w:trPr>
        <w:tc>
          <w:tcPr>
            <w:tcW w:w="1217" w:type="dxa"/>
            <w:shd w:val="clear" w:color="auto" w:fill="DEEAF6"/>
          </w:tcPr>
          <w:p>
            <w:pPr>
              <w:pStyle w:val="TableParagraph"/>
              <w:spacing w:line="210" w:lineRule="exact"/>
              <w:ind w:left="107"/>
              <w:rPr>
                <w:sz w:val="20"/>
              </w:rPr>
            </w:pPr>
            <w:r>
              <w:rPr>
                <w:spacing w:val="-2"/>
                <w:sz w:val="20"/>
              </w:rPr>
              <w:t>Presente</w:t>
            </w:r>
          </w:p>
        </w:tc>
        <w:tc>
          <w:tcPr>
            <w:tcW w:w="641" w:type="dxa"/>
            <w:shd w:val="clear" w:color="auto" w:fill="DEEAF6"/>
          </w:tcPr>
          <w:p>
            <w:pPr>
              <w:pStyle w:val="TableParagraph"/>
              <w:rPr>
                <w:sz w:val="16"/>
              </w:rPr>
            </w:pPr>
          </w:p>
        </w:tc>
        <w:tc>
          <w:tcPr>
            <w:tcW w:w="615" w:type="dxa"/>
            <w:shd w:val="clear" w:color="auto" w:fill="DEEAF6"/>
          </w:tcPr>
          <w:p>
            <w:pPr>
              <w:pStyle w:val="TableParagraph"/>
              <w:spacing w:line="210" w:lineRule="exact"/>
              <w:ind w:left="107"/>
              <w:rPr>
                <w:sz w:val="20"/>
              </w:rPr>
            </w:pPr>
            <w:r>
              <w:rPr>
                <w:spacing w:val="-2"/>
                <w:sz w:val="20"/>
              </w:rPr>
              <w:t>----</w:t>
            </w:r>
          </w:p>
        </w:tc>
        <w:tc>
          <w:tcPr>
            <w:tcW w:w="434" w:type="dxa"/>
            <w:shd w:val="clear" w:color="auto" w:fill="DEEAF6"/>
          </w:tcPr>
          <w:p>
            <w:pPr>
              <w:pStyle w:val="TableParagraph"/>
              <w:spacing w:line="210" w:lineRule="exact"/>
              <w:ind w:right="9"/>
              <w:jc w:val="center"/>
              <w:rPr>
                <w:sz w:val="20"/>
              </w:rPr>
            </w:pPr>
            <w:r>
              <w:rPr>
                <w:spacing w:val="-2"/>
                <w:sz w:val="20"/>
              </w:rPr>
              <w:t>---</w:t>
            </w:r>
          </w:p>
        </w:tc>
        <w:tc>
          <w:tcPr>
            <w:tcW w:w="436" w:type="dxa"/>
            <w:shd w:val="clear" w:color="auto" w:fill="DEEAF6"/>
          </w:tcPr>
          <w:p>
            <w:pPr>
              <w:pStyle w:val="TableParagraph"/>
              <w:spacing w:line="210" w:lineRule="exact"/>
              <w:ind w:right="10"/>
              <w:jc w:val="center"/>
              <w:rPr>
                <w:sz w:val="20"/>
              </w:rPr>
            </w:pPr>
            <w:r>
              <w:rPr>
                <w:spacing w:val="-2"/>
                <w:sz w:val="20"/>
              </w:rPr>
              <w:t>---</w:t>
            </w:r>
          </w:p>
        </w:tc>
        <w:tc>
          <w:tcPr>
            <w:tcW w:w="434" w:type="dxa"/>
            <w:shd w:val="clear" w:color="auto" w:fill="DEEAF6"/>
          </w:tcPr>
          <w:p>
            <w:pPr>
              <w:pStyle w:val="TableParagraph"/>
              <w:rPr>
                <w:sz w:val="16"/>
              </w:rPr>
            </w:pPr>
          </w:p>
        </w:tc>
        <w:tc>
          <w:tcPr>
            <w:tcW w:w="482" w:type="dxa"/>
            <w:shd w:val="clear" w:color="auto" w:fill="DEEAF6"/>
          </w:tcPr>
          <w:p>
            <w:pPr>
              <w:pStyle w:val="TableParagraph"/>
              <w:rPr>
                <w:sz w:val="16"/>
              </w:rPr>
            </w:pPr>
          </w:p>
        </w:tc>
        <w:tc>
          <w:tcPr>
            <w:tcW w:w="463"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434" w:type="dxa"/>
            <w:shd w:val="clear" w:color="auto" w:fill="DEEAF6"/>
          </w:tcPr>
          <w:p>
            <w:pPr>
              <w:pStyle w:val="TableParagraph"/>
              <w:spacing w:line="210" w:lineRule="exact"/>
              <w:ind w:right="2"/>
              <w:jc w:val="center"/>
              <w:rPr>
                <w:sz w:val="20"/>
              </w:rPr>
            </w:pPr>
            <w:r>
              <w:rPr>
                <w:spacing w:val="-2"/>
                <w:sz w:val="20"/>
              </w:rPr>
              <w:t>---</w:t>
            </w:r>
          </w:p>
        </w:tc>
        <w:tc>
          <w:tcPr>
            <w:tcW w:w="434" w:type="dxa"/>
            <w:shd w:val="clear" w:color="auto" w:fill="DEEAF6"/>
          </w:tcPr>
          <w:p>
            <w:pPr>
              <w:pStyle w:val="TableParagraph"/>
              <w:spacing w:line="210" w:lineRule="exact"/>
              <w:ind w:right="1"/>
              <w:jc w:val="center"/>
              <w:rPr>
                <w:sz w:val="20"/>
              </w:rPr>
            </w:pPr>
            <w:r>
              <w:rPr>
                <w:spacing w:val="-2"/>
                <w:sz w:val="20"/>
              </w:rPr>
              <w:t>---</w:t>
            </w:r>
          </w:p>
        </w:tc>
        <w:tc>
          <w:tcPr>
            <w:tcW w:w="434" w:type="dxa"/>
            <w:shd w:val="clear" w:color="auto" w:fill="DEEAF6"/>
          </w:tcPr>
          <w:p>
            <w:pPr>
              <w:pStyle w:val="TableParagraph"/>
              <w:spacing w:line="210" w:lineRule="exact"/>
              <w:jc w:val="center"/>
              <w:rPr>
                <w:sz w:val="20"/>
              </w:rPr>
            </w:pPr>
            <w:r>
              <w:rPr>
                <w:spacing w:val="-2"/>
                <w:sz w:val="20"/>
              </w:rPr>
              <w:t>---</w:t>
            </w:r>
          </w:p>
        </w:tc>
        <w:tc>
          <w:tcPr>
            <w:tcW w:w="436" w:type="dxa"/>
            <w:shd w:val="clear" w:color="auto" w:fill="DEEAF6"/>
          </w:tcPr>
          <w:p>
            <w:pPr>
              <w:pStyle w:val="TableParagraph"/>
              <w:rPr>
                <w:sz w:val="16"/>
              </w:rPr>
            </w:pPr>
          </w:p>
        </w:tc>
        <w:tc>
          <w:tcPr>
            <w:tcW w:w="528" w:type="dxa"/>
            <w:shd w:val="clear" w:color="auto" w:fill="DEEAF6"/>
          </w:tcPr>
          <w:p>
            <w:pPr>
              <w:pStyle w:val="TableParagraph"/>
              <w:rPr>
                <w:sz w:val="16"/>
              </w:rPr>
            </w:pPr>
          </w:p>
        </w:tc>
        <w:tc>
          <w:tcPr>
            <w:tcW w:w="527" w:type="dxa"/>
            <w:shd w:val="clear" w:color="auto" w:fill="DEEAF6"/>
          </w:tcPr>
          <w:p>
            <w:pPr>
              <w:pStyle w:val="TableParagraph"/>
              <w:spacing w:line="210" w:lineRule="exact"/>
              <w:ind w:right="23"/>
              <w:jc w:val="center"/>
              <w:rPr>
                <w:sz w:val="20"/>
              </w:rPr>
            </w:pPr>
            <w:r>
              <w:rPr>
                <w:spacing w:val="-2"/>
                <w:sz w:val="20"/>
              </w:rPr>
              <w:t>----</w:t>
            </w:r>
          </w:p>
        </w:tc>
        <w:tc>
          <w:tcPr>
            <w:tcW w:w="544" w:type="dxa"/>
            <w:vMerge/>
            <w:tcBorders>
              <w:top w:val="nil"/>
            </w:tcBorders>
          </w:tcPr>
          <w:p>
            <w:pPr>
              <w:rPr>
                <w:sz w:val="2"/>
                <w:szCs w:val="2"/>
              </w:rPr>
            </w:pPr>
          </w:p>
        </w:tc>
      </w:tr>
      <w:tr>
        <w:trPr>
          <w:trHeight w:val="230" w:hRule="atLeast"/>
        </w:trPr>
        <w:tc>
          <w:tcPr>
            <w:tcW w:w="1217" w:type="dxa"/>
            <w:shd w:val="clear" w:color="auto" w:fill="DEEAF6"/>
          </w:tcPr>
          <w:p>
            <w:pPr>
              <w:pStyle w:val="TableParagraph"/>
              <w:spacing w:line="210" w:lineRule="exact"/>
              <w:ind w:left="107"/>
              <w:rPr>
                <w:sz w:val="20"/>
              </w:rPr>
            </w:pPr>
            <w:r>
              <w:rPr>
                <w:spacing w:val="-2"/>
                <w:sz w:val="20"/>
              </w:rPr>
              <w:t>Ausente</w:t>
            </w:r>
          </w:p>
        </w:tc>
        <w:tc>
          <w:tcPr>
            <w:tcW w:w="641" w:type="dxa"/>
            <w:shd w:val="clear" w:color="auto" w:fill="DEEAF6"/>
          </w:tcPr>
          <w:p>
            <w:pPr>
              <w:pStyle w:val="TableParagraph"/>
              <w:spacing w:line="210" w:lineRule="exact"/>
              <w:ind w:right="82"/>
              <w:jc w:val="center"/>
              <w:rPr>
                <w:sz w:val="20"/>
              </w:rPr>
            </w:pPr>
            <w:r>
              <w:rPr>
                <w:spacing w:val="-2"/>
                <w:sz w:val="20"/>
              </w:rPr>
              <w:t>-----</w:t>
            </w:r>
          </w:p>
        </w:tc>
        <w:tc>
          <w:tcPr>
            <w:tcW w:w="615"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6"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82" w:type="dxa"/>
            <w:shd w:val="clear" w:color="auto" w:fill="DEEAF6"/>
          </w:tcPr>
          <w:p>
            <w:pPr>
              <w:pStyle w:val="TableParagraph"/>
              <w:spacing w:line="210" w:lineRule="exact"/>
              <w:ind w:right="54"/>
              <w:jc w:val="center"/>
              <w:rPr>
                <w:sz w:val="20"/>
              </w:rPr>
            </w:pPr>
            <w:r>
              <w:rPr>
                <w:spacing w:val="-2"/>
                <w:sz w:val="20"/>
              </w:rPr>
              <w:t>---</w:t>
            </w:r>
          </w:p>
        </w:tc>
        <w:tc>
          <w:tcPr>
            <w:tcW w:w="463" w:type="dxa"/>
            <w:shd w:val="clear" w:color="auto" w:fill="DEEAF6"/>
          </w:tcPr>
          <w:p>
            <w:pPr>
              <w:pStyle w:val="TableParagraph"/>
              <w:spacing w:line="210" w:lineRule="exact"/>
              <w:ind w:right="34"/>
              <w:jc w:val="center"/>
              <w:rPr>
                <w:sz w:val="20"/>
              </w:rPr>
            </w:pPr>
            <w:r>
              <w:rPr>
                <w:spacing w:val="-2"/>
                <w:sz w:val="20"/>
              </w:rPr>
              <w:t>---</w:t>
            </w:r>
          </w:p>
        </w:tc>
        <w:tc>
          <w:tcPr>
            <w:tcW w:w="436" w:type="dxa"/>
            <w:shd w:val="clear" w:color="auto" w:fill="DEEAF6"/>
          </w:tcPr>
          <w:p>
            <w:pPr>
              <w:pStyle w:val="TableParagraph"/>
              <w:spacing w:line="210" w:lineRule="exact"/>
              <w:ind w:right="6"/>
              <w:jc w:val="center"/>
              <w:rPr>
                <w:sz w:val="20"/>
              </w:rPr>
            </w:pPr>
            <w:r>
              <w:rPr>
                <w:spacing w:val="-2"/>
                <w:sz w:val="20"/>
              </w:rPr>
              <w:t>---</w:t>
            </w:r>
          </w:p>
        </w:tc>
        <w:tc>
          <w:tcPr>
            <w:tcW w:w="434"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4" w:type="dxa"/>
            <w:shd w:val="clear" w:color="auto" w:fill="DEEAF6"/>
          </w:tcPr>
          <w:p>
            <w:pPr>
              <w:pStyle w:val="TableParagraph"/>
              <w:rPr>
                <w:sz w:val="16"/>
              </w:rPr>
            </w:pPr>
          </w:p>
        </w:tc>
        <w:tc>
          <w:tcPr>
            <w:tcW w:w="436" w:type="dxa"/>
            <w:shd w:val="clear" w:color="auto" w:fill="DEEAF6"/>
          </w:tcPr>
          <w:p>
            <w:pPr>
              <w:pStyle w:val="TableParagraph"/>
              <w:spacing w:line="210" w:lineRule="exact"/>
              <w:ind w:right="2"/>
              <w:jc w:val="center"/>
              <w:rPr>
                <w:sz w:val="20"/>
              </w:rPr>
            </w:pPr>
            <w:r>
              <w:rPr>
                <w:spacing w:val="-2"/>
                <w:sz w:val="20"/>
              </w:rPr>
              <w:t>---</w:t>
            </w:r>
          </w:p>
        </w:tc>
        <w:tc>
          <w:tcPr>
            <w:tcW w:w="528" w:type="dxa"/>
            <w:shd w:val="clear" w:color="auto" w:fill="DEEAF6"/>
          </w:tcPr>
          <w:p>
            <w:pPr>
              <w:pStyle w:val="TableParagraph"/>
              <w:spacing w:line="210" w:lineRule="exact"/>
              <w:ind w:right="24"/>
              <w:jc w:val="center"/>
              <w:rPr>
                <w:sz w:val="20"/>
              </w:rPr>
            </w:pPr>
            <w:r>
              <w:rPr>
                <w:spacing w:val="-2"/>
                <w:sz w:val="20"/>
              </w:rPr>
              <w:t>----</w:t>
            </w:r>
          </w:p>
        </w:tc>
        <w:tc>
          <w:tcPr>
            <w:tcW w:w="527" w:type="dxa"/>
            <w:shd w:val="clear" w:color="auto" w:fill="DEEAF6"/>
          </w:tcPr>
          <w:p>
            <w:pPr>
              <w:pStyle w:val="TableParagraph"/>
              <w:rPr>
                <w:sz w:val="16"/>
              </w:rPr>
            </w:pPr>
          </w:p>
        </w:tc>
        <w:tc>
          <w:tcPr>
            <w:tcW w:w="544" w:type="dxa"/>
            <w:vMerge/>
            <w:tcBorders>
              <w:top w:val="nil"/>
            </w:tcBorders>
          </w:tcPr>
          <w:p>
            <w:pPr>
              <w:rPr>
                <w:sz w:val="2"/>
                <w:szCs w:val="2"/>
              </w:rPr>
            </w:pPr>
          </w:p>
        </w:tc>
      </w:tr>
      <w:tr>
        <w:trPr>
          <w:trHeight w:val="230" w:hRule="atLeast"/>
        </w:trPr>
        <w:tc>
          <w:tcPr>
            <w:tcW w:w="1217" w:type="dxa"/>
            <w:shd w:val="clear" w:color="auto" w:fill="E1EED9"/>
          </w:tcPr>
          <w:p>
            <w:pPr>
              <w:pStyle w:val="TableParagraph"/>
              <w:spacing w:line="210" w:lineRule="exact"/>
              <w:ind w:left="107"/>
              <w:rPr>
                <w:sz w:val="20"/>
              </w:rPr>
            </w:pPr>
            <w:r>
              <w:rPr>
                <w:spacing w:val="-2"/>
                <w:sz w:val="20"/>
              </w:rPr>
              <w:t>T1-</w:t>
            </w:r>
            <w:r>
              <w:rPr>
                <w:spacing w:val="-12"/>
                <w:sz w:val="20"/>
              </w:rPr>
              <w:t>1</w:t>
            </w:r>
          </w:p>
        </w:tc>
        <w:tc>
          <w:tcPr>
            <w:tcW w:w="641" w:type="dxa"/>
            <w:shd w:val="clear" w:color="auto" w:fill="E1EED9"/>
          </w:tcPr>
          <w:p>
            <w:pPr>
              <w:pStyle w:val="TableParagraph"/>
              <w:rPr>
                <w:sz w:val="16"/>
              </w:rPr>
            </w:pPr>
          </w:p>
        </w:tc>
        <w:tc>
          <w:tcPr>
            <w:tcW w:w="615"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82" w:type="dxa"/>
            <w:shd w:val="clear" w:color="auto" w:fill="E1EED9"/>
          </w:tcPr>
          <w:p>
            <w:pPr>
              <w:pStyle w:val="TableParagraph"/>
              <w:rPr>
                <w:sz w:val="16"/>
              </w:rPr>
            </w:pPr>
          </w:p>
        </w:tc>
        <w:tc>
          <w:tcPr>
            <w:tcW w:w="463"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528" w:type="dxa"/>
            <w:shd w:val="clear" w:color="auto" w:fill="E1EED9"/>
          </w:tcPr>
          <w:p>
            <w:pPr>
              <w:pStyle w:val="TableParagraph"/>
              <w:rPr>
                <w:sz w:val="16"/>
              </w:rPr>
            </w:pPr>
          </w:p>
        </w:tc>
        <w:tc>
          <w:tcPr>
            <w:tcW w:w="527" w:type="dxa"/>
            <w:shd w:val="clear" w:color="auto" w:fill="E1EED9"/>
          </w:tcPr>
          <w:p>
            <w:pPr>
              <w:pStyle w:val="TableParagraph"/>
              <w:rPr>
                <w:sz w:val="16"/>
              </w:rPr>
            </w:pPr>
          </w:p>
        </w:tc>
        <w:tc>
          <w:tcPr>
            <w:tcW w:w="544" w:type="dxa"/>
            <w:vMerge w:val="restart"/>
          </w:tcPr>
          <w:p>
            <w:pPr>
              <w:pStyle w:val="TableParagraph"/>
              <w:ind w:left="114"/>
              <w:rPr>
                <w:sz w:val="20"/>
              </w:rPr>
            </w:pPr>
            <w:r>
              <w:rPr>
                <w:sz w:val="20"/>
              </w:rPr>
              <w:t>P:</w:t>
            </w:r>
            <w:r>
              <w:rPr>
                <w:spacing w:val="-1"/>
                <w:sz w:val="20"/>
              </w:rPr>
              <w:t> </w:t>
            </w:r>
            <w:r>
              <w:rPr>
                <w:spacing w:val="-10"/>
                <w:sz w:val="20"/>
              </w:rPr>
              <w:t>6</w:t>
            </w:r>
          </w:p>
        </w:tc>
      </w:tr>
      <w:tr>
        <w:trPr>
          <w:trHeight w:val="230" w:hRule="atLeast"/>
        </w:trPr>
        <w:tc>
          <w:tcPr>
            <w:tcW w:w="1217" w:type="dxa"/>
            <w:shd w:val="clear" w:color="auto" w:fill="E1EED9"/>
          </w:tcPr>
          <w:p>
            <w:pPr>
              <w:pStyle w:val="TableParagraph"/>
              <w:spacing w:line="210" w:lineRule="exact"/>
              <w:ind w:left="107"/>
              <w:rPr>
                <w:sz w:val="20"/>
              </w:rPr>
            </w:pPr>
            <w:r>
              <w:rPr>
                <w:spacing w:val="-2"/>
                <w:sz w:val="20"/>
              </w:rPr>
              <w:t>Presente</w:t>
            </w:r>
          </w:p>
        </w:tc>
        <w:tc>
          <w:tcPr>
            <w:tcW w:w="641" w:type="dxa"/>
            <w:shd w:val="clear" w:color="auto" w:fill="E1EED9"/>
          </w:tcPr>
          <w:p>
            <w:pPr>
              <w:pStyle w:val="TableParagraph"/>
              <w:rPr>
                <w:sz w:val="16"/>
              </w:rPr>
            </w:pPr>
          </w:p>
        </w:tc>
        <w:tc>
          <w:tcPr>
            <w:tcW w:w="615" w:type="dxa"/>
            <w:shd w:val="clear" w:color="auto" w:fill="E1EED9"/>
          </w:tcPr>
          <w:p>
            <w:pPr>
              <w:pStyle w:val="TableParagraph"/>
              <w:spacing w:line="210" w:lineRule="exact"/>
              <w:ind w:left="107"/>
              <w:rPr>
                <w:sz w:val="20"/>
              </w:rPr>
            </w:pPr>
            <w:r>
              <w:rPr>
                <w:spacing w:val="-2"/>
                <w:sz w:val="20"/>
              </w:rPr>
              <w:t>----</w:t>
            </w:r>
          </w:p>
        </w:tc>
        <w:tc>
          <w:tcPr>
            <w:tcW w:w="434"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82" w:type="dxa"/>
            <w:shd w:val="clear" w:color="auto" w:fill="E1EED9"/>
          </w:tcPr>
          <w:p>
            <w:pPr>
              <w:pStyle w:val="TableParagraph"/>
              <w:spacing w:line="210" w:lineRule="exact"/>
              <w:ind w:right="53"/>
              <w:jc w:val="center"/>
              <w:rPr>
                <w:sz w:val="20"/>
              </w:rPr>
            </w:pPr>
            <w:r>
              <w:rPr>
                <w:spacing w:val="-2"/>
                <w:sz w:val="20"/>
              </w:rPr>
              <w:t>---</w:t>
            </w:r>
          </w:p>
        </w:tc>
        <w:tc>
          <w:tcPr>
            <w:tcW w:w="463" w:type="dxa"/>
            <w:shd w:val="clear" w:color="auto" w:fill="E1EED9"/>
          </w:tcPr>
          <w:p>
            <w:pPr>
              <w:pStyle w:val="TableParagraph"/>
              <w:rPr>
                <w:sz w:val="16"/>
              </w:rPr>
            </w:pPr>
          </w:p>
        </w:tc>
        <w:tc>
          <w:tcPr>
            <w:tcW w:w="436" w:type="dxa"/>
            <w:shd w:val="clear" w:color="auto" w:fill="E1EED9"/>
          </w:tcPr>
          <w:p>
            <w:pPr>
              <w:pStyle w:val="TableParagraph"/>
              <w:spacing w:line="210" w:lineRule="exact"/>
              <w:ind w:right="6"/>
              <w:jc w:val="center"/>
              <w:rPr>
                <w:sz w:val="20"/>
              </w:rPr>
            </w:pPr>
            <w:r>
              <w:rPr>
                <w:spacing w:val="-2"/>
                <w:sz w:val="20"/>
              </w:rPr>
              <w:t>---</w:t>
            </w:r>
          </w:p>
        </w:tc>
        <w:tc>
          <w:tcPr>
            <w:tcW w:w="434" w:type="dxa"/>
            <w:shd w:val="clear" w:color="auto" w:fill="E1EED9"/>
          </w:tcPr>
          <w:p>
            <w:pPr>
              <w:pStyle w:val="TableParagraph"/>
              <w:spacing w:line="210" w:lineRule="exact"/>
              <w:ind w:right="2"/>
              <w:jc w:val="center"/>
              <w:rPr>
                <w:sz w:val="20"/>
              </w:rPr>
            </w:pPr>
            <w:r>
              <w:rPr>
                <w:spacing w:val="-2"/>
                <w:sz w:val="20"/>
              </w:rPr>
              <w:t>---</w:t>
            </w:r>
          </w:p>
        </w:tc>
        <w:tc>
          <w:tcPr>
            <w:tcW w:w="434" w:type="dxa"/>
            <w:shd w:val="clear" w:color="auto" w:fill="E1EED9"/>
          </w:tcPr>
          <w:p>
            <w:pPr>
              <w:pStyle w:val="TableParagraph"/>
              <w:rPr>
                <w:sz w:val="16"/>
              </w:rPr>
            </w:pPr>
          </w:p>
        </w:tc>
        <w:tc>
          <w:tcPr>
            <w:tcW w:w="434" w:type="dxa"/>
            <w:shd w:val="clear" w:color="auto" w:fill="E1EED9"/>
          </w:tcPr>
          <w:p>
            <w:pPr>
              <w:pStyle w:val="TableParagraph"/>
              <w:spacing w:line="210" w:lineRule="exact"/>
              <w:jc w:val="center"/>
              <w:rPr>
                <w:sz w:val="20"/>
              </w:rPr>
            </w:pPr>
            <w:r>
              <w:rPr>
                <w:spacing w:val="-2"/>
                <w:sz w:val="20"/>
              </w:rPr>
              <w:t>---</w:t>
            </w:r>
          </w:p>
        </w:tc>
        <w:tc>
          <w:tcPr>
            <w:tcW w:w="436" w:type="dxa"/>
            <w:shd w:val="clear" w:color="auto" w:fill="E1EED9"/>
          </w:tcPr>
          <w:p>
            <w:pPr>
              <w:pStyle w:val="TableParagraph"/>
              <w:spacing w:line="210" w:lineRule="exact"/>
              <w:ind w:right="2"/>
              <w:jc w:val="center"/>
              <w:rPr>
                <w:sz w:val="20"/>
              </w:rPr>
            </w:pPr>
            <w:r>
              <w:rPr>
                <w:spacing w:val="-2"/>
                <w:sz w:val="20"/>
              </w:rPr>
              <w:t>---</w:t>
            </w:r>
          </w:p>
        </w:tc>
        <w:tc>
          <w:tcPr>
            <w:tcW w:w="528" w:type="dxa"/>
            <w:shd w:val="clear" w:color="auto" w:fill="E1EED9"/>
          </w:tcPr>
          <w:p>
            <w:pPr>
              <w:pStyle w:val="TableParagraph"/>
              <w:spacing w:line="210" w:lineRule="exact"/>
              <w:ind w:right="24"/>
              <w:jc w:val="center"/>
              <w:rPr>
                <w:sz w:val="20"/>
              </w:rPr>
            </w:pPr>
            <w:r>
              <w:rPr>
                <w:spacing w:val="-2"/>
                <w:sz w:val="20"/>
              </w:rPr>
              <w:t>----</w:t>
            </w:r>
          </w:p>
        </w:tc>
        <w:tc>
          <w:tcPr>
            <w:tcW w:w="527" w:type="dxa"/>
            <w:shd w:val="clear" w:color="auto" w:fill="E1EED9"/>
          </w:tcPr>
          <w:p>
            <w:pPr>
              <w:pStyle w:val="TableParagraph"/>
              <w:rPr>
                <w:sz w:val="16"/>
              </w:rPr>
            </w:pPr>
          </w:p>
        </w:tc>
        <w:tc>
          <w:tcPr>
            <w:tcW w:w="544" w:type="dxa"/>
            <w:vMerge/>
            <w:tcBorders>
              <w:top w:val="nil"/>
            </w:tcBorders>
          </w:tcPr>
          <w:p>
            <w:pPr>
              <w:rPr>
                <w:sz w:val="2"/>
                <w:szCs w:val="2"/>
              </w:rPr>
            </w:pPr>
          </w:p>
        </w:tc>
      </w:tr>
      <w:tr>
        <w:trPr>
          <w:trHeight w:val="230" w:hRule="atLeast"/>
        </w:trPr>
        <w:tc>
          <w:tcPr>
            <w:tcW w:w="1217" w:type="dxa"/>
            <w:shd w:val="clear" w:color="auto" w:fill="E1EED9"/>
          </w:tcPr>
          <w:p>
            <w:pPr>
              <w:pStyle w:val="TableParagraph"/>
              <w:spacing w:line="210" w:lineRule="exact"/>
              <w:ind w:left="107"/>
              <w:rPr>
                <w:sz w:val="20"/>
              </w:rPr>
            </w:pPr>
            <w:r>
              <w:rPr>
                <w:spacing w:val="-2"/>
                <w:sz w:val="20"/>
              </w:rPr>
              <w:t>Ausente</w:t>
            </w:r>
          </w:p>
        </w:tc>
        <w:tc>
          <w:tcPr>
            <w:tcW w:w="641" w:type="dxa"/>
            <w:shd w:val="clear" w:color="auto" w:fill="E1EED9"/>
          </w:tcPr>
          <w:p>
            <w:pPr>
              <w:pStyle w:val="TableParagraph"/>
              <w:rPr>
                <w:sz w:val="16"/>
              </w:rPr>
            </w:pPr>
          </w:p>
        </w:tc>
        <w:tc>
          <w:tcPr>
            <w:tcW w:w="615"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6" w:type="dxa"/>
            <w:shd w:val="clear" w:color="auto" w:fill="E1EED9"/>
          </w:tcPr>
          <w:p>
            <w:pPr>
              <w:pStyle w:val="TableParagraph"/>
              <w:spacing w:line="210" w:lineRule="exact"/>
              <w:ind w:right="10"/>
              <w:jc w:val="center"/>
              <w:rPr>
                <w:sz w:val="20"/>
              </w:rPr>
            </w:pPr>
            <w:r>
              <w:rPr>
                <w:spacing w:val="-2"/>
                <w:sz w:val="20"/>
              </w:rPr>
              <w:t>---</w:t>
            </w:r>
          </w:p>
        </w:tc>
        <w:tc>
          <w:tcPr>
            <w:tcW w:w="434" w:type="dxa"/>
            <w:shd w:val="clear" w:color="auto" w:fill="E1EED9"/>
          </w:tcPr>
          <w:p>
            <w:pPr>
              <w:pStyle w:val="TableParagraph"/>
              <w:rPr>
                <w:sz w:val="16"/>
              </w:rPr>
            </w:pPr>
          </w:p>
        </w:tc>
        <w:tc>
          <w:tcPr>
            <w:tcW w:w="482" w:type="dxa"/>
            <w:shd w:val="clear" w:color="auto" w:fill="E1EED9"/>
          </w:tcPr>
          <w:p>
            <w:pPr>
              <w:pStyle w:val="TableParagraph"/>
              <w:rPr>
                <w:sz w:val="16"/>
              </w:rPr>
            </w:pPr>
          </w:p>
        </w:tc>
        <w:tc>
          <w:tcPr>
            <w:tcW w:w="463" w:type="dxa"/>
            <w:shd w:val="clear" w:color="auto" w:fill="E1EED9"/>
          </w:tcPr>
          <w:p>
            <w:pPr>
              <w:pStyle w:val="TableParagraph"/>
              <w:spacing w:line="210" w:lineRule="exact"/>
              <w:ind w:right="34"/>
              <w:jc w:val="center"/>
              <w:rPr>
                <w:sz w:val="20"/>
              </w:rPr>
            </w:pPr>
            <w:r>
              <w:rPr>
                <w:spacing w:val="-2"/>
                <w:sz w:val="20"/>
              </w:rPr>
              <w:t>---</w:t>
            </w:r>
          </w:p>
        </w:tc>
        <w:tc>
          <w:tcPr>
            <w:tcW w:w="436"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4" w:type="dxa"/>
            <w:shd w:val="clear" w:color="auto" w:fill="E1EED9"/>
          </w:tcPr>
          <w:p>
            <w:pPr>
              <w:pStyle w:val="TableParagraph"/>
              <w:spacing w:line="210" w:lineRule="exact"/>
              <w:ind w:right="1"/>
              <w:jc w:val="center"/>
              <w:rPr>
                <w:sz w:val="20"/>
              </w:rPr>
            </w:pPr>
            <w:r>
              <w:rPr>
                <w:spacing w:val="-2"/>
                <w:sz w:val="20"/>
              </w:rPr>
              <w:t>---</w:t>
            </w:r>
          </w:p>
        </w:tc>
        <w:tc>
          <w:tcPr>
            <w:tcW w:w="434"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528" w:type="dxa"/>
            <w:shd w:val="clear" w:color="auto" w:fill="E1EED9"/>
          </w:tcPr>
          <w:p>
            <w:pPr>
              <w:pStyle w:val="TableParagraph"/>
              <w:rPr>
                <w:sz w:val="16"/>
              </w:rPr>
            </w:pPr>
          </w:p>
        </w:tc>
        <w:tc>
          <w:tcPr>
            <w:tcW w:w="527" w:type="dxa"/>
            <w:shd w:val="clear" w:color="auto" w:fill="E1EED9"/>
          </w:tcPr>
          <w:p>
            <w:pPr>
              <w:pStyle w:val="TableParagraph"/>
              <w:spacing w:line="210" w:lineRule="exact"/>
              <w:ind w:right="23"/>
              <w:jc w:val="center"/>
              <w:rPr>
                <w:sz w:val="20"/>
              </w:rPr>
            </w:pPr>
            <w:r>
              <w:rPr>
                <w:spacing w:val="-2"/>
                <w:sz w:val="20"/>
              </w:rPr>
              <w:t>----</w:t>
            </w:r>
          </w:p>
        </w:tc>
        <w:tc>
          <w:tcPr>
            <w:tcW w:w="544" w:type="dxa"/>
            <w:vMerge/>
            <w:tcBorders>
              <w:top w:val="nil"/>
            </w:tcBorders>
          </w:tcPr>
          <w:p>
            <w:pPr>
              <w:rPr>
                <w:sz w:val="2"/>
                <w:szCs w:val="2"/>
              </w:rPr>
            </w:pPr>
          </w:p>
        </w:tc>
      </w:tr>
      <w:tr>
        <w:trPr>
          <w:trHeight w:val="230" w:hRule="atLeast"/>
        </w:trPr>
        <w:tc>
          <w:tcPr>
            <w:tcW w:w="1217" w:type="dxa"/>
            <w:shd w:val="clear" w:color="auto" w:fill="E1EED9"/>
          </w:tcPr>
          <w:p>
            <w:pPr>
              <w:pStyle w:val="TableParagraph"/>
              <w:spacing w:line="210" w:lineRule="exact"/>
              <w:ind w:left="107"/>
              <w:rPr>
                <w:sz w:val="20"/>
              </w:rPr>
            </w:pPr>
            <w:r>
              <w:rPr>
                <w:spacing w:val="-2"/>
                <w:sz w:val="20"/>
              </w:rPr>
              <w:t>T1-</w:t>
            </w:r>
            <w:r>
              <w:rPr>
                <w:spacing w:val="-12"/>
                <w:sz w:val="20"/>
              </w:rPr>
              <w:t>2</w:t>
            </w:r>
          </w:p>
        </w:tc>
        <w:tc>
          <w:tcPr>
            <w:tcW w:w="641" w:type="dxa"/>
            <w:shd w:val="clear" w:color="auto" w:fill="E1EED9"/>
          </w:tcPr>
          <w:p>
            <w:pPr>
              <w:pStyle w:val="TableParagraph"/>
              <w:rPr>
                <w:sz w:val="16"/>
              </w:rPr>
            </w:pPr>
          </w:p>
        </w:tc>
        <w:tc>
          <w:tcPr>
            <w:tcW w:w="615"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82" w:type="dxa"/>
            <w:shd w:val="clear" w:color="auto" w:fill="E1EED9"/>
          </w:tcPr>
          <w:p>
            <w:pPr>
              <w:pStyle w:val="TableParagraph"/>
              <w:rPr>
                <w:sz w:val="16"/>
              </w:rPr>
            </w:pPr>
          </w:p>
        </w:tc>
        <w:tc>
          <w:tcPr>
            <w:tcW w:w="463"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528" w:type="dxa"/>
            <w:shd w:val="clear" w:color="auto" w:fill="E1EED9"/>
          </w:tcPr>
          <w:p>
            <w:pPr>
              <w:pStyle w:val="TableParagraph"/>
              <w:rPr>
                <w:sz w:val="16"/>
              </w:rPr>
            </w:pPr>
          </w:p>
        </w:tc>
        <w:tc>
          <w:tcPr>
            <w:tcW w:w="527" w:type="dxa"/>
            <w:shd w:val="clear" w:color="auto" w:fill="E1EED9"/>
          </w:tcPr>
          <w:p>
            <w:pPr>
              <w:pStyle w:val="TableParagraph"/>
              <w:rPr>
                <w:sz w:val="16"/>
              </w:rPr>
            </w:pPr>
          </w:p>
        </w:tc>
        <w:tc>
          <w:tcPr>
            <w:tcW w:w="544" w:type="dxa"/>
            <w:vMerge w:val="restart"/>
          </w:tcPr>
          <w:p>
            <w:pPr>
              <w:pStyle w:val="TableParagraph"/>
              <w:ind w:left="114"/>
              <w:rPr>
                <w:sz w:val="20"/>
              </w:rPr>
            </w:pPr>
            <w:r>
              <w:rPr>
                <w:sz w:val="20"/>
              </w:rPr>
              <w:t>P:</w:t>
            </w:r>
            <w:r>
              <w:rPr>
                <w:spacing w:val="-1"/>
                <w:sz w:val="20"/>
              </w:rPr>
              <w:t> </w:t>
            </w:r>
            <w:r>
              <w:rPr>
                <w:spacing w:val="-10"/>
                <w:sz w:val="20"/>
              </w:rPr>
              <w:t>6</w:t>
            </w:r>
          </w:p>
        </w:tc>
      </w:tr>
      <w:tr>
        <w:trPr>
          <w:trHeight w:val="230" w:hRule="atLeast"/>
        </w:trPr>
        <w:tc>
          <w:tcPr>
            <w:tcW w:w="1217" w:type="dxa"/>
            <w:shd w:val="clear" w:color="auto" w:fill="E1EED9"/>
          </w:tcPr>
          <w:p>
            <w:pPr>
              <w:pStyle w:val="TableParagraph"/>
              <w:spacing w:line="210" w:lineRule="exact"/>
              <w:ind w:left="107"/>
              <w:rPr>
                <w:sz w:val="20"/>
              </w:rPr>
            </w:pPr>
            <w:r>
              <w:rPr>
                <w:spacing w:val="-2"/>
                <w:sz w:val="20"/>
              </w:rPr>
              <w:t>Presente</w:t>
            </w:r>
          </w:p>
        </w:tc>
        <w:tc>
          <w:tcPr>
            <w:tcW w:w="641" w:type="dxa"/>
            <w:shd w:val="clear" w:color="auto" w:fill="E1EED9"/>
          </w:tcPr>
          <w:p>
            <w:pPr>
              <w:pStyle w:val="TableParagraph"/>
              <w:rPr>
                <w:sz w:val="16"/>
              </w:rPr>
            </w:pPr>
          </w:p>
        </w:tc>
        <w:tc>
          <w:tcPr>
            <w:tcW w:w="615" w:type="dxa"/>
            <w:shd w:val="clear" w:color="auto" w:fill="E1EED9"/>
          </w:tcPr>
          <w:p>
            <w:pPr>
              <w:pStyle w:val="TableParagraph"/>
              <w:spacing w:line="210" w:lineRule="exact"/>
              <w:ind w:left="107"/>
              <w:rPr>
                <w:sz w:val="20"/>
              </w:rPr>
            </w:pPr>
            <w:r>
              <w:rPr>
                <w:spacing w:val="-2"/>
                <w:sz w:val="20"/>
              </w:rPr>
              <w:t>----</w:t>
            </w:r>
          </w:p>
        </w:tc>
        <w:tc>
          <w:tcPr>
            <w:tcW w:w="434"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82" w:type="dxa"/>
            <w:shd w:val="clear" w:color="auto" w:fill="E1EED9"/>
          </w:tcPr>
          <w:p>
            <w:pPr>
              <w:pStyle w:val="TableParagraph"/>
              <w:spacing w:line="210" w:lineRule="exact"/>
              <w:ind w:right="54"/>
              <w:jc w:val="center"/>
              <w:rPr>
                <w:sz w:val="20"/>
              </w:rPr>
            </w:pPr>
            <w:r>
              <w:rPr>
                <w:spacing w:val="-2"/>
                <w:sz w:val="20"/>
              </w:rPr>
              <w:t>---</w:t>
            </w:r>
          </w:p>
        </w:tc>
        <w:tc>
          <w:tcPr>
            <w:tcW w:w="463" w:type="dxa"/>
            <w:shd w:val="clear" w:color="auto" w:fill="E1EED9"/>
          </w:tcPr>
          <w:p>
            <w:pPr>
              <w:pStyle w:val="TableParagraph"/>
              <w:rPr>
                <w:sz w:val="16"/>
              </w:rPr>
            </w:pPr>
          </w:p>
        </w:tc>
        <w:tc>
          <w:tcPr>
            <w:tcW w:w="436" w:type="dxa"/>
            <w:shd w:val="clear" w:color="auto" w:fill="E1EED9"/>
          </w:tcPr>
          <w:p>
            <w:pPr>
              <w:pStyle w:val="TableParagraph"/>
              <w:spacing w:line="210" w:lineRule="exact"/>
              <w:ind w:right="6"/>
              <w:jc w:val="center"/>
              <w:rPr>
                <w:sz w:val="20"/>
              </w:rPr>
            </w:pPr>
            <w:r>
              <w:rPr>
                <w:spacing w:val="-2"/>
                <w:sz w:val="20"/>
              </w:rPr>
              <w:t>---</w:t>
            </w:r>
          </w:p>
        </w:tc>
        <w:tc>
          <w:tcPr>
            <w:tcW w:w="434" w:type="dxa"/>
            <w:shd w:val="clear" w:color="auto" w:fill="E1EED9"/>
          </w:tcPr>
          <w:p>
            <w:pPr>
              <w:pStyle w:val="TableParagraph"/>
              <w:spacing w:line="210" w:lineRule="exact"/>
              <w:ind w:right="2"/>
              <w:jc w:val="center"/>
              <w:rPr>
                <w:sz w:val="20"/>
              </w:rPr>
            </w:pPr>
            <w:r>
              <w:rPr>
                <w:spacing w:val="-2"/>
                <w:sz w:val="20"/>
              </w:rPr>
              <w:t>---</w:t>
            </w:r>
          </w:p>
        </w:tc>
        <w:tc>
          <w:tcPr>
            <w:tcW w:w="434" w:type="dxa"/>
            <w:shd w:val="clear" w:color="auto" w:fill="E1EED9"/>
          </w:tcPr>
          <w:p>
            <w:pPr>
              <w:pStyle w:val="TableParagraph"/>
              <w:rPr>
                <w:sz w:val="16"/>
              </w:rPr>
            </w:pPr>
          </w:p>
        </w:tc>
        <w:tc>
          <w:tcPr>
            <w:tcW w:w="434" w:type="dxa"/>
            <w:shd w:val="clear" w:color="auto" w:fill="E1EED9"/>
          </w:tcPr>
          <w:p>
            <w:pPr>
              <w:pStyle w:val="TableParagraph"/>
              <w:spacing w:line="210" w:lineRule="exact"/>
              <w:jc w:val="center"/>
              <w:rPr>
                <w:sz w:val="20"/>
              </w:rPr>
            </w:pPr>
            <w:r>
              <w:rPr>
                <w:spacing w:val="-2"/>
                <w:sz w:val="20"/>
              </w:rPr>
              <w:t>---</w:t>
            </w:r>
          </w:p>
        </w:tc>
        <w:tc>
          <w:tcPr>
            <w:tcW w:w="436" w:type="dxa"/>
            <w:shd w:val="clear" w:color="auto" w:fill="E1EED9"/>
          </w:tcPr>
          <w:p>
            <w:pPr>
              <w:pStyle w:val="TableParagraph"/>
              <w:spacing w:line="210" w:lineRule="exact"/>
              <w:ind w:right="2"/>
              <w:jc w:val="center"/>
              <w:rPr>
                <w:sz w:val="20"/>
              </w:rPr>
            </w:pPr>
            <w:r>
              <w:rPr>
                <w:spacing w:val="-2"/>
                <w:sz w:val="20"/>
              </w:rPr>
              <w:t>---</w:t>
            </w:r>
          </w:p>
        </w:tc>
        <w:tc>
          <w:tcPr>
            <w:tcW w:w="528" w:type="dxa"/>
            <w:shd w:val="clear" w:color="auto" w:fill="E1EED9"/>
          </w:tcPr>
          <w:p>
            <w:pPr>
              <w:pStyle w:val="TableParagraph"/>
              <w:spacing w:line="210" w:lineRule="exact"/>
              <w:ind w:right="24"/>
              <w:jc w:val="center"/>
              <w:rPr>
                <w:sz w:val="20"/>
              </w:rPr>
            </w:pPr>
            <w:r>
              <w:rPr>
                <w:spacing w:val="-2"/>
                <w:sz w:val="20"/>
              </w:rPr>
              <w:t>----</w:t>
            </w:r>
          </w:p>
        </w:tc>
        <w:tc>
          <w:tcPr>
            <w:tcW w:w="527" w:type="dxa"/>
            <w:shd w:val="clear" w:color="auto" w:fill="E1EED9"/>
          </w:tcPr>
          <w:p>
            <w:pPr>
              <w:pStyle w:val="TableParagraph"/>
              <w:rPr>
                <w:sz w:val="16"/>
              </w:rPr>
            </w:pPr>
          </w:p>
        </w:tc>
        <w:tc>
          <w:tcPr>
            <w:tcW w:w="544" w:type="dxa"/>
            <w:vMerge/>
            <w:tcBorders>
              <w:top w:val="nil"/>
            </w:tcBorders>
          </w:tcPr>
          <w:p>
            <w:pPr>
              <w:rPr>
                <w:sz w:val="2"/>
                <w:szCs w:val="2"/>
              </w:rPr>
            </w:pPr>
          </w:p>
        </w:tc>
      </w:tr>
      <w:tr>
        <w:trPr>
          <w:trHeight w:val="230" w:hRule="atLeast"/>
        </w:trPr>
        <w:tc>
          <w:tcPr>
            <w:tcW w:w="1217" w:type="dxa"/>
            <w:shd w:val="clear" w:color="auto" w:fill="E1EED9"/>
          </w:tcPr>
          <w:p>
            <w:pPr>
              <w:pStyle w:val="TableParagraph"/>
              <w:spacing w:line="210" w:lineRule="exact"/>
              <w:ind w:left="107"/>
              <w:rPr>
                <w:sz w:val="20"/>
              </w:rPr>
            </w:pPr>
            <w:r>
              <w:rPr>
                <w:spacing w:val="-2"/>
                <w:sz w:val="20"/>
              </w:rPr>
              <w:t>Ausente</w:t>
            </w:r>
          </w:p>
        </w:tc>
        <w:tc>
          <w:tcPr>
            <w:tcW w:w="641" w:type="dxa"/>
            <w:shd w:val="clear" w:color="auto" w:fill="E1EED9"/>
          </w:tcPr>
          <w:p>
            <w:pPr>
              <w:pStyle w:val="TableParagraph"/>
              <w:rPr>
                <w:sz w:val="16"/>
              </w:rPr>
            </w:pPr>
          </w:p>
        </w:tc>
        <w:tc>
          <w:tcPr>
            <w:tcW w:w="615"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6" w:type="dxa"/>
            <w:shd w:val="clear" w:color="auto" w:fill="E1EED9"/>
          </w:tcPr>
          <w:p>
            <w:pPr>
              <w:pStyle w:val="TableParagraph"/>
              <w:spacing w:line="210" w:lineRule="exact"/>
              <w:ind w:right="10"/>
              <w:jc w:val="center"/>
              <w:rPr>
                <w:sz w:val="20"/>
              </w:rPr>
            </w:pPr>
            <w:r>
              <w:rPr>
                <w:spacing w:val="-2"/>
                <w:sz w:val="20"/>
              </w:rPr>
              <w:t>---</w:t>
            </w:r>
          </w:p>
        </w:tc>
        <w:tc>
          <w:tcPr>
            <w:tcW w:w="434" w:type="dxa"/>
            <w:shd w:val="clear" w:color="auto" w:fill="E1EED9"/>
          </w:tcPr>
          <w:p>
            <w:pPr>
              <w:pStyle w:val="TableParagraph"/>
              <w:rPr>
                <w:sz w:val="16"/>
              </w:rPr>
            </w:pPr>
          </w:p>
        </w:tc>
        <w:tc>
          <w:tcPr>
            <w:tcW w:w="482" w:type="dxa"/>
            <w:shd w:val="clear" w:color="auto" w:fill="E1EED9"/>
          </w:tcPr>
          <w:p>
            <w:pPr>
              <w:pStyle w:val="TableParagraph"/>
              <w:rPr>
                <w:sz w:val="16"/>
              </w:rPr>
            </w:pPr>
          </w:p>
        </w:tc>
        <w:tc>
          <w:tcPr>
            <w:tcW w:w="463" w:type="dxa"/>
            <w:shd w:val="clear" w:color="auto" w:fill="E1EED9"/>
          </w:tcPr>
          <w:p>
            <w:pPr>
              <w:pStyle w:val="TableParagraph"/>
              <w:spacing w:line="210" w:lineRule="exact"/>
              <w:ind w:right="34"/>
              <w:jc w:val="center"/>
              <w:rPr>
                <w:sz w:val="20"/>
              </w:rPr>
            </w:pPr>
            <w:r>
              <w:rPr>
                <w:spacing w:val="-2"/>
                <w:sz w:val="20"/>
              </w:rPr>
              <w:t>---</w:t>
            </w:r>
          </w:p>
        </w:tc>
        <w:tc>
          <w:tcPr>
            <w:tcW w:w="436"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4" w:type="dxa"/>
            <w:shd w:val="clear" w:color="auto" w:fill="E1EED9"/>
          </w:tcPr>
          <w:p>
            <w:pPr>
              <w:pStyle w:val="TableParagraph"/>
              <w:spacing w:line="210" w:lineRule="exact"/>
              <w:ind w:right="1"/>
              <w:jc w:val="center"/>
              <w:rPr>
                <w:sz w:val="20"/>
              </w:rPr>
            </w:pPr>
            <w:r>
              <w:rPr>
                <w:spacing w:val="-2"/>
                <w:sz w:val="20"/>
              </w:rPr>
              <w:t>---</w:t>
            </w:r>
          </w:p>
        </w:tc>
        <w:tc>
          <w:tcPr>
            <w:tcW w:w="434"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528" w:type="dxa"/>
            <w:shd w:val="clear" w:color="auto" w:fill="E1EED9"/>
          </w:tcPr>
          <w:p>
            <w:pPr>
              <w:pStyle w:val="TableParagraph"/>
              <w:rPr>
                <w:sz w:val="16"/>
              </w:rPr>
            </w:pPr>
          </w:p>
        </w:tc>
        <w:tc>
          <w:tcPr>
            <w:tcW w:w="527" w:type="dxa"/>
            <w:shd w:val="clear" w:color="auto" w:fill="E1EED9"/>
          </w:tcPr>
          <w:p>
            <w:pPr>
              <w:pStyle w:val="TableParagraph"/>
              <w:spacing w:line="210" w:lineRule="exact"/>
              <w:ind w:right="23"/>
              <w:jc w:val="center"/>
              <w:rPr>
                <w:sz w:val="20"/>
              </w:rPr>
            </w:pPr>
            <w:r>
              <w:rPr>
                <w:spacing w:val="-2"/>
                <w:sz w:val="20"/>
              </w:rPr>
              <w:t>----</w:t>
            </w:r>
          </w:p>
        </w:tc>
        <w:tc>
          <w:tcPr>
            <w:tcW w:w="544" w:type="dxa"/>
            <w:vMerge/>
            <w:tcBorders>
              <w:top w:val="nil"/>
            </w:tcBorders>
          </w:tcPr>
          <w:p>
            <w:pPr>
              <w:rPr>
                <w:sz w:val="2"/>
                <w:szCs w:val="2"/>
              </w:rPr>
            </w:pPr>
          </w:p>
        </w:tc>
      </w:tr>
      <w:tr>
        <w:trPr>
          <w:trHeight w:val="230" w:hRule="atLeast"/>
        </w:trPr>
        <w:tc>
          <w:tcPr>
            <w:tcW w:w="1217" w:type="dxa"/>
            <w:shd w:val="clear" w:color="auto" w:fill="E1EED9"/>
          </w:tcPr>
          <w:p>
            <w:pPr>
              <w:pStyle w:val="TableParagraph"/>
              <w:spacing w:line="210" w:lineRule="exact"/>
              <w:ind w:left="107"/>
              <w:rPr>
                <w:sz w:val="20"/>
              </w:rPr>
            </w:pPr>
            <w:r>
              <w:rPr>
                <w:spacing w:val="-2"/>
                <w:sz w:val="20"/>
              </w:rPr>
              <w:t>T1-</w:t>
            </w:r>
            <w:r>
              <w:rPr>
                <w:spacing w:val="-12"/>
                <w:sz w:val="20"/>
              </w:rPr>
              <w:t>3</w:t>
            </w:r>
          </w:p>
        </w:tc>
        <w:tc>
          <w:tcPr>
            <w:tcW w:w="641" w:type="dxa"/>
            <w:shd w:val="clear" w:color="auto" w:fill="E1EED9"/>
          </w:tcPr>
          <w:p>
            <w:pPr>
              <w:pStyle w:val="TableParagraph"/>
              <w:rPr>
                <w:sz w:val="16"/>
              </w:rPr>
            </w:pPr>
          </w:p>
        </w:tc>
        <w:tc>
          <w:tcPr>
            <w:tcW w:w="615"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82" w:type="dxa"/>
            <w:shd w:val="clear" w:color="auto" w:fill="E1EED9"/>
          </w:tcPr>
          <w:p>
            <w:pPr>
              <w:pStyle w:val="TableParagraph"/>
              <w:rPr>
                <w:sz w:val="16"/>
              </w:rPr>
            </w:pPr>
          </w:p>
        </w:tc>
        <w:tc>
          <w:tcPr>
            <w:tcW w:w="463"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528" w:type="dxa"/>
            <w:shd w:val="clear" w:color="auto" w:fill="E1EED9"/>
          </w:tcPr>
          <w:p>
            <w:pPr>
              <w:pStyle w:val="TableParagraph"/>
              <w:rPr>
                <w:sz w:val="16"/>
              </w:rPr>
            </w:pPr>
          </w:p>
        </w:tc>
        <w:tc>
          <w:tcPr>
            <w:tcW w:w="527" w:type="dxa"/>
            <w:shd w:val="clear" w:color="auto" w:fill="E1EED9"/>
          </w:tcPr>
          <w:p>
            <w:pPr>
              <w:pStyle w:val="TableParagraph"/>
              <w:rPr>
                <w:sz w:val="16"/>
              </w:rPr>
            </w:pPr>
          </w:p>
        </w:tc>
        <w:tc>
          <w:tcPr>
            <w:tcW w:w="544" w:type="dxa"/>
            <w:vMerge w:val="restart"/>
          </w:tcPr>
          <w:p>
            <w:pPr>
              <w:pStyle w:val="TableParagraph"/>
              <w:ind w:left="114"/>
              <w:rPr>
                <w:sz w:val="20"/>
              </w:rPr>
            </w:pPr>
            <w:r>
              <w:rPr>
                <w:sz w:val="20"/>
              </w:rPr>
              <w:t>P:</w:t>
            </w:r>
            <w:r>
              <w:rPr>
                <w:spacing w:val="-1"/>
                <w:sz w:val="20"/>
              </w:rPr>
              <w:t> </w:t>
            </w:r>
            <w:r>
              <w:rPr>
                <w:spacing w:val="-10"/>
                <w:sz w:val="20"/>
              </w:rPr>
              <w:t>5</w:t>
            </w:r>
          </w:p>
        </w:tc>
      </w:tr>
      <w:tr>
        <w:trPr>
          <w:trHeight w:val="230" w:hRule="atLeast"/>
        </w:trPr>
        <w:tc>
          <w:tcPr>
            <w:tcW w:w="1217" w:type="dxa"/>
            <w:shd w:val="clear" w:color="auto" w:fill="E1EED9"/>
          </w:tcPr>
          <w:p>
            <w:pPr>
              <w:pStyle w:val="TableParagraph"/>
              <w:spacing w:line="210" w:lineRule="exact"/>
              <w:ind w:left="107"/>
              <w:rPr>
                <w:sz w:val="20"/>
              </w:rPr>
            </w:pPr>
            <w:r>
              <w:rPr>
                <w:spacing w:val="-2"/>
                <w:sz w:val="20"/>
              </w:rPr>
              <w:t>Presente</w:t>
            </w:r>
          </w:p>
        </w:tc>
        <w:tc>
          <w:tcPr>
            <w:tcW w:w="641" w:type="dxa"/>
            <w:shd w:val="clear" w:color="auto" w:fill="E1EED9"/>
          </w:tcPr>
          <w:p>
            <w:pPr>
              <w:pStyle w:val="TableParagraph"/>
              <w:rPr>
                <w:sz w:val="16"/>
              </w:rPr>
            </w:pPr>
          </w:p>
        </w:tc>
        <w:tc>
          <w:tcPr>
            <w:tcW w:w="615" w:type="dxa"/>
            <w:shd w:val="clear" w:color="auto" w:fill="E1EED9"/>
          </w:tcPr>
          <w:p>
            <w:pPr>
              <w:pStyle w:val="TableParagraph"/>
              <w:spacing w:line="210" w:lineRule="exact"/>
              <w:ind w:left="107"/>
              <w:rPr>
                <w:sz w:val="20"/>
              </w:rPr>
            </w:pPr>
            <w:r>
              <w:rPr>
                <w:spacing w:val="-2"/>
                <w:sz w:val="20"/>
              </w:rPr>
              <w:t>----</w:t>
            </w:r>
          </w:p>
        </w:tc>
        <w:tc>
          <w:tcPr>
            <w:tcW w:w="434"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82" w:type="dxa"/>
            <w:shd w:val="clear" w:color="auto" w:fill="E1EED9"/>
          </w:tcPr>
          <w:p>
            <w:pPr>
              <w:pStyle w:val="TableParagraph"/>
              <w:spacing w:line="210" w:lineRule="exact"/>
              <w:ind w:right="54"/>
              <w:jc w:val="center"/>
              <w:rPr>
                <w:sz w:val="20"/>
              </w:rPr>
            </w:pPr>
            <w:r>
              <w:rPr>
                <w:spacing w:val="-2"/>
                <w:sz w:val="20"/>
              </w:rPr>
              <w:t>---</w:t>
            </w:r>
          </w:p>
        </w:tc>
        <w:tc>
          <w:tcPr>
            <w:tcW w:w="463" w:type="dxa"/>
            <w:shd w:val="clear" w:color="auto" w:fill="E1EED9"/>
          </w:tcPr>
          <w:p>
            <w:pPr>
              <w:pStyle w:val="TableParagraph"/>
              <w:rPr>
                <w:sz w:val="16"/>
              </w:rPr>
            </w:pPr>
          </w:p>
        </w:tc>
        <w:tc>
          <w:tcPr>
            <w:tcW w:w="436" w:type="dxa"/>
            <w:shd w:val="clear" w:color="auto" w:fill="E1EED9"/>
          </w:tcPr>
          <w:p>
            <w:pPr>
              <w:pStyle w:val="TableParagraph"/>
              <w:spacing w:line="210" w:lineRule="exact"/>
              <w:ind w:right="6"/>
              <w:jc w:val="center"/>
              <w:rPr>
                <w:sz w:val="20"/>
              </w:rPr>
            </w:pPr>
            <w:r>
              <w:rPr>
                <w:spacing w:val="-2"/>
                <w:sz w:val="20"/>
              </w:rPr>
              <w:t>---</w:t>
            </w:r>
          </w:p>
        </w:tc>
        <w:tc>
          <w:tcPr>
            <w:tcW w:w="434" w:type="dxa"/>
            <w:shd w:val="clear" w:color="auto" w:fill="E1EED9"/>
          </w:tcPr>
          <w:p>
            <w:pPr>
              <w:pStyle w:val="TableParagraph"/>
              <w:spacing w:line="210" w:lineRule="exact"/>
              <w:ind w:right="2"/>
              <w:jc w:val="center"/>
              <w:rPr>
                <w:sz w:val="20"/>
              </w:rPr>
            </w:pPr>
            <w:r>
              <w:rPr>
                <w:spacing w:val="-2"/>
                <w:sz w:val="20"/>
              </w:rPr>
              <w:t>---</w:t>
            </w:r>
          </w:p>
        </w:tc>
        <w:tc>
          <w:tcPr>
            <w:tcW w:w="434" w:type="dxa"/>
            <w:shd w:val="clear" w:color="auto" w:fill="E1EED9"/>
          </w:tcPr>
          <w:p>
            <w:pPr>
              <w:pStyle w:val="TableParagraph"/>
              <w:rPr>
                <w:sz w:val="16"/>
              </w:rPr>
            </w:pPr>
          </w:p>
        </w:tc>
        <w:tc>
          <w:tcPr>
            <w:tcW w:w="434" w:type="dxa"/>
            <w:shd w:val="clear" w:color="auto" w:fill="E1EED9"/>
          </w:tcPr>
          <w:p>
            <w:pPr>
              <w:pStyle w:val="TableParagraph"/>
              <w:spacing w:line="210" w:lineRule="exact"/>
              <w:jc w:val="center"/>
              <w:rPr>
                <w:sz w:val="20"/>
              </w:rPr>
            </w:pPr>
            <w:r>
              <w:rPr>
                <w:spacing w:val="-2"/>
                <w:sz w:val="20"/>
              </w:rPr>
              <w:t>---</w:t>
            </w:r>
          </w:p>
        </w:tc>
        <w:tc>
          <w:tcPr>
            <w:tcW w:w="436" w:type="dxa"/>
            <w:shd w:val="clear" w:color="auto" w:fill="E1EED9"/>
          </w:tcPr>
          <w:p>
            <w:pPr>
              <w:pStyle w:val="TableParagraph"/>
              <w:spacing w:line="210" w:lineRule="exact"/>
              <w:ind w:right="2"/>
              <w:jc w:val="center"/>
              <w:rPr>
                <w:sz w:val="20"/>
              </w:rPr>
            </w:pPr>
            <w:r>
              <w:rPr>
                <w:spacing w:val="-2"/>
                <w:sz w:val="20"/>
              </w:rPr>
              <w:t>---</w:t>
            </w:r>
          </w:p>
        </w:tc>
        <w:tc>
          <w:tcPr>
            <w:tcW w:w="528" w:type="dxa"/>
            <w:shd w:val="clear" w:color="auto" w:fill="E1EED9"/>
          </w:tcPr>
          <w:p>
            <w:pPr>
              <w:pStyle w:val="TableParagraph"/>
              <w:spacing w:line="210" w:lineRule="exact"/>
              <w:ind w:right="91"/>
              <w:jc w:val="center"/>
              <w:rPr>
                <w:sz w:val="20"/>
              </w:rPr>
            </w:pPr>
            <w:r>
              <w:rPr>
                <w:spacing w:val="-2"/>
                <w:sz w:val="20"/>
              </w:rPr>
              <w:t>---</w:t>
            </w:r>
          </w:p>
        </w:tc>
        <w:tc>
          <w:tcPr>
            <w:tcW w:w="527" w:type="dxa"/>
            <w:shd w:val="clear" w:color="auto" w:fill="E1EED9"/>
          </w:tcPr>
          <w:p>
            <w:pPr>
              <w:pStyle w:val="TableParagraph"/>
              <w:rPr>
                <w:sz w:val="16"/>
              </w:rPr>
            </w:pPr>
          </w:p>
        </w:tc>
        <w:tc>
          <w:tcPr>
            <w:tcW w:w="544" w:type="dxa"/>
            <w:vMerge/>
            <w:tcBorders>
              <w:top w:val="nil"/>
            </w:tcBorders>
          </w:tcPr>
          <w:p>
            <w:pPr>
              <w:rPr>
                <w:sz w:val="2"/>
                <w:szCs w:val="2"/>
              </w:rPr>
            </w:pPr>
          </w:p>
        </w:tc>
      </w:tr>
      <w:tr>
        <w:trPr>
          <w:trHeight w:val="230" w:hRule="atLeast"/>
        </w:trPr>
        <w:tc>
          <w:tcPr>
            <w:tcW w:w="1217" w:type="dxa"/>
            <w:shd w:val="clear" w:color="auto" w:fill="E1EED9"/>
          </w:tcPr>
          <w:p>
            <w:pPr>
              <w:pStyle w:val="TableParagraph"/>
              <w:spacing w:line="210" w:lineRule="exact" w:before="1"/>
              <w:ind w:left="107"/>
              <w:rPr>
                <w:sz w:val="20"/>
              </w:rPr>
            </w:pPr>
            <w:r>
              <w:rPr>
                <w:spacing w:val="-2"/>
                <w:sz w:val="20"/>
              </w:rPr>
              <w:t>Ausente</w:t>
            </w:r>
          </w:p>
        </w:tc>
        <w:tc>
          <w:tcPr>
            <w:tcW w:w="641" w:type="dxa"/>
            <w:shd w:val="clear" w:color="auto" w:fill="E1EED9"/>
          </w:tcPr>
          <w:p>
            <w:pPr>
              <w:pStyle w:val="TableParagraph"/>
              <w:rPr>
                <w:sz w:val="16"/>
              </w:rPr>
            </w:pPr>
          </w:p>
        </w:tc>
        <w:tc>
          <w:tcPr>
            <w:tcW w:w="615"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6" w:type="dxa"/>
            <w:shd w:val="clear" w:color="auto" w:fill="E1EED9"/>
          </w:tcPr>
          <w:p>
            <w:pPr>
              <w:pStyle w:val="TableParagraph"/>
              <w:spacing w:line="210" w:lineRule="exact" w:before="1"/>
              <w:ind w:right="10"/>
              <w:jc w:val="center"/>
              <w:rPr>
                <w:sz w:val="20"/>
              </w:rPr>
            </w:pPr>
            <w:r>
              <w:rPr>
                <w:spacing w:val="-2"/>
                <w:sz w:val="20"/>
              </w:rPr>
              <w:t>---</w:t>
            </w:r>
          </w:p>
        </w:tc>
        <w:tc>
          <w:tcPr>
            <w:tcW w:w="434" w:type="dxa"/>
            <w:shd w:val="clear" w:color="auto" w:fill="E1EED9"/>
          </w:tcPr>
          <w:p>
            <w:pPr>
              <w:pStyle w:val="TableParagraph"/>
              <w:rPr>
                <w:sz w:val="16"/>
              </w:rPr>
            </w:pPr>
          </w:p>
        </w:tc>
        <w:tc>
          <w:tcPr>
            <w:tcW w:w="482" w:type="dxa"/>
            <w:shd w:val="clear" w:color="auto" w:fill="E1EED9"/>
          </w:tcPr>
          <w:p>
            <w:pPr>
              <w:pStyle w:val="TableParagraph"/>
              <w:rPr>
                <w:sz w:val="16"/>
              </w:rPr>
            </w:pPr>
          </w:p>
        </w:tc>
        <w:tc>
          <w:tcPr>
            <w:tcW w:w="463" w:type="dxa"/>
            <w:shd w:val="clear" w:color="auto" w:fill="E1EED9"/>
          </w:tcPr>
          <w:p>
            <w:pPr>
              <w:pStyle w:val="TableParagraph"/>
              <w:spacing w:line="210" w:lineRule="exact" w:before="1"/>
              <w:ind w:right="34"/>
              <w:jc w:val="center"/>
              <w:rPr>
                <w:sz w:val="20"/>
              </w:rPr>
            </w:pPr>
            <w:r>
              <w:rPr>
                <w:spacing w:val="-2"/>
                <w:sz w:val="20"/>
              </w:rPr>
              <w:t>---</w:t>
            </w:r>
          </w:p>
        </w:tc>
        <w:tc>
          <w:tcPr>
            <w:tcW w:w="436"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4" w:type="dxa"/>
            <w:shd w:val="clear" w:color="auto" w:fill="E1EED9"/>
          </w:tcPr>
          <w:p>
            <w:pPr>
              <w:pStyle w:val="TableParagraph"/>
              <w:spacing w:line="210" w:lineRule="exact" w:before="1"/>
              <w:ind w:right="1"/>
              <w:jc w:val="center"/>
              <w:rPr>
                <w:sz w:val="20"/>
              </w:rPr>
            </w:pPr>
            <w:r>
              <w:rPr>
                <w:spacing w:val="-2"/>
                <w:sz w:val="20"/>
              </w:rPr>
              <w:t>---</w:t>
            </w:r>
          </w:p>
        </w:tc>
        <w:tc>
          <w:tcPr>
            <w:tcW w:w="434"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528" w:type="dxa"/>
            <w:shd w:val="clear" w:color="auto" w:fill="E1EED9"/>
          </w:tcPr>
          <w:p>
            <w:pPr>
              <w:pStyle w:val="TableParagraph"/>
              <w:rPr>
                <w:sz w:val="16"/>
              </w:rPr>
            </w:pPr>
          </w:p>
        </w:tc>
        <w:tc>
          <w:tcPr>
            <w:tcW w:w="527" w:type="dxa"/>
            <w:shd w:val="clear" w:color="auto" w:fill="E1EED9"/>
          </w:tcPr>
          <w:p>
            <w:pPr>
              <w:pStyle w:val="TableParagraph"/>
              <w:spacing w:line="210" w:lineRule="exact" w:before="1"/>
              <w:ind w:right="23"/>
              <w:jc w:val="center"/>
              <w:rPr>
                <w:sz w:val="20"/>
              </w:rPr>
            </w:pPr>
            <w:r>
              <w:rPr>
                <w:spacing w:val="-2"/>
                <w:sz w:val="20"/>
              </w:rPr>
              <w:t>----</w:t>
            </w:r>
          </w:p>
        </w:tc>
        <w:tc>
          <w:tcPr>
            <w:tcW w:w="544" w:type="dxa"/>
            <w:vMerge/>
            <w:tcBorders>
              <w:top w:val="nil"/>
            </w:tcBorders>
          </w:tcPr>
          <w:p>
            <w:pPr>
              <w:rPr>
                <w:sz w:val="2"/>
                <w:szCs w:val="2"/>
              </w:rPr>
            </w:pPr>
          </w:p>
        </w:tc>
      </w:tr>
      <w:tr>
        <w:trPr>
          <w:trHeight w:val="230" w:hRule="atLeast"/>
        </w:trPr>
        <w:tc>
          <w:tcPr>
            <w:tcW w:w="1217" w:type="dxa"/>
            <w:shd w:val="clear" w:color="auto" w:fill="E1EED9"/>
          </w:tcPr>
          <w:p>
            <w:pPr>
              <w:pStyle w:val="TableParagraph"/>
              <w:spacing w:line="210" w:lineRule="exact"/>
              <w:ind w:left="107"/>
              <w:rPr>
                <w:sz w:val="20"/>
              </w:rPr>
            </w:pPr>
            <w:r>
              <w:rPr>
                <w:spacing w:val="-2"/>
                <w:sz w:val="20"/>
              </w:rPr>
              <w:t>T1-</w:t>
            </w:r>
            <w:r>
              <w:rPr>
                <w:spacing w:val="-12"/>
                <w:sz w:val="20"/>
              </w:rPr>
              <w:t>4</w:t>
            </w:r>
          </w:p>
        </w:tc>
        <w:tc>
          <w:tcPr>
            <w:tcW w:w="641" w:type="dxa"/>
            <w:shd w:val="clear" w:color="auto" w:fill="E1EED9"/>
          </w:tcPr>
          <w:p>
            <w:pPr>
              <w:pStyle w:val="TableParagraph"/>
              <w:rPr>
                <w:sz w:val="16"/>
              </w:rPr>
            </w:pPr>
          </w:p>
        </w:tc>
        <w:tc>
          <w:tcPr>
            <w:tcW w:w="615"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82" w:type="dxa"/>
            <w:shd w:val="clear" w:color="auto" w:fill="E1EED9"/>
          </w:tcPr>
          <w:p>
            <w:pPr>
              <w:pStyle w:val="TableParagraph"/>
              <w:rPr>
                <w:sz w:val="16"/>
              </w:rPr>
            </w:pPr>
          </w:p>
        </w:tc>
        <w:tc>
          <w:tcPr>
            <w:tcW w:w="463"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528" w:type="dxa"/>
            <w:shd w:val="clear" w:color="auto" w:fill="E1EED9"/>
          </w:tcPr>
          <w:p>
            <w:pPr>
              <w:pStyle w:val="TableParagraph"/>
              <w:rPr>
                <w:sz w:val="16"/>
              </w:rPr>
            </w:pPr>
          </w:p>
        </w:tc>
        <w:tc>
          <w:tcPr>
            <w:tcW w:w="527" w:type="dxa"/>
            <w:shd w:val="clear" w:color="auto" w:fill="E1EED9"/>
          </w:tcPr>
          <w:p>
            <w:pPr>
              <w:pStyle w:val="TableParagraph"/>
              <w:rPr>
                <w:sz w:val="16"/>
              </w:rPr>
            </w:pPr>
          </w:p>
        </w:tc>
        <w:tc>
          <w:tcPr>
            <w:tcW w:w="544" w:type="dxa"/>
            <w:vMerge w:val="restart"/>
          </w:tcPr>
          <w:p>
            <w:pPr>
              <w:pStyle w:val="TableParagraph"/>
              <w:ind w:left="114"/>
              <w:rPr>
                <w:sz w:val="20"/>
              </w:rPr>
            </w:pPr>
            <w:r>
              <w:rPr>
                <w:sz w:val="20"/>
              </w:rPr>
              <w:t>P:</w:t>
            </w:r>
            <w:r>
              <w:rPr>
                <w:spacing w:val="-1"/>
                <w:sz w:val="20"/>
              </w:rPr>
              <w:t> </w:t>
            </w:r>
            <w:r>
              <w:rPr>
                <w:spacing w:val="-10"/>
                <w:sz w:val="20"/>
              </w:rPr>
              <w:t>6</w:t>
            </w:r>
          </w:p>
        </w:tc>
      </w:tr>
      <w:tr>
        <w:trPr>
          <w:trHeight w:val="230" w:hRule="atLeast"/>
        </w:trPr>
        <w:tc>
          <w:tcPr>
            <w:tcW w:w="1217" w:type="dxa"/>
            <w:shd w:val="clear" w:color="auto" w:fill="E1EED9"/>
          </w:tcPr>
          <w:p>
            <w:pPr>
              <w:pStyle w:val="TableParagraph"/>
              <w:spacing w:line="210" w:lineRule="exact"/>
              <w:ind w:left="107"/>
              <w:rPr>
                <w:sz w:val="20"/>
              </w:rPr>
            </w:pPr>
            <w:r>
              <w:rPr>
                <w:spacing w:val="-2"/>
                <w:sz w:val="20"/>
              </w:rPr>
              <w:t>Presente</w:t>
            </w:r>
          </w:p>
        </w:tc>
        <w:tc>
          <w:tcPr>
            <w:tcW w:w="641" w:type="dxa"/>
            <w:shd w:val="clear" w:color="auto" w:fill="E1EED9"/>
          </w:tcPr>
          <w:p>
            <w:pPr>
              <w:pStyle w:val="TableParagraph"/>
              <w:rPr>
                <w:sz w:val="16"/>
              </w:rPr>
            </w:pPr>
          </w:p>
        </w:tc>
        <w:tc>
          <w:tcPr>
            <w:tcW w:w="615" w:type="dxa"/>
            <w:shd w:val="clear" w:color="auto" w:fill="E1EED9"/>
          </w:tcPr>
          <w:p>
            <w:pPr>
              <w:pStyle w:val="TableParagraph"/>
              <w:spacing w:line="210" w:lineRule="exact"/>
              <w:ind w:left="107"/>
              <w:rPr>
                <w:sz w:val="20"/>
              </w:rPr>
            </w:pPr>
            <w:r>
              <w:rPr>
                <w:spacing w:val="-2"/>
                <w:sz w:val="20"/>
              </w:rPr>
              <w:t>----</w:t>
            </w:r>
          </w:p>
        </w:tc>
        <w:tc>
          <w:tcPr>
            <w:tcW w:w="434"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82" w:type="dxa"/>
            <w:shd w:val="clear" w:color="auto" w:fill="E1EED9"/>
          </w:tcPr>
          <w:p>
            <w:pPr>
              <w:pStyle w:val="TableParagraph"/>
              <w:spacing w:line="210" w:lineRule="exact"/>
              <w:ind w:right="54"/>
              <w:jc w:val="center"/>
              <w:rPr>
                <w:sz w:val="20"/>
              </w:rPr>
            </w:pPr>
            <w:r>
              <w:rPr>
                <w:spacing w:val="-2"/>
                <w:sz w:val="20"/>
              </w:rPr>
              <w:t>---</w:t>
            </w:r>
          </w:p>
        </w:tc>
        <w:tc>
          <w:tcPr>
            <w:tcW w:w="463" w:type="dxa"/>
            <w:shd w:val="clear" w:color="auto" w:fill="E1EED9"/>
          </w:tcPr>
          <w:p>
            <w:pPr>
              <w:pStyle w:val="TableParagraph"/>
              <w:rPr>
                <w:sz w:val="16"/>
              </w:rPr>
            </w:pPr>
          </w:p>
        </w:tc>
        <w:tc>
          <w:tcPr>
            <w:tcW w:w="436" w:type="dxa"/>
            <w:shd w:val="clear" w:color="auto" w:fill="E1EED9"/>
          </w:tcPr>
          <w:p>
            <w:pPr>
              <w:pStyle w:val="TableParagraph"/>
              <w:spacing w:line="210" w:lineRule="exact"/>
              <w:ind w:right="6"/>
              <w:jc w:val="center"/>
              <w:rPr>
                <w:sz w:val="20"/>
              </w:rPr>
            </w:pPr>
            <w:r>
              <w:rPr>
                <w:spacing w:val="-2"/>
                <w:sz w:val="20"/>
              </w:rPr>
              <w:t>---</w:t>
            </w:r>
          </w:p>
        </w:tc>
        <w:tc>
          <w:tcPr>
            <w:tcW w:w="434" w:type="dxa"/>
            <w:shd w:val="clear" w:color="auto" w:fill="E1EED9"/>
          </w:tcPr>
          <w:p>
            <w:pPr>
              <w:pStyle w:val="TableParagraph"/>
              <w:spacing w:line="210" w:lineRule="exact"/>
              <w:ind w:right="2"/>
              <w:jc w:val="center"/>
              <w:rPr>
                <w:sz w:val="20"/>
              </w:rPr>
            </w:pPr>
            <w:r>
              <w:rPr>
                <w:spacing w:val="-2"/>
                <w:sz w:val="20"/>
              </w:rPr>
              <w:t>---</w:t>
            </w:r>
          </w:p>
        </w:tc>
        <w:tc>
          <w:tcPr>
            <w:tcW w:w="434" w:type="dxa"/>
            <w:shd w:val="clear" w:color="auto" w:fill="E1EED9"/>
          </w:tcPr>
          <w:p>
            <w:pPr>
              <w:pStyle w:val="TableParagraph"/>
              <w:rPr>
                <w:sz w:val="16"/>
              </w:rPr>
            </w:pPr>
          </w:p>
        </w:tc>
        <w:tc>
          <w:tcPr>
            <w:tcW w:w="434" w:type="dxa"/>
            <w:shd w:val="clear" w:color="auto" w:fill="E1EED9"/>
          </w:tcPr>
          <w:p>
            <w:pPr>
              <w:pStyle w:val="TableParagraph"/>
              <w:spacing w:line="210" w:lineRule="exact"/>
              <w:jc w:val="center"/>
              <w:rPr>
                <w:sz w:val="20"/>
              </w:rPr>
            </w:pPr>
            <w:r>
              <w:rPr>
                <w:spacing w:val="-2"/>
                <w:sz w:val="20"/>
              </w:rPr>
              <w:t>---</w:t>
            </w:r>
          </w:p>
        </w:tc>
        <w:tc>
          <w:tcPr>
            <w:tcW w:w="436" w:type="dxa"/>
            <w:shd w:val="clear" w:color="auto" w:fill="E1EED9"/>
          </w:tcPr>
          <w:p>
            <w:pPr>
              <w:pStyle w:val="TableParagraph"/>
              <w:spacing w:line="210" w:lineRule="exact"/>
              <w:ind w:right="2"/>
              <w:jc w:val="center"/>
              <w:rPr>
                <w:sz w:val="20"/>
              </w:rPr>
            </w:pPr>
            <w:r>
              <w:rPr>
                <w:spacing w:val="-2"/>
                <w:sz w:val="20"/>
              </w:rPr>
              <w:t>---</w:t>
            </w:r>
          </w:p>
        </w:tc>
        <w:tc>
          <w:tcPr>
            <w:tcW w:w="528" w:type="dxa"/>
            <w:shd w:val="clear" w:color="auto" w:fill="E1EED9"/>
          </w:tcPr>
          <w:p>
            <w:pPr>
              <w:pStyle w:val="TableParagraph"/>
              <w:spacing w:line="210" w:lineRule="exact"/>
              <w:ind w:right="24"/>
              <w:jc w:val="center"/>
              <w:rPr>
                <w:sz w:val="20"/>
              </w:rPr>
            </w:pPr>
            <w:r>
              <w:rPr>
                <w:spacing w:val="-2"/>
                <w:sz w:val="20"/>
              </w:rPr>
              <w:t>----</w:t>
            </w:r>
          </w:p>
        </w:tc>
        <w:tc>
          <w:tcPr>
            <w:tcW w:w="527" w:type="dxa"/>
            <w:shd w:val="clear" w:color="auto" w:fill="E1EED9"/>
          </w:tcPr>
          <w:p>
            <w:pPr>
              <w:pStyle w:val="TableParagraph"/>
              <w:rPr>
                <w:sz w:val="16"/>
              </w:rPr>
            </w:pPr>
          </w:p>
        </w:tc>
        <w:tc>
          <w:tcPr>
            <w:tcW w:w="544" w:type="dxa"/>
            <w:vMerge/>
            <w:tcBorders>
              <w:top w:val="nil"/>
            </w:tcBorders>
          </w:tcPr>
          <w:p>
            <w:pPr>
              <w:rPr>
                <w:sz w:val="2"/>
                <w:szCs w:val="2"/>
              </w:rPr>
            </w:pPr>
          </w:p>
        </w:tc>
      </w:tr>
      <w:tr>
        <w:trPr>
          <w:trHeight w:val="230" w:hRule="atLeast"/>
        </w:trPr>
        <w:tc>
          <w:tcPr>
            <w:tcW w:w="1217" w:type="dxa"/>
            <w:shd w:val="clear" w:color="auto" w:fill="E1EED9"/>
          </w:tcPr>
          <w:p>
            <w:pPr>
              <w:pStyle w:val="TableParagraph"/>
              <w:spacing w:line="210" w:lineRule="exact"/>
              <w:ind w:left="107"/>
              <w:rPr>
                <w:sz w:val="20"/>
              </w:rPr>
            </w:pPr>
            <w:r>
              <w:rPr>
                <w:spacing w:val="-2"/>
                <w:sz w:val="20"/>
              </w:rPr>
              <w:t>Ausente</w:t>
            </w:r>
          </w:p>
        </w:tc>
        <w:tc>
          <w:tcPr>
            <w:tcW w:w="641" w:type="dxa"/>
            <w:shd w:val="clear" w:color="auto" w:fill="E1EED9"/>
          </w:tcPr>
          <w:p>
            <w:pPr>
              <w:pStyle w:val="TableParagraph"/>
              <w:rPr>
                <w:sz w:val="16"/>
              </w:rPr>
            </w:pPr>
          </w:p>
        </w:tc>
        <w:tc>
          <w:tcPr>
            <w:tcW w:w="615"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6" w:type="dxa"/>
            <w:shd w:val="clear" w:color="auto" w:fill="E1EED9"/>
          </w:tcPr>
          <w:p>
            <w:pPr>
              <w:pStyle w:val="TableParagraph"/>
              <w:spacing w:line="210" w:lineRule="exact"/>
              <w:ind w:right="10"/>
              <w:jc w:val="center"/>
              <w:rPr>
                <w:sz w:val="20"/>
              </w:rPr>
            </w:pPr>
            <w:r>
              <w:rPr>
                <w:spacing w:val="-2"/>
                <w:sz w:val="20"/>
              </w:rPr>
              <w:t>---</w:t>
            </w:r>
          </w:p>
        </w:tc>
        <w:tc>
          <w:tcPr>
            <w:tcW w:w="434" w:type="dxa"/>
            <w:shd w:val="clear" w:color="auto" w:fill="E1EED9"/>
          </w:tcPr>
          <w:p>
            <w:pPr>
              <w:pStyle w:val="TableParagraph"/>
              <w:rPr>
                <w:sz w:val="16"/>
              </w:rPr>
            </w:pPr>
          </w:p>
        </w:tc>
        <w:tc>
          <w:tcPr>
            <w:tcW w:w="482" w:type="dxa"/>
            <w:shd w:val="clear" w:color="auto" w:fill="E1EED9"/>
          </w:tcPr>
          <w:p>
            <w:pPr>
              <w:pStyle w:val="TableParagraph"/>
              <w:rPr>
                <w:sz w:val="16"/>
              </w:rPr>
            </w:pPr>
          </w:p>
        </w:tc>
        <w:tc>
          <w:tcPr>
            <w:tcW w:w="463" w:type="dxa"/>
            <w:shd w:val="clear" w:color="auto" w:fill="E1EED9"/>
          </w:tcPr>
          <w:p>
            <w:pPr>
              <w:pStyle w:val="TableParagraph"/>
              <w:spacing w:line="210" w:lineRule="exact"/>
              <w:ind w:right="34"/>
              <w:jc w:val="center"/>
              <w:rPr>
                <w:sz w:val="20"/>
              </w:rPr>
            </w:pPr>
            <w:r>
              <w:rPr>
                <w:spacing w:val="-2"/>
                <w:sz w:val="20"/>
              </w:rPr>
              <w:t>---</w:t>
            </w:r>
          </w:p>
        </w:tc>
        <w:tc>
          <w:tcPr>
            <w:tcW w:w="436" w:type="dxa"/>
            <w:shd w:val="clear" w:color="auto" w:fill="E1EED9"/>
          </w:tcPr>
          <w:p>
            <w:pPr>
              <w:pStyle w:val="TableParagraph"/>
              <w:rPr>
                <w:sz w:val="16"/>
              </w:rPr>
            </w:pPr>
          </w:p>
        </w:tc>
        <w:tc>
          <w:tcPr>
            <w:tcW w:w="434" w:type="dxa"/>
            <w:shd w:val="clear" w:color="auto" w:fill="E1EED9"/>
          </w:tcPr>
          <w:p>
            <w:pPr>
              <w:pStyle w:val="TableParagraph"/>
              <w:rPr>
                <w:sz w:val="16"/>
              </w:rPr>
            </w:pPr>
          </w:p>
        </w:tc>
        <w:tc>
          <w:tcPr>
            <w:tcW w:w="434" w:type="dxa"/>
            <w:shd w:val="clear" w:color="auto" w:fill="E1EED9"/>
          </w:tcPr>
          <w:p>
            <w:pPr>
              <w:pStyle w:val="TableParagraph"/>
              <w:spacing w:line="210" w:lineRule="exact"/>
              <w:ind w:right="1"/>
              <w:jc w:val="center"/>
              <w:rPr>
                <w:sz w:val="20"/>
              </w:rPr>
            </w:pPr>
            <w:r>
              <w:rPr>
                <w:spacing w:val="-2"/>
                <w:sz w:val="20"/>
              </w:rPr>
              <w:t>---</w:t>
            </w:r>
          </w:p>
        </w:tc>
        <w:tc>
          <w:tcPr>
            <w:tcW w:w="434" w:type="dxa"/>
            <w:shd w:val="clear" w:color="auto" w:fill="E1EED9"/>
          </w:tcPr>
          <w:p>
            <w:pPr>
              <w:pStyle w:val="TableParagraph"/>
              <w:rPr>
                <w:sz w:val="16"/>
              </w:rPr>
            </w:pPr>
          </w:p>
        </w:tc>
        <w:tc>
          <w:tcPr>
            <w:tcW w:w="436" w:type="dxa"/>
            <w:shd w:val="clear" w:color="auto" w:fill="E1EED9"/>
          </w:tcPr>
          <w:p>
            <w:pPr>
              <w:pStyle w:val="TableParagraph"/>
              <w:rPr>
                <w:sz w:val="16"/>
              </w:rPr>
            </w:pPr>
          </w:p>
        </w:tc>
        <w:tc>
          <w:tcPr>
            <w:tcW w:w="528" w:type="dxa"/>
            <w:shd w:val="clear" w:color="auto" w:fill="E1EED9"/>
          </w:tcPr>
          <w:p>
            <w:pPr>
              <w:pStyle w:val="TableParagraph"/>
              <w:rPr>
                <w:sz w:val="16"/>
              </w:rPr>
            </w:pPr>
          </w:p>
        </w:tc>
        <w:tc>
          <w:tcPr>
            <w:tcW w:w="527" w:type="dxa"/>
            <w:shd w:val="clear" w:color="auto" w:fill="E1EED9"/>
          </w:tcPr>
          <w:p>
            <w:pPr>
              <w:pStyle w:val="TableParagraph"/>
              <w:spacing w:line="210" w:lineRule="exact"/>
              <w:ind w:right="23"/>
              <w:jc w:val="center"/>
              <w:rPr>
                <w:sz w:val="20"/>
              </w:rPr>
            </w:pPr>
            <w:r>
              <w:rPr>
                <w:spacing w:val="-2"/>
                <w:sz w:val="20"/>
              </w:rPr>
              <w:t>----</w:t>
            </w:r>
          </w:p>
        </w:tc>
        <w:tc>
          <w:tcPr>
            <w:tcW w:w="544" w:type="dxa"/>
            <w:vMerge/>
            <w:tcBorders>
              <w:top w:val="nil"/>
            </w:tcBorders>
          </w:tcPr>
          <w:p>
            <w:pPr>
              <w:rPr>
                <w:sz w:val="2"/>
                <w:szCs w:val="2"/>
              </w:rPr>
            </w:pPr>
          </w:p>
        </w:tc>
      </w:tr>
      <w:tr>
        <w:trPr>
          <w:trHeight w:val="241" w:hRule="atLeast"/>
        </w:trPr>
        <w:tc>
          <w:tcPr>
            <w:tcW w:w="1217" w:type="dxa"/>
            <w:shd w:val="clear" w:color="auto" w:fill="FFF1CC"/>
          </w:tcPr>
          <w:p>
            <w:pPr>
              <w:pStyle w:val="TableParagraph"/>
              <w:spacing w:line="222" w:lineRule="exact"/>
              <w:ind w:left="107"/>
              <w:rPr>
                <w:rFonts w:ascii="Calibri"/>
                <w:sz w:val="20"/>
              </w:rPr>
            </w:pPr>
            <w:r>
              <w:rPr>
                <w:rFonts w:ascii="Calibri"/>
                <w:spacing w:val="-2"/>
                <w:sz w:val="20"/>
              </w:rPr>
              <w:t>T2-</w:t>
            </w:r>
            <w:r>
              <w:rPr>
                <w:rFonts w:ascii="Calibri"/>
                <w:spacing w:val="-10"/>
                <w:sz w:val="20"/>
              </w:rPr>
              <w:t>1</w:t>
            </w:r>
          </w:p>
        </w:tc>
        <w:tc>
          <w:tcPr>
            <w:tcW w:w="641" w:type="dxa"/>
            <w:shd w:val="clear" w:color="auto" w:fill="FFF1CC"/>
          </w:tcPr>
          <w:p>
            <w:pPr>
              <w:pStyle w:val="TableParagraph"/>
              <w:rPr>
                <w:sz w:val="16"/>
              </w:rPr>
            </w:pPr>
          </w:p>
        </w:tc>
        <w:tc>
          <w:tcPr>
            <w:tcW w:w="615"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82" w:type="dxa"/>
            <w:shd w:val="clear" w:color="auto" w:fill="FFF1CC"/>
          </w:tcPr>
          <w:p>
            <w:pPr>
              <w:pStyle w:val="TableParagraph"/>
              <w:rPr>
                <w:sz w:val="16"/>
              </w:rPr>
            </w:pPr>
          </w:p>
        </w:tc>
        <w:tc>
          <w:tcPr>
            <w:tcW w:w="463"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528" w:type="dxa"/>
            <w:shd w:val="clear" w:color="auto" w:fill="FFF1CC"/>
          </w:tcPr>
          <w:p>
            <w:pPr>
              <w:pStyle w:val="TableParagraph"/>
              <w:rPr>
                <w:sz w:val="16"/>
              </w:rPr>
            </w:pPr>
          </w:p>
        </w:tc>
        <w:tc>
          <w:tcPr>
            <w:tcW w:w="527" w:type="dxa"/>
            <w:shd w:val="clear" w:color="auto" w:fill="FFF1CC"/>
          </w:tcPr>
          <w:p>
            <w:pPr>
              <w:pStyle w:val="TableParagraph"/>
              <w:rPr>
                <w:sz w:val="16"/>
              </w:rPr>
            </w:pPr>
          </w:p>
        </w:tc>
        <w:tc>
          <w:tcPr>
            <w:tcW w:w="544" w:type="dxa"/>
            <w:vMerge w:val="restart"/>
          </w:tcPr>
          <w:p>
            <w:pPr>
              <w:pStyle w:val="TableParagraph"/>
              <w:ind w:left="114"/>
              <w:rPr>
                <w:sz w:val="20"/>
              </w:rPr>
            </w:pPr>
            <w:r>
              <w:rPr>
                <w:sz w:val="20"/>
              </w:rPr>
              <w:t>P: </w:t>
            </w:r>
            <w:r>
              <w:rPr>
                <w:spacing w:val="-10"/>
                <w:sz w:val="20"/>
              </w:rPr>
              <w:t>4</w:t>
            </w:r>
          </w:p>
        </w:tc>
      </w:tr>
      <w:tr>
        <w:trPr>
          <w:trHeight w:val="244" w:hRule="atLeast"/>
        </w:trPr>
        <w:tc>
          <w:tcPr>
            <w:tcW w:w="1217" w:type="dxa"/>
            <w:shd w:val="clear" w:color="auto" w:fill="FFF1CC"/>
          </w:tcPr>
          <w:p>
            <w:pPr>
              <w:pStyle w:val="TableParagraph"/>
              <w:spacing w:line="223" w:lineRule="exact" w:before="1"/>
              <w:ind w:left="107"/>
              <w:rPr>
                <w:rFonts w:ascii="Calibri"/>
                <w:sz w:val="20"/>
              </w:rPr>
            </w:pPr>
            <w:r>
              <w:rPr>
                <w:rFonts w:ascii="Calibri"/>
                <w:spacing w:val="-2"/>
                <w:sz w:val="20"/>
              </w:rPr>
              <w:t>Presente</w:t>
            </w:r>
          </w:p>
        </w:tc>
        <w:tc>
          <w:tcPr>
            <w:tcW w:w="641" w:type="dxa"/>
            <w:shd w:val="clear" w:color="auto" w:fill="FFF1CC"/>
          </w:tcPr>
          <w:p>
            <w:pPr>
              <w:pStyle w:val="TableParagraph"/>
              <w:rPr>
                <w:sz w:val="16"/>
              </w:rPr>
            </w:pPr>
          </w:p>
        </w:tc>
        <w:tc>
          <w:tcPr>
            <w:tcW w:w="615" w:type="dxa"/>
            <w:shd w:val="clear" w:color="auto" w:fill="FFF1CC"/>
          </w:tcPr>
          <w:p>
            <w:pPr>
              <w:pStyle w:val="TableParagraph"/>
              <w:spacing w:line="224" w:lineRule="exact"/>
              <w:ind w:left="107"/>
              <w:rPr>
                <w:sz w:val="20"/>
              </w:rPr>
            </w:pPr>
            <w:r>
              <w:rPr>
                <w:spacing w:val="-2"/>
                <w:sz w:val="20"/>
              </w:rPr>
              <w:t>----</w:t>
            </w:r>
          </w:p>
        </w:tc>
        <w:tc>
          <w:tcPr>
            <w:tcW w:w="434"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82" w:type="dxa"/>
            <w:shd w:val="clear" w:color="auto" w:fill="FFF1CC"/>
          </w:tcPr>
          <w:p>
            <w:pPr>
              <w:pStyle w:val="TableParagraph"/>
              <w:spacing w:line="224" w:lineRule="exact"/>
              <w:ind w:right="54"/>
              <w:jc w:val="center"/>
              <w:rPr>
                <w:sz w:val="20"/>
              </w:rPr>
            </w:pPr>
            <w:r>
              <w:rPr>
                <w:spacing w:val="-2"/>
                <w:sz w:val="20"/>
              </w:rPr>
              <w:t>---</w:t>
            </w:r>
          </w:p>
        </w:tc>
        <w:tc>
          <w:tcPr>
            <w:tcW w:w="463" w:type="dxa"/>
            <w:shd w:val="clear" w:color="auto" w:fill="FFF1CC"/>
          </w:tcPr>
          <w:p>
            <w:pPr>
              <w:pStyle w:val="TableParagraph"/>
              <w:spacing w:line="224" w:lineRule="exact"/>
              <w:ind w:right="34"/>
              <w:jc w:val="center"/>
              <w:rPr>
                <w:sz w:val="20"/>
              </w:rPr>
            </w:pPr>
            <w:r>
              <w:rPr>
                <w:spacing w:val="-2"/>
                <w:sz w:val="20"/>
              </w:rPr>
              <w:t>---</w:t>
            </w:r>
          </w:p>
        </w:tc>
        <w:tc>
          <w:tcPr>
            <w:tcW w:w="436" w:type="dxa"/>
            <w:shd w:val="clear" w:color="auto" w:fill="FFF1CC"/>
          </w:tcPr>
          <w:p>
            <w:pPr>
              <w:pStyle w:val="TableParagraph"/>
              <w:spacing w:line="224" w:lineRule="exact"/>
              <w:ind w:right="6"/>
              <w:jc w:val="center"/>
              <w:rPr>
                <w:sz w:val="20"/>
              </w:rPr>
            </w:pPr>
            <w:r>
              <w:rPr>
                <w:spacing w:val="-2"/>
                <w:sz w:val="20"/>
              </w:rPr>
              <w:t>---</w:t>
            </w:r>
          </w:p>
        </w:tc>
        <w:tc>
          <w:tcPr>
            <w:tcW w:w="434" w:type="dxa"/>
            <w:shd w:val="clear" w:color="auto" w:fill="FFF1CC"/>
          </w:tcPr>
          <w:p>
            <w:pPr>
              <w:pStyle w:val="TableParagraph"/>
              <w:spacing w:line="224" w:lineRule="exact"/>
              <w:ind w:right="2"/>
              <w:jc w:val="center"/>
              <w:rPr>
                <w:sz w:val="20"/>
              </w:rPr>
            </w:pPr>
            <w:r>
              <w:rPr>
                <w:spacing w:val="-2"/>
                <w:sz w:val="20"/>
              </w:rPr>
              <w:t>---</w:t>
            </w:r>
          </w:p>
        </w:tc>
        <w:tc>
          <w:tcPr>
            <w:tcW w:w="434" w:type="dxa"/>
            <w:shd w:val="clear" w:color="auto" w:fill="FFF1CC"/>
          </w:tcPr>
          <w:p>
            <w:pPr>
              <w:pStyle w:val="TableParagraph"/>
              <w:spacing w:line="224" w:lineRule="exact"/>
              <w:ind w:right="1"/>
              <w:jc w:val="center"/>
              <w:rPr>
                <w:sz w:val="20"/>
              </w:rPr>
            </w:pPr>
            <w:r>
              <w:rPr>
                <w:spacing w:val="-2"/>
                <w:sz w:val="20"/>
              </w:rPr>
              <w:t>---</w:t>
            </w:r>
          </w:p>
        </w:tc>
        <w:tc>
          <w:tcPr>
            <w:tcW w:w="434" w:type="dxa"/>
            <w:shd w:val="clear" w:color="auto" w:fill="FFF1CC"/>
          </w:tcPr>
          <w:p>
            <w:pPr>
              <w:pStyle w:val="TableParagraph"/>
              <w:spacing w:line="224" w:lineRule="exact"/>
              <w:jc w:val="center"/>
              <w:rPr>
                <w:sz w:val="20"/>
              </w:rPr>
            </w:pPr>
            <w:r>
              <w:rPr>
                <w:spacing w:val="-2"/>
                <w:sz w:val="20"/>
              </w:rPr>
              <w:t>---</w:t>
            </w:r>
          </w:p>
        </w:tc>
        <w:tc>
          <w:tcPr>
            <w:tcW w:w="436" w:type="dxa"/>
            <w:shd w:val="clear" w:color="auto" w:fill="FFF1CC"/>
          </w:tcPr>
          <w:p>
            <w:pPr>
              <w:pStyle w:val="TableParagraph"/>
              <w:rPr>
                <w:sz w:val="16"/>
              </w:rPr>
            </w:pPr>
          </w:p>
        </w:tc>
        <w:tc>
          <w:tcPr>
            <w:tcW w:w="528" w:type="dxa"/>
            <w:shd w:val="clear" w:color="auto" w:fill="FFF1CC"/>
          </w:tcPr>
          <w:p>
            <w:pPr>
              <w:pStyle w:val="TableParagraph"/>
              <w:rPr>
                <w:sz w:val="16"/>
              </w:rPr>
            </w:pPr>
          </w:p>
        </w:tc>
        <w:tc>
          <w:tcPr>
            <w:tcW w:w="527" w:type="dxa"/>
            <w:shd w:val="clear" w:color="auto" w:fill="FFF1CC"/>
          </w:tcPr>
          <w:p>
            <w:pPr>
              <w:pStyle w:val="TableParagraph"/>
              <w:spacing w:line="224" w:lineRule="exact"/>
              <w:ind w:right="90"/>
              <w:jc w:val="center"/>
              <w:rPr>
                <w:sz w:val="20"/>
              </w:rPr>
            </w:pPr>
            <w:r>
              <w:rPr>
                <w:spacing w:val="-2"/>
                <w:sz w:val="20"/>
              </w:rPr>
              <w:t>---</w:t>
            </w:r>
          </w:p>
        </w:tc>
        <w:tc>
          <w:tcPr>
            <w:tcW w:w="544" w:type="dxa"/>
            <w:vMerge/>
            <w:tcBorders>
              <w:top w:val="nil"/>
            </w:tcBorders>
          </w:tcPr>
          <w:p>
            <w:pPr>
              <w:rPr>
                <w:sz w:val="2"/>
                <w:szCs w:val="2"/>
              </w:rPr>
            </w:pPr>
          </w:p>
        </w:tc>
      </w:tr>
      <w:tr>
        <w:trPr>
          <w:trHeight w:val="244" w:hRule="atLeast"/>
        </w:trPr>
        <w:tc>
          <w:tcPr>
            <w:tcW w:w="1217" w:type="dxa"/>
            <w:shd w:val="clear" w:color="auto" w:fill="FFF1CC"/>
          </w:tcPr>
          <w:p>
            <w:pPr>
              <w:pStyle w:val="TableParagraph"/>
              <w:spacing w:line="223" w:lineRule="exact" w:before="1"/>
              <w:ind w:left="107"/>
              <w:rPr>
                <w:rFonts w:ascii="Calibri"/>
                <w:sz w:val="20"/>
              </w:rPr>
            </w:pPr>
            <w:r>
              <w:rPr>
                <w:rFonts w:ascii="Calibri"/>
                <w:spacing w:val="-2"/>
                <w:sz w:val="20"/>
              </w:rPr>
              <w:t>Ausente</w:t>
            </w:r>
          </w:p>
        </w:tc>
        <w:tc>
          <w:tcPr>
            <w:tcW w:w="641" w:type="dxa"/>
            <w:shd w:val="clear" w:color="auto" w:fill="FFF1CC"/>
          </w:tcPr>
          <w:p>
            <w:pPr>
              <w:pStyle w:val="TableParagraph"/>
              <w:rPr>
                <w:sz w:val="16"/>
              </w:rPr>
            </w:pPr>
          </w:p>
        </w:tc>
        <w:tc>
          <w:tcPr>
            <w:tcW w:w="615"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6" w:type="dxa"/>
            <w:shd w:val="clear" w:color="auto" w:fill="FFF1CC"/>
          </w:tcPr>
          <w:p>
            <w:pPr>
              <w:pStyle w:val="TableParagraph"/>
              <w:spacing w:line="224" w:lineRule="exact"/>
              <w:ind w:right="10"/>
              <w:jc w:val="center"/>
              <w:rPr>
                <w:sz w:val="20"/>
              </w:rPr>
            </w:pPr>
            <w:r>
              <w:rPr>
                <w:spacing w:val="-2"/>
                <w:sz w:val="20"/>
              </w:rPr>
              <w:t>---</w:t>
            </w:r>
          </w:p>
        </w:tc>
        <w:tc>
          <w:tcPr>
            <w:tcW w:w="434" w:type="dxa"/>
            <w:shd w:val="clear" w:color="auto" w:fill="FFF1CC"/>
          </w:tcPr>
          <w:p>
            <w:pPr>
              <w:pStyle w:val="TableParagraph"/>
              <w:rPr>
                <w:sz w:val="16"/>
              </w:rPr>
            </w:pPr>
          </w:p>
        </w:tc>
        <w:tc>
          <w:tcPr>
            <w:tcW w:w="482" w:type="dxa"/>
            <w:shd w:val="clear" w:color="auto" w:fill="FFF1CC"/>
          </w:tcPr>
          <w:p>
            <w:pPr>
              <w:pStyle w:val="TableParagraph"/>
              <w:rPr>
                <w:sz w:val="16"/>
              </w:rPr>
            </w:pPr>
          </w:p>
        </w:tc>
        <w:tc>
          <w:tcPr>
            <w:tcW w:w="463"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6" w:type="dxa"/>
            <w:shd w:val="clear" w:color="auto" w:fill="FFF1CC"/>
          </w:tcPr>
          <w:p>
            <w:pPr>
              <w:pStyle w:val="TableParagraph"/>
              <w:spacing w:line="224" w:lineRule="exact"/>
              <w:ind w:right="2"/>
              <w:jc w:val="center"/>
              <w:rPr>
                <w:sz w:val="20"/>
              </w:rPr>
            </w:pPr>
            <w:r>
              <w:rPr>
                <w:spacing w:val="-2"/>
                <w:sz w:val="20"/>
              </w:rPr>
              <w:t>---</w:t>
            </w:r>
          </w:p>
        </w:tc>
        <w:tc>
          <w:tcPr>
            <w:tcW w:w="528" w:type="dxa"/>
            <w:shd w:val="clear" w:color="auto" w:fill="FFF1CC"/>
          </w:tcPr>
          <w:p>
            <w:pPr>
              <w:pStyle w:val="TableParagraph"/>
              <w:spacing w:line="224" w:lineRule="exact"/>
              <w:ind w:right="24"/>
              <w:jc w:val="center"/>
              <w:rPr>
                <w:sz w:val="20"/>
              </w:rPr>
            </w:pPr>
            <w:r>
              <w:rPr>
                <w:spacing w:val="-2"/>
                <w:sz w:val="20"/>
              </w:rPr>
              <w:t>----</w:t>
            </w:r>
          </w:p>
        </w:tc>
        <w:tc>
          <w:tcPr>
            <w:tcW w:w="527" w:type="dxa"/>
            <w:shd w:val="clear" w:color="auto" w:fill="FFF1CC"/>
          </w:tcPr>
          <w:p>
            <w:pPr>
              <w:pStyle w:val="TableParagraph"/>
              <w:rPr>
                <w:sz w:val="16"/>
              </w:rPr>
            </w:pPr>
          </w:p>
        </w:tc>
        <w:tc>
          <w:tcPr>
            <w:tcW w:w="544" w:type="dxa"/>
            <w:vMerge/>
            <w:tcBorders>
              <w:top w:val="nil"/>
            </w:tcBorders>
          </w:tcPr>
          <w:p>
            <w:pPr>
              <w:rPr>
                <w:sz w:val="2"/>
                <w:szCs w:val="2"/>
              </w:rPr>
            </w:pPr>
          </w:p>
        </w:tc>
      </w:tr>
      <w:tr>
        <w:trPr>
          <w:trHeight w:val="244" w:hRule="atLeast"/>
        </w:trPr>
        <w:tc>
          <w:tcPr>
            <w:tcW w:w="1217" w:type="dxa"/>
            <w:shd w:val="clear" w:color="auto" w:fill="FFF1CC"/>
          </w:tcPr>
          <w:p>
            <w:pPr>
              <w:pStyle w:val="TableParagraph"/>
              <w:spacing w:line="223" w:lineRule="exact" w:before="1"/>
              <w:ind w:left="107"/>
              <w:rPr>
                <w:rFonts w:ascii="Calibri"/>
                <w:sz w:val="20"/>
              </w:rPr>
            </w:pPr>
            <w:r>
              <w:rPr>
                <w:rFonts w:ascii="Calibri"/>
                <w:spacing w:val="-2"/>
                <w:sz w:val="20"/>
              </w:rPr>
              <w:t>T2-</w:t>
            </w:r>
            <w:r>
              <w:rPr>
                <w:rFonts w:ascii="Calibri"/>
                <w:spacing w:val="-10"/>
                <w:sz w:val="20"/>
              </w:rPr>
              <w:t>2</w:t>
            </w:r>
          </w:p>
        </w:tc>
        <w:tc>
          <w:tcPr>
            <w:tcW w:w="641" w:type="dxa"/>
            <w:shd w:val="clear" w:color="auto" w:fill="FFF1CC"/>
          </w:tcPr>
          <w:p>
            <w:pPr>
              <w:pStyle w:val="TableParagraph"/>
              <w:rPr>
                <w:sz w:val="16"/>
              </w:rPr>
            </w:pPr>
          </w:p>
        </w:tc>
        <w:tc>
          <w:tcPr>
            <w:tcW w:w="615"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82" w:type="dxa"/>
            <w:shd w:val="clear" w:color="auto" w:fill="FFF1CC"/>
          </w:tcPr>
          <w:p>
            <w:pPr>
              <w:pStyle w:val="TableParagraph"/>
              <w:rPr>
                <w:sz w:val="16"/>
              </w:rPr>
            </w:pPr>
          </w:p>
        </w:tc>
        <w:tc>
          <w:tcPr>
            <w:tcW w:w="463"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528" w:type="dxa"/>
            <w:shd w:val="clear" w:color="auto" w:fill="FFF1CC"/>
          </w:tcPr>
          <w:p>
            <w:pPr>
              <w:pStyle w:val="TableParagraph"/>
              <w:rPr>
                <w:sz w:val="16"/>
              </w:rPr>
            </w:pPr>
          </w:p>
        </w:tc>
        <w:tc>
          <w:tcPr>
            <w:tcW w:w="527" w:type="dxa"/>
            <w:shd w:val="clear" w:color="auto" w:fill="FFF1CC"/>
          </w:tcPr>
          <w:p>
            <w:pPr>
              <w:pStyle w:val="TableParagraph"/>
              <w:rPr>
                <w:sz w:val="16"/>
              </w:rPr>
            </w:pPr>
          </w:p>
        </w:tc>
        <w:tc>
          <w:tcPr>
            <w:tcW w:w="544" w:type="dxa"/>
            <w:vMerge w:val="restart"/>
          </w:tcPr>
          <w:p>
            <w:pPr>
              <w:pStyle w:val="TableParagraph"/>
              <w:ind w:left="114"/>
              <w:rPr>
                <w:sz w:val="20"/>
              </w:rPr>
            </w:pPr>
            <w:r>
              <w:rPr>
                <w:sz w:val="20"/>
              </w:rPr>
              <w:t>P:</w:t>
            </w:r>
            <w:r>
              <w:rPr>
                <w:spacing w:val="-1"/>
                <w:sz w:val="20"/>
              </w:rPr>
              <w:t> </w:t>
            </w:r>
            <w:r>
              <w:rPr>
                <w:spacing w:val="-10"/>
                <w:sz w:val="20"/>
              </w:rPr>
              <w:t>4</w:t>
            </w:r>
          </w:p>
        </w:tc>
      </w:tr>
      <w:tr>
        <w:trPr>
          <w:trHeight w:val="244" w:hRule="atLeast"/>
        </w:trPr>
        <w:tc>
          <w:tcPr>
            <w:tcW w:w="1217" w:type="dxa"/>
            <w:shd w:val="clear" w:color="auto" w:fill="FFF1CC"/>
          </w:tcPr>
          <w:p>
            <w:pPr>
              <w:pStyle w:val="TableParagraph"/>
              <w:spacing w:line="223" w:lineRule="exact" w:before="1"/>
              <w:ind w:left="107"/>
              <w:rPr>
                <w:rFonts w:ascii="Calibri"/>
                <w:sz w:val="20"/>
              </w:rPr>
            </w:pPr>
            <w:r>
              <w:rPr>
                <w:rFonts w:ascii="Calibri"/>
                <w:spacing w:val="-2"/>
                <w:sz w:val="20"/>
              </w:rPr>
              <w:t>Presente</w:t>
            </w:r>
          </w:p>
        </w:tc>
        <w:tc>
          <w:tcPr>
            <w:tcW w:w="641" w:type="dxa"/>
            <w:shd w:val="clear" w:color="auto" w:fill="FFF1CC"/>
          </w:tcPr>
          <w:p>
            <w:pPr>
              <w:pStyle w:val="TableParagraph"/>
              <w:rPr>
                <w:sz w:val="16"/>
              </w:rPr>
            </w:pPr>
          </w:p>
        </w:tc>
        <w:tc>
          <w:tcPr>
            <w:tcW w:w="615" w:type="dxa"/>
            <w:shd w:val="clear" w:color="auto" w:fill="FFF1CC"/>
          </w:tcPr>
          <w:p>
            <w:pPr>
              <w:pStyle w:val="TableParagraph"/>
              <w:spacing w:line="224" w:lineRule="exact"/>
              <w:ind w:left="107"/>
              <w:rPr>
                <w:sz w:val="20"/>
              </w:rPr>
            </w:pPr>
            <w:r>
              <w:rPr>
                <w:spacing w:val="-2"/>
                <w:sz w:val="20"/>
              </w:rPr>
              <w:t>----</w:t>
            </w:r>
          </w:p>
        </w:tc>
        <w:tc>
          <w:tcPr>
            <w:tcW w:w="434"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82" w:type="dxa"/>
            <w:shd w:val="clear" w:color="auto" w:fill="FFF1CC"/>
          </w:tcPr>
          <w:p>
            <w:pPr>
              <w:pStyle w:val="TableParagraph"/>
              <w:rPr>
                <w:sz w:val="16"/>
              </w:rPr>
            </w:pPr>
          </w:p>
        </w:tc>
        <w:tc>
          <w:tcPr>
            <w:tcW w:w="463" w:type="dxa"/>
            <w:shd w:val="clear" w:color="auto" w:fill="FFF1CC"/>
          </w:tcPr>
          <w:p>
            <w:pPr>
              <w:pStyle w:val="TableParagraph"/>
              <w:spacing w:line="224" w:lineRule="exact"/>
              <w:ind w:right="34"/>
              <w:jc w:val="center"/>
              <w:rPr>
                <w:sz w:val="20"/>
              </w:rPr>
            </w:pPr>
            <w:r>
              <w:rPr>
                <w:spacing w:val="-2"/>
                <w:sz w:val="20"/>
              </w:rPr>
              <w:t>---</w:t>
            </w:r>
          </w:p>
        </w:tc>
        <w:tc>
          <w:tcPr>
            <w:tcW w:w="436" w:type="dxa"/>
            <w:shd w:val="clear" w:color="auto" w:fill="FFF1CC"/>
          </w:tcPr>
          <w:p>
            <w:pPr>
              <w:pStyle w:val="TableParagraph"/>
              <w:spacing w:line="224" w:lineRule="exact"/>
              <w:ind w:right="6"/>
              <w:jc w:val="center"/>
              <w:rPr>
                <w:sz w:val="20"/>
              </w:rPr>
            </w:pPr>
            <w:r>
              <w:rPr>
                <w:spacing w:val="-2"/>
                <w:sz w:val="20"/>
              </w:rPr>
              <w:t>---</w:t>
            </w:r>
          </w:p>
        </w:tc>
        <w:tc>
          <w:tcPr>
            <w:tcW w:w="434" w:type="dxa"/>
            <w:shd w:val="clear" w:color="auto" w:fill="FFF1CC"/>
          </w:tcPr>
          <w:p>
            <w:pPr>
              <w:pStyle w:val="TableParagraph"/>
              <w:spacing w:line="224" w:lineRule="exact"/>
              <w:ind w:right="2"/>
              <w:jc w:val="center"/>
              <w:rPr>
                <w:sz w:val="20"/>
              </w:rPr>
            </w:pPr>
            <w:r>
              <w:rPr>
                <w:spacing w:val="-2"/>
                <w:sz w:val="20"/>
              </w:rPr>
              <w:t>---</w:t>
            </w:r>
          </w:p>
        </w:tc>
        <w:tc>
          <w:tcPr>
            <w:tcW w:w="434" w:type="dxa"/>
            <w:shd w:val="clear" w:color="auto" w:fill="FFF1CC"/>
          </w:tcPr>
          <w:p>
            <w:pPr>
              <w:pStyle w:val="TableParagraph"/>
              <w:spacing w:line="224" w:lineRule="exact"/>
              <w:ind w:right="1"/>
              <w:jc w:val="center"/>
              <w:rPr>
                <w:sz w:val="20"/>
              </w:rPr>
            </w:pPr>
            <w:r>
              <w:rPr>
                <w:spacing w:val="-2"/>
                <w:sz w:val="20"/>
              </w:rPr>
              <w:t>---</w:t>
            </w:r>
          </w:p>
        </w:tc>
        <w:tc>
          <w:tcPr>
            <w:tcW w:w="434"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528" w:type="dxa"/>
            <w:shd w:val="clear" w:color="auto" w:fill="FFF1CC"/>
          </w:tcPr>
          <w:p>
            <w:pPr>
              <w:pStyle w:val="TableParagraph"/>
              <w:rPr>
                <w:sz w:val="16"/>
              </w:rPr>
            </w:pPr>
          </w:p>
        </w:tc>
        <w:tc>
          <w:tcPr>
            <w:tcW w:w="527" w:type="dxa"/>
            <w:shd w:val="clear" w:color="auto" w:fill="FFF1CC"/>
          </w:tcPr>
          <w:p>
            <w:pPr>
              <w:pStyle w:val="TableParagraph"/>
              <w:spacing w:line="224" w:lineRule="exact"/>
              <w:ind w:right="23"/>
              <w:jc w:val="center"/>
              <w:rPr>
                <w:sz w:val="20"/>
              </w:rPr>
            </w:pPr>
            <w:r>
              <w:rPr>
                <w:spacing w:val="-2"/>
                <w:sz w:val="20"/>
              </w:rPr>
              <w:t>----</w:t>
            </w:r>
          </w:p>
        </w:tc>
        <w:tc>
          <w:tcPr>
            <w:tcW w:w="544" w:type="dxa"/>
            <w:vMerge/>
            <w:tcBorders>
              <w:top w:val="nil"/>
            </w:tcBorders>
          </w:tcPr>
          <w:p>
            <w:pPr>
              <w:rPr>
                <w:sz w:val="2"/>
                <w:szCs w:val="2"/>
              </w:rPr>
            </w:pPr>
          </w:p>
        </w:tc>
      </w:tr>
      <w:tr>
        <w:trPr>
          <w:trHeight w:val="244" w:hRule="atLeast"/>
        </w:trPr>
        <w:tc>
          <w:tcPr>
            <w:tcW w:w="1217" w:type="dxa"/>
            <w:shd w:val="clear" w:color="auto" w:fill="FFF1CC"/>
          </w:tcPr>
          <w:p>
            <w:pPr>
              <w:pStyle w:val="TableParagraph"/>
              <w:spacing w:line="223" w:lineRule="exact" w:before="1"/>
              <w:ind w:left="107"/>
              <w:rPr>
                <w:rFonts w:ascii="Calibri"/>
                <w:sz w:val="20"/>
              </w:rPr>
            </w:pPr>
            <w:r>
              <w:rPr>
                <w:rFonts w:ascii="Calibri"/>
                <w:spacing w:val="-2"/>
                <w:sz w:val="20"/>
              </w:rPr>
              <w:t>Ausente</w:t>
            </w:r>
          </w:p>
        </w:tc>
        <w:tc>
          <w:tcPr>
            <w:tcW w:w="641" w:type="dxa"/>
            <w:shd w:val="clear" w:color="auto" w:fill="FFF1CC"/>
          </w:tcPr>
          <w:p>
            <w:pPr>
              <w:pStyle w:val="TableParagraph"/>
              <w:rPr>
                <w:sz w:val="16"/>
              </w:rPr>
            </w:pPr>
          </w:p>
        </w:tc>
        <w:tc>
          <w:tcPr>
            <w:tcW w:w="615"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6" w:type="dxa"/>
            <w:shd w:val="clear" w:color="auto" w:fill="FFF1CC"/>
          </w:tcPr>
          <w:p>
            <w:pPr>
              <w:pStyle w:val="TableParagraph"/>
              <w:spacing w:line="224" w:lineRule="exact"/>
              <w:ind w:right="10"/>
              <w:jc w:val="center"/>
              <w:rPr>
                <w:sz w:val="20"/>
              </w:rPr>
            </w:pPr>
            <w:r>
              <w:rPr>
                <w:spacing w:val="-2"/>
                <w:sz w:val="20"/>
              </w:rPr>
              <w:t>---</w:t>
            </w:r>
          </w:p>
        </w:tc>
        <w:tc>
          <w:tcPr>
            <w:tcW w:w="434" w:type="dxa"/>
            <w:shd w:val="clear" w:color="auto" w:fill="FFF1CC"/>
          </w:tcPr>
          <w:p>
            <w:pPr>
              <w:pStyle w:val="TableParagraph"/>
              <w:rPr>
                <w:sz w:val="16"/>
              </w:rPr>
            </w:pPr>
          </w:p>
        </w:tc>
        <w:tc>
          <w:tcPr>
            <w:tcW w:w="482" w:type="dxa"/>
            <w:shd w:val="clear" w:color="auto" w:fill="FFF1CC"/>
          </w:tcPr>
          <w:p>
            <w:pPr>
              <w:pStyle w:val="TableParagraph"/>
              <w:spacing w:line="224" w:lineRule="exact"/>
              <w:ind w:right="54"/>
              <w:jc w:val="center"/>
              <w:rPr>
                <w:sz w:val="20"/>
              </w:rPr>
            </w:pPr>
            <w:r>
              <w:rPr>
                <w:spacing w:val="-2"/>
                <w:sz w:val="20"/>
              </w:rPr>
              <w:t>---</w:t>
            </w:r>
          </w:p>
        </w:tc>
        <w:tc>
          <w:tcPr>
            <w:tcW w:w="463"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4" w:type="dxa"/>
            <w:shd w:val="clear" w:color="auto" w:fill="FFF1CC"/>
          </w:tcPr>
          <w:p>
            <w:pPr>
              <w:pStyle w:val="TableParagraph"/>
              <w:spacing w:line="224" w:lineRule="exact"/>
              <w:jc w:val="center"/>
              <w:rPr>
                <w:sz w:val="20"/>
              </w:rPr>
            </w:pPr>
            <w:r>
              <w:rPr>
                <w:spacing w:val="-2"/>
                <w:sz w:val="20"/>
              </w:rPr>
              <w:t>---</w:t>
            </w:r>
          </w:p>
        </w:tc>
        <w:tc>
          <w:tcPr>
            <w:tcW w:w="436" w:type="dxa"/>
            <w:shd w:val="clear" w:color="auto" w:fill="FFF1CC"/>
          </w:tcPr>
          <w:p>
            <w:pPr>
              <w:pStyle w:val="TableParagraph"/>
              <w:spacing w:line="224" w:lineRule="exact"/>
              <w:ind w:right="2"/>
              <w:jc w:val="center"/>
              <w:rPr>
                <w:sz w:val="20"/>
              </w:rPr>
            </w:pPr>
            <w:r>
              <w:rPr>
                <w:spacing w:val="-2"/>
                <w:sz w:val="20"/>
              </w:rPr>
              <w:t>---</w:t>
            </w:r>
          </w:p>
        </w:tc>
        <w:tc>
          <w:tcPr>
            <w:tcW w:w="528" w:type="dxa"/>
            <w:shd w:val="clear" w:color="auto" w:fill="FFF1CC"/>
          </w:tcPr>
          <w:p>
            <w:pPr>
              <w:pStyle w:val="TableParagraph"/>
              <w:spacing w:line="224" w:lineRule="exact"/>
              <w:ind w:right="24"/>
              <w:jc w:val="center"/>
              <w:rPr>
                <w:sz w:val="20"/>
              </w:rPr>
            </w:pPr>
            <w:r>
              <w:rPr>
                <w:spacing w:val="-2"/>
                <w:sz w:val="20"/>
              </w:rPr>
              <w:t>----</w:t>
            </w:r>
          </w:p>
        </w:tc>
        <w:tc>
          <w:tcPr>
            <w:tcW w:w="527" w:type="dxa"/>
            <w:shd w:val="clear" w:color="auto" w:fill="FFF1CC"/>
          </w:tcPr>
          <w:p>
            <w:pPr>
              <w:pStyle w:val="TableParagraph"/>
              <w:rPr>
                <w:sz w:val="16"/>
              </w:rPr>
            </w:pPr>
          </w:p>
        </w:tc>
        <w:tc>
          <w:tcPr>
            <w:tcW w:w="544" w:type="dxa"/>
            <w:vMerge/>
            <w:tcBorders>
              <w:top w:val="nil"/>
            </w:tcBorders>
          </w:tcPr>
          <w:p>
            <w:pPr>
              <w:rPr>
                <w:sz w:val="2"/>
                <w:szCs w:val="2"/>
              </w:rPr>
            </w:pPr>
          </w:p>
        </w:tc>
      </w:tr>
      <w:tr>
        <w:trPr>
          <w:trHeight w:val="244" w:hRule="atLeast"/>
        </w:trPr>
        <w:tc>
          <w:tcPr>
            <w:tcW w:w="1217" w:type="dxa"/>
            <w:shd w:val="clear" w:color="auto" w:fill="FFF1CC"/>
          </w:tcPr>
          <w:p>
            <w:pPr>
              <w:pStyle w:val="TableParagraph"/>
              <w:spacing w:line="223" w:lineRule="exact" w:before="1"/>
              <w:ind w:left="107"/>
              <w:rPr>
                <w:rFonts w:ascii="Calibri"/>
                <w:sz w:val="20"/>
              </w:rPr>
            </w:pPr>
            <w:r>
              <w:rPr>
                <w:rFonts w:ascii="Calibri"/>
                <w:spacing w:val="-2"/>
                <w:sz w:val="20"/>
              </w:rPr>
              <w:t>T2-</w:t>
            </w:r>
            <w:r>
              <w:rPr>
                <w:rFonts w:ascii="Calibri"/>
                <w:spacing w:val="-10"/>
                <w:sz w:val="20"/>
              </w:rPr>
              <w:t>3</w:t>
            </w:r>
          </w:p>
        </w:tc>
        <w:tc>
          <w:tcPr>
            <w:tcW w:w="641" w:type="dxa"/>
            <w:shd w:val="clear" w:color="auto" w:fill="FFF1CC"/>
          </w:tcPr>
          <w:p>
            <w:pPr>
              <w:pStyle w:val="TableParagraph"/>
              <w:rPr>
                <w:sz w:val="16"/>
              </w:rPr>
            </w:pPr>
          </w:p>
        </w:tc>
        <w:tc>
          <w:tcPr>
            <w:tcW w:w="615"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82" w:type="dxa"/>
            <w:shd w:val="clear" w:color="auto" w:fill="FFF1CC"/>
          </w:tcPr>
          <w:p>
            <w:pPr>
              <w:pStyle w:val="TableParagraph"/>
              <w:rPr>
                <w:sz w:val="16"/>
              </w:rPr>
            </w:pPr>
          </w:p>
        </w:tc>
        <w:tc>
          <w:tcPr>
            <w:tcW w:w="463"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528" w:type="dxa"/>
            <w:shd w:val="clear" w:color="auto" w:fill="FFF1CC"/>
          </w:tcPr>
          <w:p>
            <w:pPr>
              <w:pStyle w:val="TableParagraph"/>
              <w:rPr>
                <w:sz w:val="16"/>
              </w:rPr>
            </w:pPr>
          </w:p>
        </w:tc>
        <w:tc>
          <w:tcPr>
            <w:tcW w:w="527" w:type="dxa"/>
            <w:shd w:val="clear" w:color="auto" w:fill="FFF1CC"/>
          </w:tcPr>
          <w:p>
            <w:pPr>
              <w:pStyle w:val="TableParagraph"/>
              <w:rPr>
                <w:sz w:val="16"/>
              </w:rPr>
            </w:pPr>
          </w:p>
        </w:tc>
        <w:tc>
          <w:tcPr>
            <w:tcW w:w="544" w:type="dxa"/>
            <w:vMerge w:val="restart"/>
          </w:tcPr>
          <w:p>
            <w:pPr>
              <w:pStyle w:val="TableParagraph"/>
              <w:ind w:left="114"/>
              <w:rPr>
                <w:sz w:val="20"/>
              </w:rPr>
            </w:pPr>
            <w:r>
              <w:rPr>
                <w:sz w:val="20"/>
              </w:rPr>
              <w:t>P:</w:t>
            </w:r>
            <w:r>
              <w:rPr>
                <w:spacing w:val="-1"/>
                <w:sz w:val="20"/>
              </w:rPr>
              <w:t> </w:t>
            </w:r>
            <w:r>
              <w:rPr>
                <w:spacing w:val="-10"/>
                <w:sz w:val="20"/>
              </w:rPr>
              <w:t>4</w:t>
            </w:r>
          </w:p>
        </w:tc>
      </w:tr>
      <w:tr>
        <w:trPr>
          <w:trHeight w:val="244" w:hRule="atLeast"/>
        </w:trPr>
        <w:tc>
          <w:tcPr>
            <w:tcW w:w="1217" w:type="dxa"/>
            <w:shd w:val="clear" w:color="auto" w:fill="FFF1CC"/>
          </w:tcPr>
          <w:p>
            <w:pPr>
              <w:pStyle w:val="TableParagraph"/>
              <w:spacing w:line="223" w:lineRule="exact" w:before="1"/>
              <w:ind w:left="107"/>
              <w:rPr>
                <w:rFonts w:ascii="Calibri"/>
                <w:sz w:val="20"/>
              </w:rPr>
            </w:pPr>
            <w:r>
              <w:rPr>
                <w:rFonts w:ascii="Calibri"/>
                <w:spacing w:val="-2"/>
                <w:sz w:val="20"/>
              </w:rPr>
              <w:t>Presente</w:t>
            </w:r>
          </w:p>
        </w:tc>
        <w:tc>
          <w:tcPr>
            <w:tcW w:w="641" w:type="dxa"/>
            <w:shd w:val="clear" w:color="auto" w:fill="FFF1CC"/>
          </w:tcPr>
          <w:p>
            <w:pPr>
              <w:pStyle w:val="TableParagraph"/>
              <w:rPr>
                <w:sz w:val="16"/>
              </w:rPr>
            </w:pPr>
          </w:p>
        </w:tc>
        <w:tc>
          <w:tcPr>
            <w:tcW w:w="615" w:type="dxa"/>
            <w:shd w:val="clear" w:color="auto" w:fill="FFF1CC"/>
          </w:tcPr>
          <w:p>
            <w:pPr>
              <w:pStyle w:val="TableParagraph"/>
              <w:spacing w:line="224" w:lineRule="exact"/>
              <w:ind w:left="107"/>
              <w:rPr>
                <w:sz w:val="20"/>
              </w:rPr>
            </w:pPr>
            <w:r>
              <w:rPr>
                <w:spacing w:val="-2"/>
                <w:sz w:val="20"/>
              </w:rPr>
              <w:t>----</w:t>
            </w:r>
          </w:p>
        </w:tc>
        <w:tc>
          <w:tcPr>
            <w:tcW w:w="434"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82" w:type="dxa"/>
            <w:shd w:val="clear" w:color="auto" w:fill="FFF1CC"/>
          </w:tcPr>
          <w:p>
            <w:pPr>
              <w:pStyle w:val="TableParagraph"/>
              <w:rPr>
                <w:sz w:val="16"/>
              </w:rPr>
            </w:pPr>
          </w:p>
        </w:tc>
        <w:tc>
          <w:tcPr>
            <w:tcW w:w="463" w:type="dxa"/>
            <w:shd w:val="clear" w:color="auto" w:fill="FFF1CC"/>
          </w:tcPr>
          <w:p>
            <w:pPr>
              <w:pStyle w:val="TableParagraph"/>
              <w:spacing w:line="224" w:lineRule="exact"/>
              <w:ind w:right="34"/>
              <w:jc w:val="center"/>
              <w:rPr>
                <w:sz w:val="20"/>
              </w:rPr>
            </w:pPr>
            <w:r>
              <w:rPr>
                <w:spacing w:val="-2"/>
                <w:sz w:val="20"/>
              </w:rPr>
              <w:t>---</w:t>
            </w:r>
          </w:p>
        </w:tc>
        <w:tc>
          <w:tcPr>
            <w:tcW w:w="436" w:type="dxa"/>
            <w:shd w:val="clear" w:color="auto" w:fill="FFF1CC"/>
          </w:tcPr>
          <w:p>
            <w:pPr>
              <w:pStyle w:val="TableParagraph"/>
              <w:spacing w:line="224" w:lineRule="exact"/>
              <w:ind w:right="6"/>
              <w:jc w:val="center"/>
              <w:rPr>
                <w:sz w:val="20"/>
              </w:rPr>
            </w:pPr>
            <w:r>
              <w:rPr>
                <w:spacing w:val="-2"/>
                <w:sz w:val="20"/>
              </w:rPr>
              <w:t>---</w:t>
            </w:r>
          </w:p>
        </w:tc>
        <w:tc>
          <w:tcPr>
            <w:tcW w:w="434" w:type="dxa"/>
            <w:shd w:val="clear" w:color="auto" w:fill="FFF1CC"/>
          </w:tcPr>
          <w:p>
            <w:pPr>
              <w:pStyle w:val="TableParagraph"/>
              <w:spacing w:line="224" w:lineRule="exact"/>
              <w:ind w:right="2"/>
              <w:jc w:val="center"/>
              <w:rPr>
                <w:sz w:val="20"/>
              </w:rPr>
            </w:pPr>
            <w:r>
              <w:rPr>
                <w:spacing w:val="-2"/>
                <w:sz w:val="20"/>
              </w:rPr>
              <w:t>---</w:t>
            </w:r>
          </w:p>
        </w:tc>
        <w:tc>
          <w:tcPr>
            <w:tcW w:w="434" w:type="dxa"/>
            <w:shd w:val="clear" w:color="auto" w:fill="FFF1CC"/>
          </w:tcPr>
          <w:p>
            <w:pPr>
              <w:pStyle w:val="TableParagraph"/>
              <w:spacing w:line="224" w:lineRule="exact"/>
              <w:ind w:right="1"/>
              <w:jc w:val="center"/>
              <w:rPr>
                <w:sz w:val="20"/>
              </w:rPr>
            </w:pPr>
            <w:r>
              <w:rPr>
                <w:spacing w:val="-2"/>
                <w:sz w:val="20"/>
              </w:rPr>
              <w:t>---</w:t>
            </w:r>
          </w:p>
        </w:tc>
        <w:tc>
          <w:tcPr>
            <w:tcW w:w="434"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528" w:type="dxa"/>
            <w:shd w:val="clear" w:color="auto" w:fill="FFF1CC"/>
          </w:tcPr>
          <w:p>
            <w:pPr>
              <w:pStyle w:val="TableParagraph"/>
              <w:rPr>
                <w:sz w:val="16"/>
              </w:rPr>
            </w:pPr>
          </w:p>
        </w:tc>
        <w:tc>
          <w:tcPr>
            <w:tcW w:w="527" w:type="dxa"/>
            <w:shd w:val="clear" w:color="auto" w:fill="FFF1CC"/>
          </w:tcPr>
          <w:p>
            <w:pPr>
              <w:pStyle w:val="TableParagraph"/>
              <w:spacing w:line="224" w:lineRule="exact"/>
              <w:ind w:right="23"/>
              <w:jc w:val="center"/>
              <w:rPr>
                <w:sz w:val="20"/>
              </w:rPr>
            </w:pPr>
            <w:r>
              <w:rPr>
                <w:spacing w:val="-2"/>
                <w:sz w:val="20"/>
              </w:rPr>
              <w:t>----</w:t>
            </w:r>
          </w:p>
        </w:tc>
        <w:tc>
          <w:tcPr>
            <w:tcW w:w="544" w:type="dxa"/>
            <w:vMerge/>
            <w:tcBorders>
              <w:top w:val="nil"/>
            </w:tcBorders>
          </w:tcPr>
          <w:p>
            <w:pPr>
              <w:rPr>
                <w:sz w:val="2"/>
                <w:szCs w:val="2"/>
              </w:rPr>
            </w:pPr>
          </w:p>
        </w:tc>
      </w:tr>
      <w:tr>
        <w:trPr>
          <w:trHeight w:val="244" w:hRule="atLeast"/>
        </w:trPr>
        <w:tc>
          <w:tcPr>
            <w:tcW w:w="1217" w:type="dxa"/>
            <w:shd w:val="clear" w:color="auto" w:fill="FFF1CC"/>
          </w:tcPr>
          <w:p>
            <w:pPr>
              <w:pStyle w:val="TableParagraph"/>
              <w:spacing w:line="223" w:lineRule="exact" w:before="1"/>
              <w:ind w:left="107"/>
              <w:rPr>
                <w:rFonts w:ascii="Calibri"/>
                <w:sz w:val="20"/>
              </w:rPr>
            </w:pPr>
            <w:r>
              <w:rPr>
                <w:rFonts w:ascii="Calibri"/>
                <w:spacing w:val="-2"/>
                <w:sz w:val="20"/>
              </w:rPr>
              <w:t>Ausente</w:t>
            </w:r>
          </w:p>
        </w:tc>
        <w:tc>
          <w:tcPr>
            <w:tcW w:w="641" w:type="dxa"/>
            <w:shd w:val="clear" w:color="auto" w:fill="FFF1CC"/>
          </w:tcPr>
          <w:p>
            <w:pPr>
              <w:pStyle w:val="TableParagraph"/>
              <w:rPr>
                <w:sz w:val="16"/>
              </w:rPr>
            </w:pPr>
          </w:p>
        </w:tc>
        <w:tc>
          <w:tcPr>
            <w:tcW w:w="615"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6" w:type="dxa"/>
            <w:shd w:val="clear" w:color="auto" w:fill="FFF1CC"/>
          </w:tcPr>
          <w:p>
            <w:pPr>
              <w:pStyle w:val="TableParagraph"/>
              <w:spacing w:line="224" w:lineRule="exact"/>
              <w:ind w:right="10"/>
              <w:jc w:val="center"/>
              <w:rPr>
                <w:sz w:val="20"/>
              </w:rPr>
            </w:pPr>
            <w:r>
              <w:rPr>
                <w:spacing w:val="-2"/>
                <w:sz w:val="20"/>
              </w:rPr>
              <w:t>---</w:t>
            </w:r>
          </w:p>
        </w:tc>
        <w:tc>
          <w:tcPr>
            <w:tcW w:w="434" w:type="dxa"/>
            <w:shd w:val="clear" w:color="auto" w:fill="FFF1CC"/>
          </w:tcPr>
          <w:p>
            <w:pPr>
              <w:pStyle w:val="TableParagraph"/>
              <w:rPr>
                <w:sz w:val="16"/>
              </w:rPr>
            </w:pPr>
          </w:p>
        </w:tc>
        <w:tc>
          <w:tcPr>
            <w:tcW w:w="482" w:type="dxa"/>
            <w:shd w:val="clear" w:color="auto" w:fill="FFF1CC"/>
          </w:tcPr>
          <w:p>
            <w:pPr>
              <w:pStyle w:val="TableParagraph"/>
              <w:spacing w:line="224" w:lineRule="exact"/>
              <w:ind w:right="54"/>
              <w:jc w:val="center"/>
              <w:rPr>
                <w:sz w:val="20"/>
              </w:rPr>
            </w:pPr>
            <w:r>
              <w:rPr>
                <w:spacing w:val="-2"/>
                <w:sz w:val="20"/>
              </w:rPr>
              <w:t>---</w:t>
            </w:r>
          </w:p>
        </w:tc>
        <w:tc>
          <w:tcPr>
            <w:tcW w:w="463"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4" w:type="dxa"/>
            <w:shd w:val="clear" w:color="auto" w:fill="FFF1CC"/>
          </w:tcPr>
          <w:p>
            <w:pPr>
              <w:pStyle w:val="TableParagraph"/>
              <w:spacing w:line="224" w:lineRule="exact"/>
              <w:jc w:val="center"/>
              <w:rPr>
                <w:sz w:val="20"/>
              </w:rPr>
            </w:pPr>
            <w:r>
              <w:rPr>
                <w:spacing w:val="-2"/>
                <w:sz w:val="20"/>
              </w:rPr>
              <w:t>---</w:t>
            </w:r>
          </w:p>
        </w:tc>
        <w:tc>
          <w:tcPr>
            <w:tcW w:w="436" w:type="dxa"/>
            <w:shd w:val="clear" w:color="auto" w:fill="FFF1CC"/>
          </w:tcPr>
          <w:p>
            <w:pPr>
              <w:pStyle w:val="TableParagraph"/>
              <w:spacing w:line="224" w:lineRule="exact"/>
              <w:ind w:right="2"/>
              <w:jc w:val="center"/>
              <w:rPr>
                <w:sz w:val="20"/>
              </w:rPr>
            </w:pPr>
            <w:r>
              <w:rPr>
                <w:spacing w:val="-2"/>
                <w:sz w:val="20"/>
              </w:rPr>
              <w:t>---</w:t>
            </w:r>
          </w:p>
        </w:tc>
        <w:tc>
          <w:tcPr>
            <w:tcW w:w="528" w:type="dxa"/>
            <w:shd w:val="clear" w:color="auto" w:fill="FFF1CC"/>
          </w:tcPr>
          <w:p>
            <w:pPr>
              <w:pStyle w:val="TableParagraph"/>
              <w:spacing w:line="224" w:lineRule="exact"/>
              <w:ind w:right="24"/>
              <w:jc w:val="center"/>
              <w:rPr>
                <w:sz w:val="20"/>
              </w:rPr>
            </w:pPr>
            <w:r>
              <w:rPr>
                <w:spacing w:val="-2"/>
                <w:sz w:val="20"/>
              </w:rPr>
              <w:t>----</w:t>
            </w:r>
          </w:p>
        </w:tc>
        <w:tc>
          <w:tcPr>
            <w:tcW w:w="527" w:type="dxa"/>
            <w:shd w:val="clear" w:color="auto" w:fill="FFF1CC"/>
          </w:tcPr>
          <w:p>
            <w:pPr>
              <w:pStyle w:val="TableParagraph"/>
              <w:rPr>
                <w:sz w:val="16"/>
              </w:rPr>
            </w:pPr>
          </w:p>
        </w:tc>
        <w:tc>
          <w:tcPr>
            <w:tcW w:w="544" w:type="dxa"/>
            <w:vMerge/>
            <w:tcBorders>
              <w:top w:val="nil"/>
            </w:tcBorders>
          </w:tcPr>
          <w:p>
            <w:pPr>
              <w:rPr>
                <w:sz w:val="2"/>
                <w:szCs w:val="2"/>
              </w:rPr>
            </w:pPr>
          </w:p>
        </w:tc>
      </w:tr>
    </w:tbl>
    <w:p>
      <w:pPr>
        <w:spacing w:after="0"/>
        <w:rPr>
          <w:sz w:val="2"/>
          <w:szCs w:val="2"/>
        </w:rPr>
        <w:sectPr>
          <w:footerReference w:type="default" r:id="rId54"/>
          <w:pgSz w:w="11900" w:h="16860"/>
          <w:pgMar w:header="0" w:footer="0" w:top="1620" w:bottom="280" w:left="1133" w:right="850"/>
        </w:sectPr>
      </w:pPr>
    </w:p>
    <w:tbl>
      <w:tblPr>
        <w:tblW w:w="0" w:type="auto"/>
        <w:jc w:val="left"/>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17"/>
        <w:gridCol w:w="641"/>
        <w:gridCol w:w="615"/>
        <w:gridCol w:w="434"/>
        <w:gridCol w:w="436"/>
        <w:gridCol w:w="434"/>
        <w:gridCol w:w="482"/>
        <w:gridCol w:w="463"/>
        <w:gridCol w:w="436"/>
        <w:gridCol w:w="434"/>
        <w:gridCol w:w="434"/>
        <w:gridCol w:w="434"/>
        <w:gridCol w:w="436"/>
        <w:gridCol w:w="528"/>
        <w:gridCol w:w="527"/>
        <w:gridCol w:w="544"/>
      </w:tblGrid>
      <w:tr>
        <w:trPr>
          <w:trHeight w:val="244" w:hRule="atLeast"/>
        </w:trPr>
        <w:tc>
          <w:tcPr>
            <w:tcW w:w="1217" w:type="dxa"/>
            <w:shd w:val="clear" w:color="auto" w:fill="FFF1CC"/>
          </w:tcPr>
          <w:p>
            <w:pPr>
              <w:pStyle w:val="TableParagraph"/>
              <w:spacing w:line="223" w:lineRule="exact" w:before="1"/>
              <w:ind w:left="107"/>
              <w:rPr>
                <w:rFonts w:ascii="Calibri"/>
                <w:sz w:val="20"/>
              </w:rPr>
            </w:pPr>
            <w:r>
              <w:rPr>
                <w:rFonts w:ascii="Calibri"/>
                <w:spacing w:val="-2"/>
                <w:sz w:val="20"/>
              </w:rPr>
              <w:t>T2-</w:t>
            </w:r>
            <w:r>
              <w:rPr>
                <w:rFonts w:ascii="Calibri"/>
                <w:spacing w:val="-10"/>
                <w:sz w:val="20"/>
              </w:rPr>
              <w:t>4</w:t>
            </w:r>
          </w:p>
        </w:tc>
        <w:tc>
          <w:tcPr>
            <w:tcW w:w="641" w:type="dxa"/>
            <w:shd w:val="clear" w:color="auto" w:fill="FFF1CC"/>
          </w:tcPr>
          <w:p>
            <w:pPr>
              <w:pStyle w:val="TableParagraph"/>
              <w:rPr>
                <w:sz w:val="16"/>
              </w:rPr>
            </w:pPr>
          </w:p>
        </w:tc>
        <w:tc>
          <w:tcPr>
            <w:tcW w:w="615"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82" w:type="dxa"/>
            <w:shd w:val="clear" w:color="auto" w:fill="FFF1CC"/>
          </w:tcPr>
          <w:p>
            <w:pPr>
              <w:pStyle w:val="TableParagraph"/>
              <w:rPr>
                <w:sz w:val="16"/>
              </w:rPr>
            </w:pPr>
          </w:p>
        </w:tc>
        <w:tc>
          <w:tcPr>
            <w:tcW w:w="463"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528" w:type="dxa"/>
            <w:shd w:val="clear" w:color="auto" w:fill="FFF1CC"/>
          </w:tcPr>
          <w:p>
            <w:pPr>
              <w:pStyle w:val="TableParagraph"/>
              <w:rPr>
                <w:sz w:val="16"/>
              </w:rPr>
            </w:pPr>
          </w:p>
        </w:tc>
        <w:tc>
          <w:tcPr>
            <w:tcW w:w="527" w:type="dxa"/>
            <w:shd w:val="clear" w:color="auto" w:fill="FFF1CC"/>
          </w:tcPr>
          <w:p>
            <w:pPr>
              <w:pStyle w:val="TableParagraph"/>
              <w:rPr>
                <w:sz w:val="16"/>
              </w:rPr>
            </w:pPr>
          </w:p>
        </w:tc>
        <w:tc>
          <w:tcPr>
            <w:tcW w:w="544" w:type="dxa"/>
            <w:vMerge w:val="restart"/>
          </w:tcPr>
          <w:p>
            <w:pPr>
              <w:pStyle w:val="TableParagraph"/>
              <w:ind w:left="114"/>
              <w:rPr>
                <w:sz w:val="20"/>
              </w:rPr>
            </w:pPr>
            <w:r>
              <w:rPr>
                <w:sz w:val="20"/>
              </w:rPr>
              <w:t>P:</w:t>
            </w:r>
            <w:r>
              <w:rPr>
                <w:spacing w:val="-1"/>
                <w:sz w:val="20"/>
              </w:rPr>
              <w:t> </w:t>
            </w:r>
            <w:r>
              <w:rPr>
                <w:spacing w:val="-10"/>
                <w:sz w:val="20"/>
              </w:rPr>
              <w:t>4</w:t>
            </w:r>
          </w:p>
        </w:tc>
      </w:tr>
      <w:tr>
        <w:trPr>
          <w:trHeight w:val="244" w:hRule="atLeast"/>
        </w:trPr>
        <w:tc>
          <w:tcPr>
            <w:tcW w:w="1217" w:type="dxa"/>
            <w:shd w:val="clear" w:color="auto" w:fill="FFF1CC"/>
          </w:tcPr>
          <w:p>
            <w:pPr>
              <w:pStyle w:val="TableParagraph"/>
              <w:spacing w:line="223" w:lineRule="exact" w:before="1"/>
              <w:ind w:left="107"/>
              <w:rPr>
                <w:rFonts w:ascii="Calibri"/>
                <w:sz w:val="20"/>
              </w:rPr>
            </w:pPr>
            <w:r>
              <w:rPr>
                <w:rFonts w:ascii="Calibri"/>
                <w:spacing w:val="-2"/>
                <w:sz w:val="20"/>
              </w:rPr>
              <w:t>Presente</w:t>
            </w:r>
          </w:p>
        </w:tc>
        <w:tc>
          <w:tcPr>
            <w:tcW w:w="641" w:type="dxa"/>
            <w:shd w:val="clear" w:color="auto" w:fill="FFF1CC"/>
          </w:tcPr>
          <w:p>
            <w:pPr>
              <w:pStyle w:val="TableParagraph"/>
              <w:rPr>
                <w:sz w:val="16"/>
              </w:rPr>
            </w:pPr>
          </w:p>
        </w:tc>
        <w:tc>
          <w:tcPr>
            <w:tcW w:w="615" w:type="dxa"/>
            <w:shd w:val="clear" w:color="auto" w:fill="FFF1CC"/>
          </w:tcPr>
          <w:p>
            <w:pPr>
              <w:pStyle w:val="TableParagraph"/>
              <w:spacing w:line="224" w:lineRule="exact"/>
              <w:ind w:left="107"/>
              <w:rPr>
                <w:sz w:val="20"/>
              </w:rPr>
            </w:pPr>
            <w:r>
              <w:rPr>
                <w:spacing w:val="-2"/>
                <w:sz w:val="20"/>
              </w:rPr>
              <w:t>----</w:t>
            </w:r>
          </w:p>
        </w:tc>
        <w:tc>
          <w:tcPr>
            <w:tcW w:w="434"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82" w:type="dxa"/>
            <w:shd w:val="clear" w:color="auto" w:fill="FFF1CC"/>
          </w:tcPr>
          <w:p>
            <w:pPr>
              <w:pStyle w:val="TableParagraph"/>
              <w:rPr>
                <w:sz w:val="16"/>
              </w:rPr>
            </w:pPr>
          </w:p>
        </w:tc>
        <w:tc>
          <w:tcPr>
            <w:tcW w:w="463" w:type="dxa"/>
            <w:shd w:val="clear" w:color="auto" w:fill="FFF1CC"/>
          </w:tcPr>
          <w:p>
            <w:pPr>
              <w:pStyle w:val="TableParagraph"/>
              <w:spacing w:line="224" w:lineRule="exact"/>
              <w:ind w:right="34"/>
              <w:jc w:val="center"/>
              <w:rPr>
                <w:sz w:val="20"/>
              </w:rPr>
            </w:pPr>
            <w:r>
              <w:rPr>
                <w:spacing w:val="-2"/>
                <w:sz w:val="20"/>
              </w:rPr>
              <w:t>---</w:t>
            </w:r>
          </w:p>
        </w:tc>
        <w:tc>
          <w:tcPr>
            <w:tcW w:w="436" w:type="dxa"/>
            <w:shd w:val="clear" w:color="auto" w:fill="FFF1CC"/>
          </w:tcPr>
          <w:p>
            <w:pPr>
              <w:pStyle w:val="TableParagraph"/>
              <w:spacing w:line="224" w:lineRule="exact"/>
              <w:ind w:right="6"/>
              <w:jc w:val="center"/>
              <w:rPr>
                <w:sz w:val="20"/>
              </w:rPr>
            </w:pPr>
            <w:r>
              <w:rPr>
                <w:spacing w:val="-2"/>
                <w:sz w:val="20"/>
              </w:rPr>
              <w:t>---</w:t>
            </w:r>
          </w:p>
        </w:tc>
        <w:tc>
          <w:tcPr>
            <w:tcW w:w="434" w:type="dxa"/>
            <w:shd w:val="clear" w:color="auto" w:fill="FFF1CC"/>
          </w:tcPr>
          <w:p>
            <w:pPr>
              <w:pStyle w:val="TableParagraph"/>
              <w:spacing w:line="224" w:lineRule="exact"/>
              <w:ind w:right="2"/>
              <w:jc w:val="center"/>
              <w:rPr>
                <w:sz w:val="20"/>
              </w:rPr>
            </w:pPr>
            <w:r>
              <w:rPr>
                <w:spacing w:val="-2"/>
                <w:sz w:val="20"/>
              </w:rPr>
              <w:t>---</w:t>
            </w:r>
          </w:p>
        </w:tc>
        <w:tc>
          <w:tcPr>
            <w:tcW w:w="434" w:type="dxa"/>
            <w:shd w:val="clear" w:color="auto" w:fill="FFF1CC"/>
          </w:tcPr>
          <w:p>
            <w:pPr>
              <w:pStyle w:val="TableParagraph"/>
              <w:spacing w:line="224" w:lineRule="exact"/>
              <w:ind w:right="1"/>
              <w:jc w:val="center"/>
              <w:rPr>
                <w:sz w:val="20"/>
              </w:rPr>
            </w:pPr>
            <w:r>
              <w:rPr>
                <w:spacing w:val="-2"/>
                <w:sz w:val="20"/>
              </w:rPr>
              <w:t>---</w:t>
            </w:r>
          </w:p>
        </w:tc>
        <w:tc>
          <w:tcPr>
            <w:tcW w:w="434"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528" w:type="dxa"/>
            <w:shd w:val="clear" w:color="auto" w:fill="FFF1CC"/>
          </w:tcPr>
          <w:p>
            <w:pPr>
              <w:pStyle w:val="TableParagraph"/>
              <w:rPr>
                <w:sz w:val="16"/>
              </w:rPr>
            </w:pPr>
          </w:p>
        </w:tc>
        <w:tc>
          <w:tcPr>
            <w:tcW w:w="527" w:type="dxa"/>
            <w:shd w:val="clear" w:color="auto" w:fill="FFF1CC"/>
          </w:tcPr>
          <w:p>
            <w:pPr>
              <w:pStyle w:val="TableParagraph"/>
              <w:spacing w:line="224" w:lineRule="exact"/>
              <w:ind w:right="23"/>
              <w:jc w:val="center"/>
              <w:rPr>
                <w:sz w:val="20"/>
              </w:rPr>
            </w:pPr>
            <w:r>
              <w:rPr>
                <w:spacing w:val="-2"/>
                <w:sz w:val="20"/>
              </w:rPr>
              <w:t>----</w:t>
            </w:r>
          </w:p>
        </w:tc>
        <w:tc>
          <w:tcPr>
            <w:tcW w:w="544" w:type="dxa"/>
            <w:vMerge/>
            <w:tcBorders>
              <w:top w:val="nil"/>
            </w:tcBorders>
          </w:tcPr>
          <w:p>
            <w:pPr>
              <w:rPr>
                <w:sz w:val="2"/>
                <w:szCs w:val="2"/>
              </w:rPr>
            </w:pPr>
          </w:p>
        </w:tc>
      </w:tr>
      <w:tr>
        <w:trPr>
          <w:trHeight w:val="242" w:hRule="atLeast"/>
        </w:trPr>
        <w:tc>
          <w:tcPr>
            <w:tcW w:w="1217" w:type="dxa"/>
            <w:shd w:val="clear" w:color="auto" w:fill="FFF1CC"/>
          </w:tcPr>
          <w:p>
            <w:pPr>
              <w:pStyle w:val="TableParagraph"/>
              <w:spacing w:line="222" w:lineRule="exact"/>
              <w:ind w:left="107"/>
              <w:rPr>
                <w:rFonts w:ascii="Calibri"/>
                <w:sz w:val="20"/>
              </w:rPr>
            </w:pPr>
            <w:r>
              <w:rPr>
                <w:rFonts w:ascii="Calibri"/>
                <w:spacing w:val="-2"/>
                <w:sz w:val="20"/>
              </w:rPr>
              <w:t>Ausente</w:t>
            </w:r>
          </w:p>
        </w:tc>
        <w:tc>
          <w:tcPr>
            <w:tcW w:w="641" w:type="dxa"/>
            <w:shd w:val="clear" w:color="auto" w:fill="FFF1CC"/>
          </w:tcPr>
          <w:p>
            <w:pPr>
              <w:pStyle w:val="TableParagraph"/>
              <w:rPr>
                <w:sz w:val="16"/>
              </w:rPr>
            </w:pPr>
          </w:p>
        </w:tc>
        <w:tc>
          <w:tcPr>
            <w:tcW w:w="615"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6" w:type="dxa"/>
            <w:shd w:val="clear" w:color="auto" w:fill="FFF1CC"/>
          </w:tcPr>
          <w:p>
            <w:pPr>
              <w:pStyle w:val="TableParagraph"/>
              <w:spacing w:line="222" w:lineRule="exact"/>
              <w:ind w:right="10"/>
              <w:jc w:val="center"/>
              <w:rPr>
                <w:sz w:val="20"/>
              </w:rPr>
            </w:pPr>
            <w:r>
              <w:rPr>
                <w:spacing w:val="-2"/>
                <w:sz w:val="20"/>
              </w:rPr>
              <w:t>---</w:t>
            </w:r>
          </w:p>
        </w:tc>
        <w:tc>
          <w:tcPr>
            <w:tcW w:w="434" w:type="dxa"/>
            <w:shd w:val="clear" w:color="auto" w:fill="FFF1CC"/>
          </w:tcPr>
          <w:p>
            <w:pPr>
              <w:pStyle w:val="TableParagraph"/>
              <w:rPr>
                <w:sz w:val="16"/>
              </w:rPr>
            </w:pPr>
          </w:p>
        </w:tc>
        <w:tc>
          <w:tcPr>
            <w:tcW w:w="482" w:type="dxa"/>
            <w:shd w:val="clear" w:color="auto" w:fill="FFF1CC"/>
          </w:tcPr>
          <w:p>
            <w:pPr>
              <w:pStyle w:val="TableParagraph"/>
              <w:spacing w:line="222" w:lineRule="exact"/>
              <w:ind w:right="53"/>
              <w:jc w:val="center"/>
              <w:rPr>
                <w:sz w:val="20"/>
              </w:rPr>
            </w:pPr>
            <w:r>
              <w:rPr>
                <w:spacing w:val="-2"/>
                <w:sz w:val="20"/>
              </w:rPr>
              <w:t>---</w:t>
            </w:r>
          </w:p>
        </w:tc>
        <w:tc>
          <w:tcPr>
            <w:tcW w:w="463" w:type="dxa"/>
            <w:shd w:val="clear" w:color="auto" w:fill="FFF1CC"/>
          </w:tcPr>
          <w:p>
            <w:pPr>
              <w:pStyle w:val="TableParagraph"/>
              <w:rPr>
                <w:sz w:val="16"/>
              </w:rPr>
            </w:pPr>
          </w:p>
        </w:tc>
        <w:tc>
          <w:tcPr>
            <w:tcW w:w="436"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4" w:type="dxa"/>
            <w:shd w:val="clear" w:color="auto" w:fill="FFF1CC"/>
          </w:tcPr>
          <w:p>
            <w:pPr>
              <w:pStyle w:val="TableParagraph"/>
              <w:rPr>
                <w:sz w:val="16"/>
              </w:rPr>
            </w:pPr>
          </w:p>
        </w:tc>
        <w:tc>
          <w:tcPr>
            <w:tcW w:w="434" w:type="dxa"/>
            <w:shd w:val="clear" w:color="auto" w:fill="FFF1CC"/>
          </w:tcPr>
          <w:p>
            <w:pPr>
              <w:pStyle w:val="TableParagraph"/>
              <w:spacing w:line="222" w:lineRule="exact"/>
              <w:jc w:val="center"/>
              <w:rPr>
                <w:sz w:val="20"/>
              </w:rPr>
            </w:pPr>
            <w:r>
              <w:rPr>
                <w:spacing w:val="-2"/>
                <w:sz w:val="20"/>
              </w:rPr>
              <w:t>---</w:t>
            </w:r>
          </w:p>
        </w:tc>
        <w:tc>
          <w:tcPr>
            <w:tcW w:w="436" w:type="dxa"/>
            <w:shd w:val="clear" w:color="auto" w:fill="FFF1CC"/>
          </w:tcPr>
          <w:p>
            <w:pPr>
              <w:pStyle w:val="TableParagraph"/>
              <w:spacing w:line="222" w:lineRule="exact"/>
              <w:ind w:right="2"/>
              <w:jc w:val="center"/>
              <w:rPr>
                <w:sz w:val="20"/>
              </w:rPr>
            </w:pPr>
            <w:r>
              <w:rPr>
                <w:spacing w:val="-2"/>
                <w:sz w:val="20"/>
              </w:rPr>
              <w:t>---</w:t>
            </w:r>
          </w:p>
        </w:tc>
        <w:tc>
          <w:tcPr>
            <w:tcW w:w="528" w:type="dxa"/>
            <w:shd w:val="clear" w:color="auto" w:fill="FFF1CC"/>
          </w:tcPr>
          <w:p>
            <w:pPr>
              <w:pStyle w:val="TableParagraph"/>
              <w:spacing w:line="222" w:lineRule="exact"/>
              <w:ind w:right="24"/>
              <w:jc w:val="center"/>
              <w:rPr>
                <w:sz w:val="20"/>
              </w:rPr>
            </w:pPr>
            <w:r>
              <w:rPr>
                <w:spacing w:val="-2"/>
                <w:sz w:val="20"/>
              </w:rPr>
              <w:t>----</w:t>
            </w:r>
          </w:p>
        </w:tc>
        <w:tc>
          <w:tcPr>
            <w:tcW w:w="527" w:type="dxa"/>
            <w:shd w:val="clear" w:color="auto" w:fill="FFF1CC"/>
          </w:tcPr>
          <w:p>
            <w:pPr>
              <w:pStyle w:val="TableParagraph"/>
              <w:rPr>
                <w:sz w:val="16"/>
              </w:rPr>
            </w:pPr>
          </w:p>
        </w:tc>
        <w:tc>
          <w:tcPr>
            <w:tcW w:w="544" w:type="dxa"/>
            <w:vMerge/>
            <w:tcBorders>
              <w:top w:val="nil"/>
            </w:tcBorders>
          </w:tcPr>
          <w:p>
            <w:pPr>
              <w:rPr>
                <w:sz w:val="2"/>
                <w:szCs w:val="2"/>
              </w:rPr>
            </w:pPr>
          </w:p>
        </w:tc>
      </w:tr>
      <w:tr>
        <w:trPr>
          <w:trHeight w:val="244" w:hRule="atLeast"/>
        </w:trPr>
        <w:tc>
          <w:tcPr>
            <w:tcW w:w="1217" w:type="dxa"/>
            <w:shd w:val="clear" w:color="auto" w:fill="FAE3D4"/>
          </w:tcPr>
          <w:p>
            <w:pPr>
              <w:pStyle w:val="TableParagraph"/>
              <w:spacing w:line="223" w:lineRule="exact" w:before="1"/>
              <w:ind w:left="107"/>
              <w:rPr>
                <w:rFonts w:ascii="Calibri"/>
                <w:sz w:val="20"/>
              </w:rPr>
            </w:pPr>
            <w:r>
              <w:rPr>
                <w:rFonts w:ascii="Calibri"/>
                <w:spacing w:val="-2"/>
                <w:sz w:val="20"/>
              </w:rPr>
              <w:t>T3-</w:t>
            </w:r>
            <w:r>
              <w:rPr>
                <w:rFonts w:ascii="Calibri"/>
                <w:spacing w:val="-10"/>
                <w:sz w:val="20"/>
              </w:rPr>
              <w:t>1</w:t>
            </w:r>
          </w:p>
        </w:tc>
        <w:tc>
          <w:tcPr>
            <w:tcW w:w="641" w:type="dxa"/>
            <w:shd w:val="clear" w:color="auto" w:fill="FAE3D4"/>
          </w:tcPr>
          <w:p>
            <w:pPr>
              <w:pStyle w:val="TableParagraph"/>
              <w:rPr>
                <w:sz w:val="16"/>
              </w:rPr>
            </w:pPr>
          </w:p>
        </w:tc>
        <w:tc>
          <w:tcPr>
            <w:tcW w:w="615"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82" w:type="dxa"/>
            <w:shd w:val="clear" w:color="auto" w:fill="FAE3D4"/>
          </w:tcPr>
          <w:p>
            <w:pPr>
              <w:pStyle w:val="TableParagraph"/>
              <w:rPr>
                <w:sz w:val="16"/>
              </w:rPr>
            </w:pPr>
          </w:p>
        </w:tc>
        <w:tc>
          <w:tcPr>
            <w:tcW w:w="463"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528" w:type="dxa"/>
            <w:shd w:val="clear" w:color="auto" w:fill="FAE3D4"/>
          </w:tcPr>
          <w:p>
            <w:pPr>
              <w:pStyle w:val="TableParagraph"/>
              <w:rPr>
                <w:sz w:val="16"/>
              </w:rPr>
            </w:pPr>
          </w:p>
        </w:tc>
        <w:tc>
          <w:tcPr>
            <w:tcW w:w="527" w:type="dxa"/>
            <w:shd w:val="clear" w:color="auto" w:fill="FAE3D4"/>
          </w:tcPr>
          <w:p>
            <w:pPr>
              <w:pStyle w:val="TableParagraph"/>
              <w:rPr>
                <w:sz w:val="16"/>
              </w:rPr>
            </w:pPr>
          </w:p>
        </w:tc>
        <w:tc>
          <w:tcPr>
            <w:tcW w:w="544" w:type="dxa"/>
            <w:vMerge w:val="restart"/>
          </w:tcPr>
          <w:p>
            <w:pPr>
              <w:pStyle w:val="TableParagraph"/>
              <w:ind w:left="114"/>
              <w:rPr>
                <w:sz w:val="20"/>
              </w:rPr>
            </w:pPr>
            <w:r>
              <w:rPr>
                <w:sz w:val="20"/>
              </w:rPr>
              <w:t>P:</w:t>
            </w:r>
            <w:r>
              <w:rPr>
                <w:spacing w:val="-1"/>
                <w:sz w:val="20"/>
              </w:rPr>
              <w:t> </w:t>
            </w:r>
            <w:r>
              <w:rPr>
                <w:spacing w:val="-10"/>
                <w:sz w:val="20"/>
              </w:rPr>
              <w:t>3</w:t>
            </w:r>
          </w:p>
        </w:tc>
      </w:tr>
      <w:tr>
        <w:trPr>
          <w:trHeight w:val="244" w:hRule="atLeast"/>
        </w:trPr>
        <w:tc>
          <w:tcPr>
            <w:tcW w:w="1217" w:type="dxa"/>
            <w:shd w:val="clear" w:color="auto" w:fill="FAE3D4"/>
          </w:tcPr>
          <w:p>
            <w:pPr>
              <w:pStyle w:val="TableParagraph"/>
              <w:spacing w:line="223" w:lineRule="exact" w:before="1"/>
              <w:ind w:left="107"/>
              <w:rPr>
                <w:rFonts w:ascii="Calibri"/>
                <w:sz w:val="20"/>
              </w:rPr>
            </w:pPr>
            <w:r>
              <w:rPr>
                <w:rFonts w:ascii="Calibri"/>
                <w:spacing w:val="-2"/>
                <w:sz w:val="20"/>
              </w:rPr>
              <w:t>Presente</w:t>
            </w:r>
          </w:p>
        </w:tc>
        <w:tc>
          <w:tcPr>
            <w:tcW w:w="641" w:type="dxa"/>
            <w:shd w:val="clear" w:color="auto" w:fill="FAE3D4"/>
          </w:tcPr>
          <w:p>
            <w:pPr>
              <w:pStyle w:val="TableParagraph"/>
              <w:rPr>
                <w:sz w:val="16"/>
              </w:rPr>
            </w:pPr>
          </w:p>
        </w:tc>
        <w:tc>
          <w:tcPr>
            <w:tcW w:w="615" w:type="dxa"/>
            <w:shd w:val="clear" w:color="auto" w:fill="FAE3D4"/>
          </w:tcPr>
          <w:p>
            <w:pPr>
              <w:pStyle w:val="TableParagraph"/>
              <w:spacing w:line="224" w:lineRule="exact"/>
              <w:ind w:left="107"/>
              <w:rPr>
                <w:sz w:val="20"/>
              </w:rPr>
            </w:pPr>
            <w:r>
              <w:rPr>
                <w:spacing w:val="-2"/>
                <w:sz w:val="20"/>
              </w:rPr>
              <w:t>----</w:t>
            </w:r>
          </w:p>
        </w:tc>
        <w:tc>
          <w:tcPr>
            <w:tcW w:w="434"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82" w:type="dxa"/>
            <w:shd w:val="clear" w:color="auto" w:fill="FAE3D4"/>
          </w:tcPr>
          <w:p>
            <w:pPr>
              <w:pStyle w:val="TableParagraph"/>
              <w:rPr>
                <w:sz w:val="16"/>
              </w:rPr>
            </w:pPr>
          </w:p>
        </w:tc>
        <w:tc>
          <w:tcPr>
            <w:tcW w:w="463" w:type="dxa"/>
            <w:shd w:val="clear" w:color="auto" w:fill="FAE3D4"/>
          </w:tcPr>
          <w:p>
            <w:pPr>
              <w:pStyle w:val="TableParagraph"/>
              <w:spacing w:line="224" w:lineRule="exact"/>
              <w:ind w:right="34"/>
              <w:jc w:val="center"/>
              <w:rPr>
                <w:sz w:val="20"/>
              </w:rPr>
            </w:pPr>
            <w:r>
              <w:rPr>
                <w:spacing w:val="-2"/>
                <w:sz w:val="20"/>
              </w:rPr>
              <w:t>---</w:t>
            </w:r>
          </w:p>
        </w:tc>
        <w:tc>
          <w:tcPr>
            <w:tcW w:w="436" w:type="dxa"/>
            <w:shd w:val="clear" w:color="auto" w:fill="FAE3D4"/>
          </w:tcPr>
          <w:p>
            <w:pPr>
              <w:pStyle w:val="TableParagraph"/>
              <w:spacing w:line="224" w:lineRule="exact"/>
              <w:ind w:right="6"/>
              <w:jc w:val="center"/>
              <w:rPr>
                <w:sz w:val="20"/>
              </w:rPr>
            </w:pPr>
            <w:r>
              <w:rPr>
                <w:spacing w:val="-2"/>
                <w:sz w:val="20"/>
              </w:rPr>
              <w:t>---</w:t>
            </w:r>
          </w:p>
        </w:tc>
        <w:tc>
          <w:tcPr>
            <w:tcW w:w="434" w:type="dxa"/>
            <w:shd w:val="clear" w:color="auto" w:fill="FAE3D4"/>
          </w:tcPr>
          <w:p>
            <w:pPr>
              <w:pStyle w:val="TableParagraph"/>
              <w:spacing w:line="224" w:lineRule="exact"/>
              <w:ind w:right="2"/>
              <w:jc w:val="center"/>
              <w:rPr>
                <w:sz w:val="20"/>
              </w:rPr>
            </w:pPr>
            <w:r>
              <w:rPr>
                <w:spacing w:val="-2"/>
                <w:sz w:val="20"/>
              </w:rPr>
              <w:t>---</w:t>
            </w:r>
          </w:p>
        </w:tc>
        <w:tc>
          <w:tcPr>
            <w:tcW w:w="434" w:type="dxa"/>
            <w:shd w:val="clear" w:color="auto" w:fill="FAE3D4"/>
          </w:tcPr>
          <w:p>
            <w:pPr>
              <w:pStyle w:val="TableParagraph"/>
              <w:spacing w:line="224" w:lineRule="exact"/>
              <w:ind w:right="1"/>
              <w:jc w:val="center"/>
              <w:rPr>
                <w:sz w:val="20"/>
              </w:rPr>
            </w:pPr>
            <w:r>
              <w:rPr>
                <w:spacing w:val="-2"/>
                <w:sz w:val="20"/>
              </w:rPr>
              <w:t>---</w:t>
            </w:r>
          </w:p>
        </w:tc>
        <w:tc>
          <w:tcPr>
            <w:tcW w:w="434" w:type="dxa"/>
            <w:shd w:val="clear" w:color="auto" w:fill="FAE3D4"/>
          </w:tcPr>
          <w:p>
            <w:pPr>
              <w:pStyle w:val="TableParagraph"/>
              <w:spacing w:line="224" w:lineRule="exact"/>
              <w:jc w:val="center"/>
              <w:rPr>
                <w:sz w:val="20"/>
              </w:rPr>
            </w:pPr>
            <w:r>
              <w:rPr>
                <w:spacing w:val="-2"/>
                <w:sz w:val="20"/>
              </w:rPr>
              <w:t>---</w:t>
            </w:r>
          </w:p>
        </w:tc>
        <w:tc>
          <w:tcPr>
            <w:tcW w:w="436" w:type="dxa"/>
            <w:shd w:val="clear" w:color="auto" w:fill="FAE3D4"/>
          </w:tcPr>
          <w:p>
            <w:pPr>
              <w:pStyle w:val="TableParagraph"/>
              <w:rPr>
                <w:sz w:val="16"/>
              </w:rPr>
            </w:pPr>
          </w:p>
        </w:tc>
        <w:tc>
          <w:tcPr>
            <w:tcW w:w="528" w:type="dxa"/>
            <w:shd w:val="clear" w:color="auto" w:fill="FAE3D4"/>
          </w:tcPr>
          <w:p>
            <w:pPr>
              <w:pStyle w:val="TableParagraph"/>
              <w:rPr>
                <w:sz w:val="16"/>
              </w:rPr>
            </w:pPr>
          </w:p>
        </w:tc>
        <w:tc>
          <w:tcPr>
            <w:tcW w:w="527" w:type="dxa"/>
            <w:shd w:val="clear" w:color="auto" w:fill="FAE3D4"/>
          </w:tcPr>
          <w:p>
            <w:pPr>
              <w:pStyle w:val="TableParagraph"/>
              <w:spacing w:line="224" w:lineRule="exact"/>
              <w:ind w:right="23"/>
              <w:jc w:val="center"/>
              <w:rPr>
                <w:sz w:val="20"/>
              </w:rPr>
            </w:pPr>
            <w:r>
              <w:rPr>
                <w:spacing w:val="-2"/>
                <w:sz w:val="20"/>
              </w:rPr>
              <w:t>----</w:t>
            </w:r>
          </w:p>
        </w:tc>
        <w:tc>
          <w:tcPr>
            <w:tcW w:w="544" w:type="dxa"/>
            <w:vMerge/>
            <w:tcBorders>
              <w:top w:val="nil"/>
            </w:tcBorders>
          </w:tcPr>
          <w:p>
            <w:pPr>
              <w:rPr>
                <w:sz w:val="2"/>
                <w:szCs w:val="2"/>
              </w:rPr>
            </w:pPr>
          </w:p>
        </w:tc>
      </w:tr>
      <w:tr>
        <w:trPr>
          <w:trHeight w:val="244" w:hRule="atLeast"/>
        </w:trPr>
        <w:tc>
          <w:tcPr>
            <w:tcW w:w="1217" w:type="dxa"/>
            <w:shd w:val="clear" w:color="auto" w:fill="FAE3D4"/>
          </w:tcPr>
          <w:p>
            <w:pPr>
              <w:pStyle w:val="TableParagraph"/>
              <w:spacing w:line="223" w:lineRule="exact" w:before="1"/>
              <w:ind w:left="107"/>
              <w:rPr>
                <w:rFonts w:ascii="Calibri"/>
                <w:sz w:val="20"/>
              </w:rPr>
            </w:pPr>
            <w:r>
              <w:rPr>
                <w:rFonts w:ascii="Calibri"/>
                <w:spacing w:val="-2"/>
                <w:sz w:val="20"/>
              </w:rPr>
              <w:t>Ausente</w:t>
            </w:r>
          </w:p>
        </w:tc>
        <w:tc>
          <w:tcPr>
            <w:tcW w:w="641" w:type="dxa"/>
            <w:shd w:val="clear" w:color="auto" w:fill="FAE3D4"/>
          </w:tcPr>
          <w:p>
            <w:pPr>
              <w:pStyle w:val="TableParagraph"/>
              <w:rPr>
                <w:sz w:val="16"/>
              </w:rPr>
            </w:pPr>
          </w:p>
        </w:tc>
        <w:tc>
          <w:tcPr>
            <w:tcW w:w="615"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6" w:type="dxa"/>
            <w:shd w:val="clear" w:color="auto" w:fill="FAE3D4"/>
          </w:tcPr>
          <w:p>
            <w:pPr>
              <w:pStyle w:val="TableParagraph"/>
              <w:spacing w:line="224" w:lineRule="exact"/>
              <w:ind w:right="10"/>
              <w:jc w:val="center"/>
              <w:rPr>
                <w:sz w:val="20"/>
              </w:rPr>
            </w:pPr>
            <w:r>
              <w:rPr>
                <w:spacing w:val="-2"/>
                <w:sz w:val="20"/>
              </w:rPr>
              <w:t>---</w:t>
            </w:r>
          </w:p>
        </w:tc>
        <w:tc>
          <w:tcPr>
            <w:tcW w:w="434" w:type="dxa"/>
            <w:shd w:val="clear" w:color="auto" w:fill="FAE3D4"/>
          </w:tcPr>
          <w:p>
            <w:pPr>
              <w:pStyle w:val="TableParagraph"/>
              <w:rPr>
                <w:sz w:val="16"/>
              </w:rPr>
            </w:pPr>
          </w:p>
        </w:tc>
        <w:tc>
          <w:tcPr>
            <w:tcW w:w="482" w:type="dxa"/>
            <w:shd w:val="clear" w:color="auto" w:fill="FAE3D4"/>
          </w:tcPr>
          <w:p>
            <w:pPr>
              <w:pStyle w:val="TableParagraph"/>
              <w:spacing w:line="224" w:lineRule="exact"/>
              <w:ind w:right="54"/>
              <w:jc w:val="center"/>
              <w:rPr>
                <w:sz w:val="20"/>
              </w:rPr>
            </w:pPr>
            <w:r>
              <w:rPr>
                <w:spacing w:val="-2"/>
                <w:sz w:val="20"/>
              </w:rPr>
              <w:t>---</w:t>
            </w:r>
          </w:p>
        </w:tc>
        <w:tc>
          <w:tcPr>
            <w:tcW w:w="463"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6" w:type="dxa"/>
            <w:shd w:val="clear" w:color="auto" w:fill="FAE3D4"/>
          </w:tcPr>
          <w:p>
            <w:pPr>
              <w:pStyle w:val="TableParagraph"/>
              <w:spacing w:line="224" w:lineRule="exact"/>
              <w:ind w:right="2"/>
              <w:jc w:val="center"/>
              <w:rPr>
                <w:sz w:val="20"/>
              </w:rPr>
            </w:pPr>
            <w:r>
              <w:rPr>
                <w:spacing w:val="-2"/>
                <w:sz w:val="20"/>
              </w:rPr>
              <w:t>---</w:t>
            </w:r>
          </w:p>
        </w:tc>
        <w:tc>
          <w:tcPr>
            <w:tcW w:w="528" w:type="dxa"/>
            <w:shd w:val="clear" w:color="auto" w:fill="FAE3D4"/>
          </w:tcPr>
          <w:p>
            <w:pPr>
              <w:pStyle w:val="TableParagraph"/>
              <w:spacing w:line="224" w:lineRule="exact"/>
              <w:ind w:right="24"/>
              <w:jc w:val="center"/>
              <w:rPr>
                <w:sz w:val="20"/>
              </w:rPr>
            </w:pPr>
            <w:r>
              <w:rPr>
                <w:spacing w:val="-2"/>
                <w:sz w:val="20"/>
              </w:rPr>
              <w:t>----</w:t>
            </w:r>
          </w:p>
        </w:tc>
        <w:tc>
          <w:tcPr>
            <w:tcW w:w="527" w:type="dxa"/>
            <w:shd w:val="clear" w:color="auto" w:fill="FAE3D4"/>
          </w:tcPr>
          <w:p>
            <w:pPr>
              <w:pStyle w:val="TableParagraph"/>
              <w:rPr>
                <w:sz w:val="16"/>
              </w:rPr>
            </w:pPr>
          </w:p>
        </w:tc>
        <w:tc>
          <w:tcPr>
            <w:tcW w:w="544" w:type="dxa"/>
            <w:vMerge/>
            <w:tcBorders>
              <w:top w:val="nil"/>
            </w:tcBorders>
          </w:tcPr>
          <w:p>
            <w:pPr>
              <w:rPr>
                <w:sz w:val="2"/>
                <w:szCs w:val="2"/>
              </w:rPr>
            </w:pPr>
          </w:p>
        </w:tc>
      </w:tr>
      <w:tr>
        <w:trPr>
          <w:trHeight w:val="244" w:hRule="atLeast"/>
        </w:trPr>
        <w:tc>
          <w:tcPr>
            <w:tcW w:w="1217" w:type="dxa"/>
            <w:shd w:val="clear" w:color="auto" w:fill="FAE3D4"/>
          </w:tcPr>
          <w:p>
            <w:pPr>
              <w:pStyle w:val="TableParagraph"/>
              <w:spacing w:line="223" w:lineRule="exact" w:before="1"/>
              <w:ind w:left="107"/>
              <w:rPr>
                <w:rFonts w:ascii="Calibri"/>
                <w:sz w:val="20"/>
              </w:rPr>
            </w:pPr>
            <w:r>
              <w:rPr>
                <w:rFonts w:ascii="Calibri"/>
                <w:spacing w:val="-2"/>
                <w:sz w:val="20"/>
              </w:rPr>
              <w:t>T3-</w:t>
            </w:r>
            <w:r>
              <w:rPr>
                <w:rFonts w:ascii="Calibri"/>
                <w:spacing w:val="-10"/>
                <w:sz w:val="20"/>
              </w:rPr>
              <w:t>2</w:t>
            </w:r>
          </w:p>
        </w:tc>
        <w:tc>
          <w:tcPr>
            <w:tcW w:w="641" w:type="dxa"/>
            <w:shd w:val="clear" w:color="auto" w:fill="FAE3D4"/>
          </w:tcPr>
          <w:p>
            <w:pPr>
              <w:pStyle w:val="TableParagraph"/>
              <w:rPr>
                <w:sz w:val="16"/>
              </w:rPr>
            </w:pPr>
          </w:p>
        </w:tc>
        <w:tc>
          <w:tcPr>
            <w:tcW w:w="615"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82" w:type="dxa"/>
            <w:shd w:val="clear" w:color="auto" w:fill="FAE3D4"/>
          </w:tcPr>
          <w:p>
            <w:pPr>
              <w:pStyle w:val="TableParagraph"/>
              <w:rPr>
                <w:sz w:val="16"/>
              </w:rPr>
            </w:pPr>
          </w:p>
        </w:tc>
        <w:tc>
          <w:tcPr>
            <w:tcW w:w="463"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528" w:type="dxa"/>
            <w:shd w:val="clear" w:color="auto" w:fill="FAE3D4"/>
          </w:tcPr>
          <w:p>
            <w:pPr>
              <w:pStyle w:val="TableParagraph"/>
              <w:rPr>
                <w:sz w:val="16"/>
              </w:rPr>
            </w:pPr>
          </w:p>
        </w:tc>
        <w:tc>
          <w:tcPr>
            <w:tcW w:w="527" w:type="dxa"/>
            <w:shd w:val="clear" w:color="auto" w:fill="FAE3D4"/>
          </w:tcPr>
          <w:p>
            <w:pPr>
              <w:pStyle w:val="TableParagraph"/>
              <w:rPr>
                <w:sz w:val="16"/>
              </w:rPr>
            </w:pPr>
          </w:p>
        </w:tc>
        <w:tc>
          <w:tcPr>
            <w:tcW w:w="544" w:type="dxa"/>
            <w:vMerge w:val="restart"/>
          </w:tcPr>
          <w:p>
            <w:pPr>
              <w:pStyle w:val="TableParagraph"/>
              <w:ind w:left="114"/>
              <w:rPr>
                <w:sz w:val="20"/>
              </w:rPr>
            </w:pPr>
            <w:r>
              <w:rPr>
                <w:sz w:val="20"/>
              </w:rPr>
              <w:t>P:</w:t>
            </w:r>
            <w:r>
              <w:rPr>
                <w:spacing w:val="-1"/>
                <w:sz w:val="20"/>
              </w:rPr>
              <w:t> </w:t>
            </w:r>
            <w:r>
              <w:rPr>
                <w:spacing w:val="-10"/>
                <w:sz w:val="20"/>
              </w:rPr>
              <w:t>4</w:t>
            </w:r>
          </w:p>
        </w:tc>
      </w:tr>
      <w:tr>
        <w:trPr>
          <w:trHeight w:val="244" w:hRule="atLeast"/>
        </w:trPr>
        <w:tc>
          <w:tcPr>
            <w:tcW w:w="1217" w:type="dxa"/>
            <w:shd w:val="clear" w:color="auto" w:fill="FAE3D4"/>
          </w:tcPr>
          <w:p>
            <w:pPr>
              <w:pStyle w:val="TableParagraph"/>
              <w:spacing w:line="223" w:lineRule="exact" w:before="1"/>
              <w:ind w:left="107"/>
              <w:rPr>
                <w:rFonts w:ascii="Calibri"/>
                <w:sz w:val="20"/>
              </w:rPr>
            </w:pPr>
            <w:r>
              <w:rPr>
                <w:rFonts w:ascii="Calibri"/>
                <w:spacing w:val="-2"/>
                <w:sz w:val="20"/>
              </w:rPr>
              <w:t>Presente</w:t>
            </w:r>
          </w:p>
        </w:tc>
        <w:tc>
          <w:tcPr>
            <w:tcW w:w="641" w:type="dxa"/>
            <w:shd w:val="clear" w:color="auto" w:fill="FAE3D4"/>
          </w:tcPr>
          <w:p>
            <w:pPr>
              <w:pStyle w:val="TableParagraph"/>
              <w:rPr>
                <w:sz w:val="16"/>
              </w:rPr>
            </w:pPr>
          </w:p>
        </w:tc>
        <w:tc>
          <w:tcPr>
            <w:tcW w:w="615" w:type="dxa"/>
            <w:shd w:val="clear" w:color="auto" w:fill="FAE3D4"/>
          </w:tcPr>
          <w:p>
            <w:pPr>
              <w:pStyle w:val="TableParagraph"/>
              <w:spacing w:line="224" w:lineRule="exact"/>
              <w:ind w:left="107"/>
              <w:rPr>
                <w:sz w:val="20"/>
              </w:rPr>
            </w:pPr>
            <w:r>
              <w:rPr>
                <w:spacing w:val="-2"/>
                <w:sz w:val="20"/>
              </w:rPr>
              <w:t>----</w:t>
            </w:r>
          </w:p>
        </w:tc>
        <w:tc>
          <w:tcPr>
            <w:tcW w:w="434"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82" w:type="dxa"/>
            <w:shd w:val="clear" w:color="auto" w:fill="FAE3D4"/>
          </w:tcPr>
          <w:p>
            <w:pPr>
              <w:pStyle w:val="TableParagraph"/>
              <w:rPr>
                <w:sz w:val="16"/>
              </w:rPr>
            </w:pPr>
          </w:p>
        </w:tc>
        <w:tc>
          <w:tcPr>
            <w:tcW w:w="463" w:type="dxa"/>
            <w:shd w:val="clear" w:color="auto" w:fill="FAE3D4"/>
          </w:tcPr>
          <w:p>
            <w:pPr>
              <w:pStyle w:val="TableParagraph"/>
              <w:spacing w:line="224" w:lineRule="exact"/>
              <w:ind w:right="34"/>
              <w:jc w:val="center"/>
              <w:rPr>
                <w:sz w:val="20"/>
              </w:rPr>
            </w:pPr>
            <w:r>
              <w:rPr>
                <w:spacing w:val="-2"/>
                <w:sz w:val="20"/>
              </w:rPr>
              <w:t>---</w:t>
            </w:r>
          </w:p>
        </w:tc>
        <w:tc>
          <w:tcPr>
            <w:tcW w:w="436" w:type="dxa"/>
            <w:shd w:val="clear" w:color="auto" w:fill="FAE3D4"/>
          </w:tcPr>
          <w:p>
            <w:pPr>
              <w:pStyle w:val="TableParagraph"/>
              <w:spacing w:line="224" w:lineRule="exact"/>
              <w:ind w:right="6"/>
              <w:jc w:val="center"/>
              <w:rPr>
                <w:sz w:val="20"/>
              </w:rPr>
            </w:pPr>
            <w:r>
              <w:rPr>
                <w:spacing w:val="-2"/>
                <w:sz w:val="20"/>
              </w:rPr>
              <w:t>---</w:t>
            </w:r>
          </w:p>
        </w:tc>
        <w:tc>
          <w:tcPr>
            <w:tcW w:w="434" w:type="dxa"/>
            <w:shd w:val="clear" w:color="auto" w:fill="FAE3D4"/>
          </w:tcPr>
          <w:p>
            <w:pPr>
              <w:pStyle w:val="TableParagraph"/>
              <w:spacing w:line="224" w:lineRule="exact"/>
              <w:ind w:right="2"/>
              <w:jc w:val="center"/>
              <w:rPr>
                <w:sz w:val="20"/>
              </w:rPr>
            </w:pPr>
            <w:r>
              <w:rPr>
                <w:spacing w:val="-2"/>
                <w:sz w:val="20"/>
              </w:rPr>
              <w:t>---</w:t>
            </w:r>
          </w:p>
        </w:tc>
        <w:tc>
          <w:tcPr>
            <w:tcW w:w="434" w:type="dxa"/>
            <w:shd w:val="clear" w:color="auto" w:fill="FAE3D4"/>
          </w:tcPr>
          <w:p>
            <w:pPr>
              <w:pStyle w:val="TableParagraph"/>
              <w:spacing w:line="224" w:lineRule="exact"/>
              <w:ind w:right="1"/>
              <w:jc w:val="center"/>
              <w:rPr>
                <w:sz w:val="20"/>
              </w:rPr>
            </w:pPr>
            <w:r>
              <w:rPr>
                <w:spacing w:val="-2"/>
                <w:sz w:val="20"/>
              </w:rPr>
              <w:t>---</w:t>
            </w:r>
          </w:p>
        </w:tc>
        <w:tc>
          <w:tcPr>
            <w:tcW w:w="434" w:type="dxa"/>
            <w:shd w:val="clear" w:color="auto" w:fill="FAE3D4"/>
          </w:tcPr>
          <w:p>
            <w:pPr>
              <w:pStyle w:val="TableParagraph"/>
              <w:spacing w:line="224" w:lineRule="exact"/>
              <w:jc w:val="center"/>
              <w:rPr>
                <w:sz w:val="20"/>
              </w:rPr>
            </w:pPr>
            <w:r>
              <w:rPr>
                <w:spacing w:val="-2"/>
                <w:sz w:val="20"/>
              </w:rPr>
              <w:t>---</w:t>
            </w:r>
          </w:p>
        </w:tc>
        <w:tc>
          <w:tcPr>
            <w:tcW w:w="436" w:type="dxa"/>
            <w:shd w:val="clear" w:color="auto" w:fill="FAE3D4"/>
          </w:tcPr>
          <w:p>
            <w:pPr>
              <w:pStyle w:val="TableParagraph"/>
              <w:rPr>
                <w:sz w:val="16"/>
              </w:rPr>
            </w:pPr>
          </w:p>
        </w:tc>
        <w:tc>
          <w:tcPr>
            <w:tcW w:w="528" w:type="dxa"/>
            <w:shd w:val="clear" w:color="auto" w:fill="FAE3D4"/>
          </w:tcPr>
          <w:p>
            <w:pPr>
              <w:pStyle w:val="TableParagraph"/>
              <w:rPr>
                <w:sz w:val="16"/>
              </w:rPr>
            </w:pPr>
          </w:p>
        </w:tc>
        <w:tc>
          <w:tcPr>
            <w:tcW w:w="527" w:type="dxa"/>
            <w:shd w:val="clear" w:color="auto" w:fill="FAE3D4"/>
          </w:tcPr>
          <w:p>
            <w:pPr>
              <w:pStyle w:val="TableParagraph"/>
              <w:spacing w:line="224" w:lineRule="exact"/>
              <w:ind w:right="23"/>
              <w:jc w:val="center"/>
              <w:rPr>
                <w:sz w:val="20"/>
              </w:rPr>
            </w:pPr>
            <w:r>
              <w:rPr>
                <w:spacing w:val="-2"/>
                <w:sz w:val="20"/>
              </w:rPr>
              <w:t>----</w:t>
            </w:r>
          </w:p>
        </w:tc>
        <w:tc>
          <w:tcPr>
            <w:tcW w:w="544" w:type="dxa"/>
            <w:vMerge/>
            <w:tcBorders>
              <w:top w:val="nil"/>
            </w:tcBorders>
          </w:tcPr>
          <w:p>
            <w:pPr>
              <w:rPr>
                <w:sz w:val="2"/>
                <w:szCs w:val="2"/>
              </w:rPr>
            </w:pPr>
          </w:p>
        </w:tc>
      </w:tr>
      <w:tr>
        <w:trPr>
          <w:trHeight w:val="244" w:hRule="atLeast"/>
        </w:trPr>
        <w:tc>
          <w:tcPr>
            <w:tcW w:w="1217" w:type="dxa"/>
            <w:shd w:val="clear" w:color="auto" w:fill="FAE3D4"/>
          </w:tcPr>
          <w:p>
            <w:pPr>
              <w:pStyle w:val="TableParagraph"/>
              <w:spacing w:line="223" w:lineRule="exact" w:before="1"/>
              <w:ind w:left="107"/>
              <w:rPr>
                <w:rFonts w:ascii="Calibri"/>
                <w:sz w:val="20"/>
              </w:rPr>
            </w:pPr>
            <w:r>
              <w:rPr>
                <w:rFonts w:ascii="Calibri"/>
                <w:spacing w:val="-2"/>
                <w:sz w:val="20"/>
              </w:rPr>
              <w:t>Ausente</w:t>
            </w:r>
          </w:p>
        </w:tc>
        <w:tc>
          <w:tcPr>
            <w:tcW w:w="641" w:type="dxa"/>
            <w:shd w:val="clear" w:color="auto" w:fill="FAE3D4"/>
          </w:tcPr>
          <w:p>
            <w:pPr>
              <w:pStyle w:val="TableParagraph"/>
              <w:rPr>
                <w:sz w:val="16"/>
              </w:rPr>
            </w:pPr>
          </w:p>
        </w:tc>
        <w:tc>
          <w:tcPr>
            <w:tcW w:w="615"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6" w:type="dxa"/>
            <w:shd w:val="clear" w:color="auto" w:fill="FAE3D4"/>
          </w:tcPr>
          <w:p>
            <w:pPr>
              <w:pStyle w:val="TableParagraph"/>
              <w:spacing w:line="224" w:lineRule="exact"/>
              <w:ind w:right="10"/>
              <w:jc w:val="center"/>
              <w:rPr>
                <w:sz w:val="20"/>
              </w:rPr>
            </w:pPr>
            <w:r>
              <w:rPr>
                <w:spacing w:val="-2"/>
                <w:sz w:val="20"/>
              </w:rPr>
              <w:t>---</w:t>
            </w:r>
          </w:p>
        </w:tc>
        <w:tc>
          <w:tcPr>
            <w:tcW w:w="434" w:type="dxa"/>
            <w:shd w:val="clear" w:color="auto" w:fill="FAE3D4"/>
          </w:tcPr>
          <w:p>
            <w:pPr>
              <w:pStyle w:val="TableParagraph"/>
              <w:rPr>
                <w:sz w:val="16"/>
              </w:rPr>
            </w:pPr>
          </w:p>
        </w:tc>
        <w:tc>
          <w:tcPr>
            <w:tcW w:w="482" w:type="dxa"/>
            <w:shd w:val="clear" w:color="auto" w:fill="FAE3D4"/>
          </w:tcPr>
          <w:p>
            <w:pPr>
              <w:pStyle w:val="TableParagraph"/>
              <w:spacing w:line="224" w:lineRule="exact"/>
              <w:ind w:right="54"/>
              <w:jc w:val="center"/>
              <w:rPr>
                <w:sz w:val="20"/>
              </w:rPr>
            </w:pPr>
            <w:r>
              <w:rPr>
                <w:spacing w:val="-2"/>
                <w:sz w:val="20"/>
              </w:rPr>
              <w:t>---</w:t>
            </w:r>
          </w:p>
        </w:tc>
        <w:tc>
          <w:tcPr>
            <w:tcW w:w="463"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6" w:type="dxa"/>
            <w:shd w:val="clear" w:color="auto" w:fill="FAE3D4"/>
          </w:tcPr>
          <w:p>
            <w:pPr>
              <w:pStyle w:val="TableParagraph"/>
              <w:spacing w:line="224" w:lineRule="exact"/>
              <w:ind w:right="2"/>
              <w:jc w:val="center"/>
              <w:rPr>
                <w:sz w:val="20"/>
              </w:rPr>
            </w:pPr>
            <w:r>
              <w:rPr>
                <w:spacing w:val="-2"/>
                <w:sz w:val="20"/>
              </w:rPr>
              <w:t>---</w:t>
            </w:r>
          </w:p>
        </w:tc>
        <w:tc>
          <w:tcPr>
            <w:tcW w:w="528" w:type="dxa"/>
            <w:shd w:val="clear" w:color="auto" w:fill="FAE3D4"/>
          </w:tcPr>
          <w:p>
            <w:pPr>
              <w:pStyle w:val="TableParagraph"/>
              <w:spacing w:line="224" w:lineRule="exact"/>
              <w:ind w:right="24"/>
              <w:jc w:val="center"/>
              <w:rPr>
                <w:sz w:val="20"/>
              </w:rPr>
            </w:pPr>
            <w:r>
              <w:rPr>
                <w:spacing w:val="-2"/>
                <w:sz w:val="20"/>
              </w:rPr>
              <w:t>----</w:t>
            </w:r>
          </w:p>
        </w:tc>
        <w:tc>
          <w:tcPr>
            <w:tcW w:w="527" w:type="dxa"/>
            <w:shd w:val="clear" w:color="auto" w:fill="FAE3D4"/>
          </w:tcPr>
          <w:p>
            <w:pPr>
              <w:pStyle w:val="TableParagraph"/>
              <w:rPr>
                <w:sz w:val="16"/>
              </w:rPr>
            </w:pPr>
          </w:p>
        </w:tc>
        <w:tc>
          <w:tcPr>
            <w:tcW w:w="544" w:type="dxa"/>
            <w:vMerge/>
            <w:tcBorders>
              <w:top w:val="nil"/>
            </w:tcBorders>
          </w:tcPr>
          <w:p>
            <w:pPr>
              <w:rPr>
                <w:sz w:val="2"/>
                <w:szCs w:val="2"/>
              </w:rPr>
            </w:pPr>
          </w:p>
        </w:tc>
      </w:tr>
      <w:tr>
        <w:trPr>
          <w:trHeight w:val="244" w:hRule="atLeast"/>
        </w:trPr>
        <w:tc>
          <w:tcPr>
            <w:tcW w:w="1217" w:type="dxa"/>
            <w:shd w:val="clear" w:color="auto" w:fill="FAE3D4"/>
          </w:tcPr>
          <w:p>
            <w:pPr>
              <w:pStyle w:val="TableParagraph"/>
              <w:spacing w:line="223" w:lineRule="exact" w:before="1"/>
              <w:ind w:left="107"/>
              <w:rPr>
                <w:rFonts w:ascii="Calibri"/>
                <w:sz w:val="20"/>
              </w:rPr>
            </w:pPr>
            <w:r>
              <w:rPr>
                <w:rFonts w:ascii="Calibri"/>
                <w:spacing w:val="-2"/>
                <w:sz w:val="20"/>
              </w:rPr>
              <w:t>T3-</w:t>
            </w:r>
            <w:r>
              <w:rPr>
                <w:rFonts w:ascii="Calibri"/>
                <w:spacing w:val="-10"/>
                <w:sz w:val="20"/>
              </w:rPr>
              <w:t>3</w:t>
            </w:r>
          </w:p>
        </w:tc>
        <w:tc>
          <w:tcPr>
            <w:tcW w:w="641" w:type="dxa"/>
            <w:shd w:val="clear" w:color="auto" w:fill="FAE3D4"/>
          </w:tcPr>
          <w:p>
            <w:pPr>
              <w:pStyle w:val="TableParagraph"/>
              <w:rPr>
                <w:sz w:val="16"/>
              </w:rPr>
            </w:pPr>
          </w:p>
        </w:tc>
        <w:tc>
          <w:tcPr>
            <w:tcW w:w="615"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82" w:type="dxa"/>
            <w:shd w:val="clear" w:color="auto" w:fill="FAE3D4"/>
          </w:tcPr>
          <w:p>
            <w:pPr>
              <w:pStyle w:val="TableParagraph"/>
              <w:rPr>
                <w:sz w:val="16"/>
              </w:rPr>
            </w:pPr>
          </w:p>
        </w:tc>
        <w:tc>
          <w:tcPr>
            <w:tcW w:w="463"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528" w:type="dxa"/>
            <w:shd w:val="clear" w:color="auto" w:fill="FAE3D4"/>
          </w:tcPr>
          <w:p>
            <w:pPr>
              <w:pStyle w:val="TableParagraph"/>
              <w:rPr>
                <w:sz w:val="16"/>
              </w:rPr>
            </w:pPr>
          </w:p>
        </w:tc>
        <w:tc>
          <w:tcPr>
            <w:tcW w:w="527" w:type="dxa"/>
            <w:shd w:val="clear" w:color="auto" w:fill="FAE3D4"/>
          </w:tcPr>
          <w:p>
            <w:pPr>
              <w:pStyle w:val="TableParagraph"/>
              <w:rPr>
                <w:sz w:val="16"/>
              </w:rPr>
            </w:pPr>
          </w:p>
        </w:tc>
        <w:tc>
          <w:tcPr>
            <w:tcW w:w="544" w:type="dxa"/>
            <w:vMerge w:val="restart"/>
          </w:tcPr>
          <w:p>
            <w:pPr>
              <w:pStyle w:val="TableParagraph"/>
              <w:ind w:left="114"/>
              <w:rPr>
                <w:sz w:val="20"/>
              </w:rPr>
            </w:pPr>
            <w:r>
              <w:rPr>
                <w:sz w:val="20"/>
              </w:rPr>
              <w:t>P:</w:t>
            </w:r>
            <w:r>
              <w:rPr>
                <w:spacing w:val="-1"/>
                <w:sz w:val="20"/>
              </w:rPr>
              <w:t> </w:t>
            </w:r>
            <w:r>
              <w:rPr>
                <w:spacing w:val="-10"/>
                <w:sz w:val="20"/>
              </w:rPr>
              <w:t>3</w:t>
            </w:r>
          </w:p>
        </w:tc>
      </w:tr>
      <w:tr>
        <w:trPr>
          <w:trHeight w:val="244" w:hRule="atLeast"/>
        </w:trPr>
        <w:tc>
          <w:tcPr>
            <w:tcW w:w="1217" w:type="dxa"/>
            <w:shd w:val="clear" w:color="auto" w:fill="FAE3D4"/>
          </w:tcPr>
          <w:p>
            <w:pPr>
              <w:pStyle w:val="TableParagraph"/>
              <w:spacing w:line="223" w:lineRule="exact" w:before="1"/>
              <w:ind w:left="107"/>
              <w:rPr>
                <w:rFonts w:ascii="Calibri"/>
                <w:sz w:val="20"/>
              </w:rPr>
            </w:pPr>
            <w:r>
              <w:rPr>
                <w:rFonts w:ascii="Calibri"/>
                <w:spacing w:val="-2"/>
                <w:sz w:val="20"/>
              </w:rPr>
              <w:t>Presente</w:t>
            </w:r>
          </w:p>
        </w:tc>
        <w:tc>
          <w:tcPr>
            <w:tcW w:w="641" w:type="dxa"/>
            <w:shd w:val="clear" w:color="auto" w:fill="FAE3D4"/>
          </w:tcPr>
          <w:p>
            <w:pPr>
              <w:pStyle w:val="TableParagraph"/>
              <w:rPr>
                <w:sz w:val="16"/>
              </w:rPr>
            </w:pPr>
          </w:p>
        </w:tc>
        <w:tc>
          <w:tcPr>
            <w:tcW w:w="615" w:type="dxa"/>
            <w:shd w:val="clear" w:color="auto" w:fill="FAE3D4"/>
          </w:tcPr>
          <w:p>
            <w:pPr>
              <w:pStyle w:val="TableParagraph"/>
              <w:spacing w:line="224" w:lineRule="exact"/>
              <w:ind w:left="107"/>
              <w:rPr>
                <w:sz w:val="20"/>
              </w:rPr>
            </w:pPr>
            <w:r>
              <w:rPr>
                <w:spacing w:val="-2"/>
                <w:sz w:val="20"/>
              </w:rPr>
              <w:t>----</w:t>
            </w:r>
          </w:p>
        </w:tc>
        <w:tc>
          <w:tcPr>
            <w:tcW w:w="434"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82" w:type="dxa"/>
            <w:shd w:val="clear" w:color="auto" w:fill="FAE3D4"/>
          </w:tcPr>
          <w:p>
            <w:pPr>
              <w:pStyle w:val="TableParagraph"/>
              <w:rPr>
                <w:sz w:val="16"/>
              </w:rPr>
            </w:pPr>
          </w:p>
        </w:tc>
        <w:tc>
          <w:tcPr>
            <w:tcW w:w="463" w:type="dxa"/>
            <w:shd w:val="clear" w:color="auto" w:fill="FAE3D4"/>
          </w:tcPr>
          <w:p>
            <w:pPr>
              <w:pStyle w:val="TableParagraph"/>
              <w:spacing w:line="224" w:lineRule="exact"/>
              <w:ind w:right="34"/>
              <w:jc w:val="center"/>
              <w:rPr>
                <w:sz w:val="20"/>
              </w:rPr>
            </w:pPr>
            <w:r>
              <w:rPr>
                <w:spacing w:val="-2"/>
                <w:sz w:val="20"/>
              </w:rPr>
              <w:t>---</w:t>
            </w:r>
          </w:p>
        </w:tc>
        <w:tc>
          <w:tcPr>
            <w:tcW w:w="436" w:type="dxa"/>
            <w:shd w:val="clear" w:color="auto" w:fill="FAE3D4"/>
          </w:tcPr>
          <w:p>
            <w:pPr>
              <w:pStyle w:val="TableParagraph"/>
              <w:spacing w:line="224" w:lineRule="exact"/>
              <w:ind w:right="6"/>
              <w:jc w:val="center"/>
              <w:rPr>
                <w:sz w:val="20"/>
              </w:rPr>
            </w:pPr>
            <w:r>
              <w:rPr>
                <w:spacing w:val="-2"/>
                <w:sz w:val="20"/>
              </w:rPr>
              <w:t>---</w:t>
            </w:r>
          </w:p>
        </w:tc>
        <w:tc>
          <w:tcPr>
            <w:tcW w:w="434" w:type="dxa"/>
            <w:shd w:val="clear" w:color="auto" w:fill="FAE3D4"/>
          </w:tcPr>
          <w:p>
            <w:pPr>
              <w:pStyle w:val="TableParagraph"/>
              <w:spacing w:line="224" w:lineRule="exact"/>
              <w:ind w:right="2"/>
              <w:jc w:val="center"/>
              <w:rPr>
                <w:sz w:val="20"/>
              </w:rPr>
            </w:pPr>
            <w:r>
              <w:rPr>
                <w:spacing w:val="-2"/>
                <w:sz w:val="20"/>
              </w:rPr>
              <w:t>---</w:t>
            </w:r>
          </w:p>
        </w:tc>
        <w:tc>
          <w:tcPr>
            <w:tcW w:w="434" w:type="dxa"/>
            <w:shd w:val="clear" w:color="auto" w:fill="FAE3D4"/>
          </w:tcPr>
          <w:p>
            <w:pPr>
              <w:pStyle w:val="TableParagraph"/>
              <w:spacing w:line="224" w:lineRule="exact"/>
              <w:ind w:right="1"/>
              <w:jc w:val="center"/>
              <w:rPr>
                <w:sz w:val="20"/>
              </w:rPr>
            </w:pPr>
            <w:r>
              <w:rPr>
                <w:spacing w:val="-2"/>
                <w:sz w:val="20"/>
              </w:rPr>
              <w:t>---</w:t>
            </w:r>
          </w:p>
        </w:tc>
        <w:tc>
          <w:tcPr>
            <w:tcW w:w="434"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528" w:type="dxa"/>
            <w:shd w:val="clear" w:color="auto" w:fill="FAE3D4"/>
          </w:tcPr>
          <w:p>
            <w:pPr>
              <w:pStyle w:val="TableParagraph"/>
              <w:rPr>
                <w:sz w:val="16"/>
              </w:rPr>
            </w:pPr>
          </w:p>
        </w:tc>
        <w:tc>
          <w:tcPr>
            <w:tcW w:w="527" w:type="dxa"/>
            <w:shd w:val="clear" w:color="auto" w:fill="FAE3D4"/>
          </w:tcPr>
          <w:p>
            <w:pPr>
              <w:pStyle w:val="TableParagraph"/>
              <w:spacing w:line="224" w:lineRule="exact"/>
              <w:ind w:right="23"/>
              <w:jc w:val="center"/>
              <w:rPr>
                <w:sz w:val="20"/>
              </w:rPr>
            </w:pPr>
            <w:r>
              <w:rPr>
                <w:spacing w:val="-2"/>
                <w:sz w:val="20"/>
              </w:rPr>
              <w:t>----</w:t>
            </w:r>
          </w:p>
        </w:tc>
        <w:tc>
          <w:tcPr>
            <w:tcW w:w="544" w:type="dxa"/>
            <w:vMerge/>
            <w:tcBorders>
              <w:top w:val="nil"/>
            </w:tcBorders>
          </w:tcPr>
          <w:p>
            <w:pPr>
              <w:rPr>
                <w:sz w:val="2"/>
                <w:szCs w:val="2"/>
              </w:rPr>
            </w:pPr>
          </w:p>
        </w:tc>
      </w:tr>
      <w:tr>
        <w:trPr>
          <w:trHeight w:val="241" w:hRule="atLeast"/>
        </w:trPr>
        <w:tc>
          <w:tcPr>
            <w:tcW w:w="1217" w:type="dxa"/>
            <w:shd w:val="clear" w:color="auto" w:fill="FAE3D4"/>
          </w:tcPr>
          <w:p>
            <w:pPr>
              <w:pStyle w:val="TableParagraph"/>
              <w:spacing w:line="222" w:lineRule="exact"/>
              <w:ind w:left="107"/>
              <w:rPr>
                <w:rFonts w:ascii="Calibri"/>
                <w:sz w:val="20"/>
              </w:rPr>
            </w:pPr>
            <w:r>
              <w:rPr>
                <w:rFonts w:ascii="Calibri"/>
                <w:spacing w:val="-2"/>
                <w:sz w:val="20"/>
              </w:rPr>
              <w:t>Ausente</w:t>
            </w:r>
          </w:p>
        </w:tc>
        <w:tc>
          <w:tcPr>
            <w:tcW w:w="641" w:type="dxa"/>
            <w:shd w:val="clear" w:color="auto" w:fill="FAE3D4"/>
          </w:tcPr>
          <w:p>
            <w:pPr>
              <w:pStyle w:val="TableParagraph"/>
              <w:rPr>
                <w:sz w:val="16"/>
              </w:rPr>
            </w:pPr>
          </w:p>
        </w:tc>
        <w:tc>
          <w:tcPr>
            <w:tcW w:w="615"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6" w:type="dxa"/>
            <w:shd w:val="clear" w:color="auto" w:fill="FAE3D4"/>
          </w:tcPr>
          <w:p>
            <w:pPr>
              <w:pStyle w:val="TableParagraph"/>
              <w:spacing w:line="222" w:lineRule="exact"/>
              <w:ind w:right="10"/>
              <w:jc w:val="center"/>
              <w:rPr>
                <w:sz w:val="20"/>
              </w:rPr>
            </w:pPr>
            <w:r>
              <w:rPr>
                <w:spacing w:val="-2"/>
                <w:sz w:val="20"/>
              </w:rPr>
              <w:t>---</w:t>
            </w:r>
          </w:p>
        </w:tc>
        <w:tc>
          <w:tcPr>
            <w:tcW w:w="434" w:type="dxa"/>
            <w:shd w:val="clear" w:color="auto" w:fill="FAE3D4"/>
          </w:tcPr>
          <w:p>
            <w:pPr>
              <w:pStyle w:val="TableParagraph"/>
              <w:rPr>
                <w:sz w:val="16"/>
              </w:rPr>
            </w:pPr>
          </w:p>
        </w:tc>
        <w:tc>
          <w:tcPr>
            <w:tcW w:w="482" w:type="dxa"/>
            <w:shd w:val="clear" w:color="auto" w:fill="FAE3D4"/>
          </w:tcPr>
          <w:p>
            <w:pPr>
              <w:pStyle w:val="TableParagraph"/>
              <w:spacing w:line="222" w:lineRule="exact"/>
              <w:ind w:right="54"/>
              <w:jc w:val="center"/>
              <w:rPr>
                <w:sz w:val="20"/>
              </w:rPr>
            </w:pPr>
            <w:r>
              <w:rPr>
                <w:spacing w:val="-2"/>
                <w:sz w:val="20"/>
              </w:rPr>
              <w:t>---</w:t>
            </w:r>
          </w:p>
        </w:tc>
        <w:tc>
          <w:tcPr>
            <w:tcW w:w="463"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4" w:type="dxa"/>
            <w:shd w:val="clear" w:color="auto" w:fill="FAE3D4"/>
          </w:tcPr>
          <w:p>
            <w:pPr>
              <w:pStyle w:val="TableParagraph"/>
              <w:spacing w:line="222" w:lineRule="exact"/>
              <w:jc w:val="center"/>
              <w:rPr>
                <w:sz w:val="20"/>
              </w:rPr>
            </w:pPr>
            <w:r>
              <w:rPr>
                <w:spacing w:val="-2"/>
                <w:sz w:val="20"/>
              </w:rPr>
              <w:t>---</w:t>
            </w:r>
          </w:p>
        </w:tc>
        <w:tc>
          <w:tcPr>
            <w:tcW w:w="436" w:type="dxa"/>
            <w:shd w:val="clear" w:color="auto" w:fill="FAE3D4"/>
          </w:tcPr>
          <w:p>
            <w:pPr>
              <w:pStyle w:val="TableParagraph"/>
              <w:spacing w:line="222" w:lineRule="exact"/>
              <w:ind w:right="2"/>
              <w:jc w:val="center"/>
              <w:rPr>
                <w:sz w:val="20"/>
              </w:rPr>
            </w:pPr>
            <w:r>
              <w:rPr>
                <w:spacing w:val="-2"/>
                <w:sz w:val="20"/>
              </w:rPr>
              <w:t>---</w:t>
            </w:r>
          </w:p>
        </w:tc>
        <w:tc>
          <w:tcPr>
            <w:tcW w:w="528" w:type="dxa"/>
            <w:shd w:val="clear" w:color="auto" w:fill="FAE3D4"/>
          </w:tcPr>
          <w:p>
            <w:pPr>
              <w:pStyle w:val="TableParagraph"/>
              <w:spacing w:line="222" w:lineRule="exact"/>
              <w:ind w:right="23"/>
              <w:jc w:val="center"/>
              <w:rPr>
                <w:sz w:val="20"/>
              </w:rPr>
            </w:pPr>
            <w:r>
              <w:rPr>
                <w:spacing w:val="-2"/>
                <w:sz w:val="20"/>
              </w:rPr>
              <w:t>----</w:t>
            </w:r>
          </w:p>
        </w:tc>
        <w:tc>
          <w:tcPr>
            <w:tcW w:w="527" w:type="dxa"/>
            <w:shd w:val="clear" w:color="auto" w:fill="FAE3D4"/>
          </w:tcPr>
          <w:p>
            <w:pPr>
              <w:pStyle w:val="TableParagraph"/>
              <w:rPr>
                <w:sz w:val="16"/>
              </w:rPr>
            </w:pPr>
          </w:p>
        </w:tc>
        <w:tc>
          <w:tcPr>
            <w:tcW w:w="544" w:type="dxa"/>
            <w:vMerge/>
            <w:tcBorders>
              <w:top w:val="nil"/>
            </w:tcBorders>
          </w:tcPr>
          <w:p>
            <w:pPr>
              <w:rPr>
                <w:sz w:val="2"/>
                <w:szCs w:val="2"/>
              </w:rPr>
            </w:pPr>
          </w:p>
        </w:tc>
      </w:tr>
      <w:tr>
        <w:trPr>
          <w:trHeight w:val="244" w:hRule="atLeast"/>
        </w:trPr>
        <w:tc>
          <w:tcPr>
            <w:tcW w:w="1217" w:type="dxa"/>
            <w:shd w:val="clear" w:color="auto" w:fill="FAE3D4"/>
          </w:tcPr>
          <w:p>
            <w:pPr>
              <w:pStyle w:val="TableParagraph"/>
              <w:spacing w:line="223" w:lineRule="exact" w:before="1"/>
              <w:ind w:left="107"/>
              <w:rPr>
                <w:rFonts w:ascii="Calibri"/>
                <w:sz w:val="20"/>
              </w:rPr>
            </w:pPr>
            <w:r>
              <w:rPr>
                <w:rFonts w:ascii="Calibri"/>
                <w:spacing w:val="-2"/>
                <w:sz w:val="20"/>
              </w:rPr>
              <w:t>T3-</w:t>
            </w:r>
            <w:r>
              <w:rPr>
                <w:rFonts w:ascii="Calibri"/>
                <w:spacing w:val="-10"/>
                <w:sz w:val="20"/>
              </w:rPr>
              <w:t>4</w:t>
            </w:r>
          </w:p>
        </w:tc>
        <w:tc>
          <w:tcPr>
            <w:tcW w:w="641" w:type="dxa"/>
            <w:shd w:val="clear" w:color="auto" w:fill="FAE3D4"/>
          </w:tcPr>
          <w:p>
            <w:pPr>
              <w:pStyle w:val="TableParagraph"/>
              <w:rPr>
                <w:sz w:val="16"/>
              </w:rPr>
            </w:pPr>
          </w:p>
        </w:tc>
        <w:tc>
          <w:tcPr>
            <w:tcW w:w="615"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82" w:type="dxa"/>
            <w:shd w:val="clear" w:color="auto" w:fill="FAE3D4"/>
          </w:tcPr>
          <w:p>
            <w:pPr>
              <w:pStyle w:val="TableParagraph"/>
              <w:rPr>
                <w:sz w:val="16"/>
              </w:rPr>
            </w:pPr>
          </w:p>
        </w:tc>
        <w:tc>
          <w:tcPr>
            <w:tcW w:w="463"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528" w:type="dxa"/>
            <w:shd w:val="clear" w:color="auto" w:fill="FAE3D4"/>
          </w:tcPr>
          <w:p>
            <w:pPr>
              <w:pStyle w:val="TableParagraph"/>
              <w:rPr>
                <w:sz w:val="16"/>
              </w:rPr>
            </w:pPr>
          </w:p>
        </w:tc>
        <w:tc>
          <w:tcPr>
            <w:tcW w:w="527" w:type="dxa"/>
            <w:shd w:val="clear" w:color="auto" w:fill="FAE3D4"/>
          </w:tcPr>
          <w:p>
            <w:pPr>
              <w:pStyle w:val="TableParagraph"/>
              <w:rPr>
                <w:sz w:val="16"/>
              </w:rPr>
            </w:pPr>
          </w:p>
        </w:tc>
        <w:tc>
          <w:tcPr>
            <w:tcW w:w="544" w:type="dxa"/>
            <w:vMerge w:val="restart"/>
          </w:tcPr>
          <w:p>
            <w:pPr>
              <w:pStyle w:val="TableParagraph"/>
              <w:ind w:left="114"/>
              <w:rPr>
                <w:sz w:val="20"/>
              </w:rPr>
            </w:pPr>
            <w:r>
              <w:rPr>
                <w:sz w:val="20"/>
              </w:rPr>
              <w:t>P:</w:t>
            </w:r>
            <w:r>
              <w:rPr>
                <w:spacing w:val="-1"/>
                <w:sz w:val="20"/>
              </w:rPr>
              <w:t> </w:t>
            </w:r>
            <w:r>
              <w:rPr>
                <w:spacing w:val="-10"/>
                <w:sz w:val="20"/>
              </w:rPr>
              <w:t>3</w:t>
            </w:r>
          </w:p>
        </w:tc>
      </w:tr>
      <w:tr>
        <w:trPr>
          <w:trHeight w:val="244" w:hRule="atLeast"/>
        </w:trPr>
        <w:tc>
          <w:tcPr>
            <w:tcW w:w="1217" w:type="dxa"/>
            <w:shd w:val="clear" w:color="auto" w:fill="FAE3D4"/>
          </w:tcPr>
          <w:p>
            <w:pPr>
              <w:pStyle w:val="TableParagraph"/>
              <w:spacing w:line="223" w:lineRule="exact" w:before="2"/>
              <w:ind w:left="107"/>
              <w:rPr>
                <w:rFonts w:ascii="Calibri"/>
                <w:sz w:val="20"/>
              </w:rPr>
            </w:pPr>
            <w:r>
              <w:rPr>
                <w:rFonts w:ascii="Calibri"/>
                <w:spacing w:val="-2"/>
                <w:sz w:val="20"/>
              </w:rPr>
              <w:t>Presente</w:t>
            </w:r>
          </w:p>
        </w:tc>
        <w:tc>
          <w:tcPr>
            <w:tcW w:w="641" w:type="dxa"/>
            <w:shd w:val="clear" w:color="auto" w:fill="FAE3D4"/>
          </w:tcPr>
          <w:p>
            <w:pPr>
              <w:pStyle w:val="TableParagraph"/>
              <w:rPr>
                <w:sz w:val="16"/>
              </w:rPr>
            </w:pPr>
          </w:p>
        </w:tc>
        <w:tc>
          <w:tcPr>
            <w:tcW w:w="615" w:type="dxa"/>
            <w:shd w:val="clear" w:color="auto" w:fill="FAE3D4"/>
          </w:tcPr>
          <w:p>
            <w:pPr>
              <w:pStyle w:val="TableParagraph"/>
              <w:spacing w:line="224" w:lineRule="exact" w:before="1"/>
              <w:ind w:left="107"/>
              <w:rPr>
                <w:sz w:val="20"/>
              </w:rPr>
            </w:pPr>
            <w:r>
              <w:rPr>
                <w:spacing w:val="-2"/>
                <w:sz w:val="20"/>
              </w:rPr>
              <w:t>----</w:t>
            </w:r>
          </w:p>
        </w:tc>
        <w:tc>
          <w:tcPr>
            <w:tcW w:w="434"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82" w:type="dxa"/>
            <w:shd w:val="clear" w:color="auto" w:fill="FAE3D4"/>
          </w:tcPr>
          <w:p>
            <w:pPr>
              <w:pStyle w:val="TableParagraph"/>
              <w:rPr>
                <w:sz w:val="16"/>
              </w:rPr>
            </w:pPr>
          </w:p>
        </w:tc>
        <w:tc>
          <w:tcPr>
            <w:tcW w:w="463" w:type="dxa"/>
            <w:shd w:val="clear" w:color="auto" w:fill="FAE3D4"/>
          </w:tcPr>
          <w:p>
            <w:pPr>
              <w:pStyle w:val="TableParagraph"/>
              <w:spacing w:line="224" w:lineRule="exact" w:before="1"/>
              <w:ind w:right="34"/>
              <w:jc w:val="center"/>
              <w:rPr>
                <w:sz w:val="20"/>
              </w:rPr>
            </w:pPr>
            <w:r>
              <w:rPr>
                <w:spacing w:val="-2"/>
                <w:sz w:val="20"/>
              </w:rPr>
              <w:t>---</w:t>
            </w:r>
          </w:p>
        </w:tc>
        <w:tc>
          <w:tcPr>
            <w:tcW w:w="436" w:type="dxa"/>
            <w:shd w:val="clear" w:color="auto" w:fill="FAE3D4"/>
          </w:tcPr>
          <w:p>
            <w:pPr>
              <w:pStyle w:val="TableParagraph"/>
              <w:spacing w:line="224" w:lineRule="exact" w:before="1"/>
              <w:ind w:right="6"/>
              <w:jc w:val="center"/>
              <w:rPr>
                <w:sz w:val="20"/>
              </w:rPr>
            </w:pPr>
            <w:r>
              <w:rPr>
                <w:spacing w:val="-2"/>
                <w:sz w:val="20"/>
              </w:rPr>
              <w:t>---</w:t>
            </w:r>
          </w:p>
        </w:tc>
        <w:tc>
          <w:tcPr>
            <w:tcW w:w="434" w:type="dxa"/>
            <w:shd w:val="clear" w:color="auto" w:fill="FAE3D4"/>
          </w:tcPr>
          <w:p>
            <w:pPr>
              <w:pStyle w:val="TableParagraph"/>
              <w:spacing w:line="224" w:lineRule="exact" w:before="1"/>
              <w:ind w:right="2"/>
              <w:jc w:val="center"/>
              <w:rPr>
                <w:sz w:val="20"/>
              </w:rPr>
            </w:pPr>
            <w:r>
              <w:rPr>
                <w:spacing w:val="-2"/>
                <w:sz w:val="20"/>
              </w:rPr>
              <w:t>---</w:t>
            </w:r>
          </w:p>
        </w:tc>
        <w:tc>
          <w:tcPr>
            <w:tcW w:w="434" w:type="dxa"/>
            <w:shd w:val="clear" w:color="auto" w:fill="FAE3D4"/>
          </w:tcPr>
          <w:p>
            <w:pPr>
              <w:pStyle w:val="TableParagraph"/>
              <w:spacing w:line="224" w:lineRule="exact" w:before="1"/>
              <w:ind w:right="1"/>
              <w:jc w:val="center"/>
              <w:rPr>
                <w:sz w:val="20"/>
              </w:rPr>
            </w:pPr>
            <w:r>
              <w:rPr>
                <w:spacing w:val="-2"/>
                <w:sz w:val="20"/>
              </w:rPr>
              <w:t>---</w:t>
            </w:r>
          </w:p>
        </w:tc>
        <w:tc>
          <w:tcPr>
            <w:tcW w:w="434"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528" w:type="dxa"/>
            <w:shd w:val="clear" w:color="auto" w:fill="FAE3D4"/>
          </w:tcPr>
          <w:p>
            <w:pPr>
              <w:pStyle w:val="TableParagraph"/>
              <w:rPr>
                <w:sz w:val="16"/>
              </w:rPr>
            </w:pPr>
          </w:p>
        </w:tc>
        <w:tc>
          <w:tcPr>
            <w:tcW w:w="527" w:type="dxa"/>
            <w:shd w:val="clear" w:color="auto" w:fill="FAE3D4"/>
          </w:tcPr>
          <w:p>
            <w:pPr>
              <w:pStyle w:val="TableParagraph"/>
              <w:spacing w:line="224" w:lineRule="exact" w:before="1"/>
              <w:ind w:right="23"/>
              <w:jc w:val="center"/>
              <w:rPr>
                <w:sz w:val="20"/>
              </w:rPr>
            </w:pPr>
            <w:r>
              <w:rPr>
                <w:spacing w:val="-2"/>
                <w:sz w:val="20"/>
              </w:rPr>
              <w:t>----</w:t>
            </w:r>
          </w:p>
        </w:tc>
        <w:tc>
          <w:tcPr>
            <w:tcW w:w="544" w:type="dxa"/>
            <w:vMerge/>
            <w:tcBorders>
              <w:top w:val="nil"/>
            </w:tcBorders>
          </w:tcPr>
          <w:p>
            <w:pPr>
              <w:rPr>
                <w:sz w:val="2"/>
                <w:szCs w:val="2"/>
              </w:rPr>
            </w:pPr>
          </w:p>
        </w:tc>
      </w:tr>
      <w:tr>
        <w:trPr>
          <w:trHeight w:val="244" w:hRule="atLeast"/>
        </w:trPr>
        <w:tc>
          <w:tcPr>
            <w:tcW w:w="1217" w:type="dxa"/>
            <w:shd w:val="clear" w:color="auto" w:fill="FAE3D4"/>
          </w:tcPr>
          <w:p>
            <w:pPr>
              <w:pStyle w:val="TableParagraph"/>
              <w:spacing w:line="223" w:lineRule="exact" w:before="1"/>
              <w:ind w:left="107"/>
              <w:rPr>
                <w:rFonts w:ascii="Calibri"/>
                <w:sz w:val="20"/>
              </w:rPr>
            </w:pPr>
            <w:r>
              <w:rPr>
                <w:rFonts w:ascii="Calibri"/>
                <w:spacing w:val="-2"/>
                <w:sz w:val="20"/>
              </w:rPr>
              <w:t>Ausente</w:t>
            </w:r>
          </w:p>
        </w:tc>
        <w:tc>
          <w:tcPr>
            <w:tcW w:w="641" w:type="dxa"/>
            <w:shd w:val="clear" w:color="auto" w:fill="FAE3D4"/>
          </w:tcPr>
          <w:p>
            <w:pPr>
              <w:pStyle w:val="TableParagraph"/>
              <w:rPr>
                <w:sz w:val="16"/>
              </w:rPr>
            </w:pPr>
          </w:p>
        </w:tc>
        <w:tc>
          <w:tcPr>
            <w:tcW w:w="615"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6" w:type="dxa"/>
            <w:shd w:val="clear" w:color="auto" w:fill="FAE3D4"/>
          </w:tcPr>
          <w:p>
            <w:pPr>
              <w:pStyle w:val="TableParagraph"/>
              <w:spacing w:line="224" w:lineRule="exact"/>
              <w:ind w:right="10"/>
              <w:jc w:val="center"/>
              <w:rPr>
                <w:sz w:val="20"/>
              </w:rPr>
            </w:pPr>
            <w:r>
              <w:rPr>
                <w:spacing w:val="-2"/>
                <w:sz w:val="20"/>
              </w:rPr>
              <w:t>---</w:t>
            </w:r>
          </w:p>
        </w:tc>
        <w:tc>
          <w:tcPr>
            <w:tcW w:w="434" w:type="dxa"/>
            <w:shd w:val="clear" w:color="auto" w:fill="FAE3D4"/>
          </w:tcPr>
          <w:p>
            <w:pPr>
              <w:pStyle w:val="TableParagraph"/>
              <w:rPr>
                <w:sz w:val="16"/>
              </w:rPr>
            </w:pPr>
          </w:p>
        </w:tc>
        <w:tc>
          <w:tcPr>
            <w:tcW w:w="482" w:type="dxa"/>
            <w:shd w:val="clear" w:color="auto" w:fill="FAE3D4"/>
          </w:tcPr>
          <w:p>
            <w:pPr>
              <w:pStyle w:val="TableParagraph"/>
              <w:spacing w:line="224" w:lineRule="exact"/>
              <w:ind w:right="54"/>
              <w:jc w:val="center"/>
              <w:rPr>
                <w:sz w:val="20"/>
              </w:rPr>
            </w:pPr>
            <w:r>
              <w:rPr>
                <w:spacing w:val="-2"/>
                <w:sz w:val="20"/>
              </w:rPr>
              <w:t>---</w:t>
            </w:r>
          </w:p>
        </w:tc>
        <w:tc>
          <w:tcPr>
            <w:tcW w:w="463" w:type="dxa"/>
            <w:shd w:val="clear" w:color="auto" w:fill="FAE3D4"/>
          </w:tcPr>
          <w:p>
            <w:pPr>
              <w:pStyle w:val="TableParagraph"/>
              <w:rPr>
                <w:sz w:val="16"/>
              </w:rPr>
            </w:pPr>
          </w:p>
        </w:tc>
        <w:tc>
          <w:tcPr>
            <w:tcW w:w="436"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4" w:type="dxa"/>
            <w:shd w:val="clear" w:color="auto" w:fill="FAE3D4"/>
          </w:tcPr>
          <w:p>
            <w:pPr>
              <w:pStyle w:val="TableParagraph"/>
              <w:rPr>
                <w:sz w:val="16"/>
              </w:rPr>
            </w:pPr>
          </w:p>
        </w:tc>
        <w:tc>
          <w:tcPr>
            <w:tcW w:w="434" w:type="dxa"/>
            <w:shd w:val="clear" w:color="auto" w:fill="FAE3D4"/>
          </w:tcPr>
          <w:p>
            <w:pPr>
              <w:pStyle w:val="TableParagraph"/>
              <w:spacing w:line="224" w:lineRule="exact"/>
              <w:jc w:val="center"/>
              <w:rPr>
                <w:sz w:val="20"/>
              </w:rPr>
            </w:pPr>
            <w:r>
              <w:rPr>
                <w:spacing w:val="-2"/>
                <w:sz w:val="20"/>
              </w:rPr>
              <w:t>---</w:t>
            </w:r>
          </w:p>
        </w:tc>
        <w:tc>
          <w:tcPr>
            <w:tcW w:w="436" w:type="dxa"/>
            <w:shd w:val="clear" w:color="auto" w:fill="FAE3D4"/>
          </w:tcPr>
          <w:p>
            <w:pPr>
              <w:pStyle w:val="TableParagraph"/>
              <w:spacing w:line="224" w:lineRule="exact"/>
              <w:ind w:right="2"/>
              <w:jc w:val="center"/>
              <w:rPr>
                <w:sz w:val="20"/>
              </w:rPr>
            </w:pPr>
            <w:r>
              <w:rPr>
                <w:spacing w:val="-2"/>
                <w:sz w:val="20"/>
              </w:rPr>
              <w:t>---</w:t>
            </w:r>
          </w:p>
        </w:tc>
        <w:tc>
          <w:tcPr>
            <w:tcW w:w="528" w:type="dxa"/>
            <w:shd w:val="clear" w:color="auto" w:fill="FAE3D4"/>
          </w:tcPr>
          <w:p>
            <w:pPr>
              <w:pStyle w:val="TableParagraph"/>
              <w:spacing w:line="224" w:lineRule="exact"/>
              <w:ind w:right="24"/>
              <w:jc w:val="center"/>
              <w:rPr>
                <w:sz w:val="20"/>
              </w:rPr>
            </w:pPr>
            <w:r>
              <w:rPr>
                <w:spacing w:val="-2"/>
                <w:sz w:val="20"/>
              </w:rPr>
              <w:t>----</w:t>
            </w:r>
          </w:p>
        </w:tc>
        <w:tc>
          <w:tcPr>
            <w:tcW w:w="527" w:type="dxa"/>
            <w:shd w:val="clear" w:color="auto" w:fill="FAE3D4"/>
          </w:tcPr>
          <w:p>
            <w:pPr>
              <w:pStyle w:val="TableParagraph"/>
              <w:rPr>
                <w:sz w:val="16"/>
              </w:rPr>
            </w:pPr>
          </w:p>
        </w:tc>
        <w:tc>
          <w:tcPr>
            <w:tcW w:w="544" w:type="dxa"/>
            <w:vMerge/>
            <w:tcBorders>
              <w:top w:val="nil"/>
            </w:tcBorders>
          </w:tcPr>
          <w:p>
            <w:pPr>
              <w:rPr>
                <w:sz w:val="2"/>
                <w:szCs w:val="2"/>
              </w:rPr>
            </w:pPr>
          </w:p>
        </w:tc>
      </w:tr>
    </w:tbl>
    <w:p>
      <w:pPr>
        <w:spacing w:after="0"/>
        <w:rPr>
          <w:sz w:val="2"/>
          <w:szCs w:val="2"/>
        </w:rPr>
        <w:sectPr>
          <w:footerReference w:type="default" r:id="rId55"/>
          <w:pgSz w:w="11900" w:h="16860"/>
          <w:pgMar w:header="0" w:footer="0" w:top="1680" w:bottom="280" w:left="1133" w:right="850"/>
        </w:sectPr>
      </w:pPr>
    </w:p>
    <w:p>
      <w:pPr>
        <w:spacing w:before="70"/>
        <w:ind w:left="1135" w:right="0" w:firstLine="0"/>
        <w:jc w:val="left"/>
        <w:rPr>
          <w:sz w:val="24"/>
        </w:rPr>
      </w:pPr>
      <w:bookmarkStart w:name="_bookmark73" w:id="74"/>
      <w:bookmarkEnd w:id="74"/>
      <w:r>
        <w:rPr/>
      </w:r>
      <w:r>
        <w:rPr>
          <w:b/>
          <w:sz w:val="24"/>
        </w:rPr>
        <w:t>Anexo</w:t>
      </w:r>
      <w:r>
        <w:rPr>
          <w:b/>
          <w:spacing w:val="-2"/>
          <w:sz w:val="24"/>
        </w:rPr>
        <w:t> </w:t>
      </w:r>
      <w:r>
        <w:rPr>
          <w:b/>
          <w:sz w:val="24"/>
        </w:rPr>
        <w:t>4 </w:t>
      </w:r>
      <w:r>
        <w:rPr>
          <w:sz w:val="24"/>
        </w:rPr>
        <w:t>Glosario de</w:t>
      </w:r>
      <w:r>
        <w:rPr>
          <w:spacing w:val="-2"/>
          <w:sz w:val="24"/>
        </w:rPr>
        <w:t> término</w:t>
      </w:r>
    </w:p>
    <w:p>
      <w:pPr>
        <w:pStyle w:val="BodyText"/>
        <w:spacing w:before="101"/>
        <w:ind w:left="0"/>
      </w:pPr>
    </w:p>
    <w:p>
      <w:pPr>
        <w:spacing w:line="360" w:lineRule="auto" w:before="0"/>
        <w:ind w:left="1135" w:right="793" w:firstLine="0"/>
        <w:jc w:val="left"/>
        <w:rPr>
          <w:sz w:val="24"/>
        </w:rPr>
      </w:pPr>
      <w:r>
        <w:rPr>
          <w:b/>
          <w:sz w:val="24"/>
        </w:rPr>
        <w:t>AINEs (antiinflamatorios no esteroideos): </w:t>
      </w:r>
      <w:r>
        <w:rPr>
          <w:sz w:val="24"/>
        </w:rPr>
        <w:t>Grupo de fármacos que bloquean la COX y reducen inflamación y dolor.</w:t>
      </w:r>
    </w:p>
    <w:p>
      <w:pPr>
        <w:pStyle w:val="BodyText"/>
        <w:spacing w:line="360" w:lineRule="auto" w:before="240"/>
        <w:ind w:right="793"/>
      </w:pPr>
      <w:r>
        <w:rPr>
          <w:b/>
        </w:rPr>
        <w:t>Alodinia: </w:t>
      </w:r>
      <w:r>
        <w:rPr/>
        <w:t>Dolor provocado por estímulos que normalmente no son dolorosos (ej. contacto en la herida).</w:t>
      </w:r>
    </w:p>
    <w:p>
      <w:pPr>
        <w:pStyle w:val="BodyText"/>
        <w:spacing w:line="362" w:lineRule="auto" w:before="240"/>
        <w:ind w:right="793"/>
      </w:pPr>
      <w:r>
        <w:rPr>
          <w:b/>
        </w:rPr>
        <w:t>Analgesia multimodal: </w:t>
      </w:r>
      <w:r>
        <w:rPr/>
        <w:t>Estrategia terapéutica que combina diferentes fármacos y técnicas para controlar el dolor desde múltiples vías.</w:t>
      </w:r>
    </w:p>
    <w:p>
      <w:pPr>
        <w:pStyle w:val="BodyText"/>
        <w:spacing w:line="360" w:lineRule="auto" w:before="236"/>
        <w:ind w:right="793"/>
      </w:pPr>
      <w:r>
        <w:rPr>
          <w:b/>
        </w:rPr>
        <w:t>Bloqueo cornual: </w:t>
      </w:r>
      <w:r>
        <w:rPr/>
        <w:t>Infiltración anestésica en el nervio cornual con lidocaína para inhibir la transmisión del dolor.</w:t>
      </w:r>
    </w:p>
    <w:p>
      <w:pPr>
        <w:pStyle w:val="BodyText"/>
        <w:spacing w:line="360" w:lineRule="auto" w:before="240"/>
        <w:ind w:right="793"/>
      </w:pPr>
      <w:r>
        <w:rPr>
          <w:b/>
        </w:rPr>
        <w:t>Carprofeno: </w:t>
      </w:r>
      <w:r>
        <w:rPr/>
        <w:t>AINE empleado en bovinos que reduce la respuesta inflamatoria y mejora la recuperación.</w:t>
      </w:r>
    </w:p>
    <w:p>
      <w:pPr>
        <w:spacing w:line="360" w:lineRule="auto" w:before="240"/>
        <w:ind w:left="1135" w:right="793" w:firstLine="0"/>
        <w:jc w:val="left"/>
        <w:rPr>
          <w:sz w:val="24"/>
        </w:rPr>
      </w:pPr>
      <w:r>
        <w:rPr>
          <w:b/>
          <w:sz w:val="24"/>
        </w:rPr>
        <w:t>Cicatrización</w:t>
      </w:r>
      <w:r>
        <w:rPr>
          <w:b/>
          <w:spacing w:val="-8"/>
          <w:sz w:val="24"/>
        </w:rPr>
        <w:t> </w:t>
      </w:r>
      <w:r>
        <w:rPr>
          <w:b/>
          <w:sz w:val="24"/>
        </w:rPr>
        <w:t>por</w:t>
      </w:r>
      <w:r>
        <w:rPr>
          <w:b/>
          <w:spacing w:val="-10"/>
          <w:sz w:val="24"/>
        </w:rPr>
        <w:t> </w:t>
      </w:r>
      <w:r>
        <w:rPr>
          <w:b/>
          <w:sz w:val="24"/>
        </w:rPr>
        <w:t>segunda</w:t>
      </w:r>
      <w:r>
        <w:rPr>
          <w:b/>
          <w:spacing w:val="-9"/>
          <w:sz w:val="24"/>
        </w:rPr>
        <w:t> </w:t>
      </w:r>
      <w:r>
        <w:rPr>
          <w:b/>
          <w:sz w:val="24"/>
        </w:rPr>
        <w:t>intención:</w:t>
      </w:r>
      <w:r>
        <w:rPr>
          <w:b/>
          <w:spacing w:val="-7"/>
          <w:sz w:val="24"/>
        </w:rPr>
        <w:t> </w:t>
      </w:r>
      <w:r>
        <w:rPr>
          <w:sz w:val="24"/>
        </w:rPr>
        <w:t>Proceso</w:t>
      </w:r>
      <w:r>
        <w:rPr>
          <w:spacing w:val="-9"/>
          <w:sz w:val="24"/>
        </w:rPr>
        <w:t> </w:t>
      </w:r>
      <w:r>
        <w:rPr>
          <w:sz w:val="24"/>
        </w:rPr>
        <w:t>de</w:t>
      </w:r>
      <w:r>
        <w:rPr>
          <w:spacing w:val="-10"/>
          <w:sz w:val="24"/>
        </w:rPr>
        <w:t> </w:t>
      </w:r>
      <w:r>
        <w:rPr>
          <w:sz w:val="24"/>
        </w:rPr>
        <w:t>cierre</w:t>
      </w:r>
      <w:r>
        <w:rPr>
          <w:spacing w:val="-11"/>
          <w:sz w:val="24"/>
        </w:rPr>
        <w:t> </w:t>
      </w:r>
      <w:r>
        <w:rPr>
          <w:sz w:val="24"/>
        </w:rPr>
        <w:t>de</w:t>
      </w:r>
      <w:r>
        <w:rPr>
          <w:spacing w:val="-10"/>
          <w:sz w:val="24"/>
        </w:rPr>
        <w:t> </w:t>
      </w:r>
      <w:r>
        <w:rPr>
          <w:sz w:val="24"/>
        </w:rPr>
        <w:t>la</w:t>
      </w:r>
      <w:r>
        <w:rPr>
          <w:spacing w:val="-10"/>
          <w:sz w:val="24"/>
        </w:rPr>
        <w:t> </w:t>
      </w:r>
      <w:r>
        <w:rPr>
          <w:sz w:val="24"/>
        </w:rPr>
        <w:t>herida</w:t>
      </w:r>
      <w:r>
        <w:rPr>
          <w:spacing w:val="-10"/>
          <w:sz w:val="24"/>
        </w:rPr>
        <w:t> </w:t>
      </w:r>
      <w:r>
        <w:rPr>
          <w:sz w:val="24"/>
        </w:rPr>
        <w:t>tras</w:t>
      </w:r>
      <w:r>
        <w:rPr>
          <w:spacing w:val="-9"/>
          <w:sz w:val="24"/>
        </w:rPr>
        <w:t> </w:t>
      </w:r>
      <w:r>
        <w:rPr>
          <w:sz w:val="24"/>
        </w:rPr>
        <w:t>descorne que depende de inflamación y contracción tisular.</w:t>
      </w:r>
    </w:p>
    <w:p>
      <w:pPr>
        <w:spacing w:line="360" w:lineRule="auto" w:before="240"/>
        <w:ind w:left="1135" w:right="793" w:firstLine="0"/>
        <w:jc w:val="left"/>
        <w:rPr>
          <w:sz w:val="24"/>
        </w:rPr>
      </w:pPr>
      <w:r>
        <w:rPr>
          <w:b/>
          <w:sz w:val="24"/>
        </w:rPr>
        <w:t>Ciclooxigenasa</w:t>
      </w:r>
      <w:r>
        <w:rPr>
          <w:b/>
          <w:spacing w:val="28"/>
          <w:sz w:val="24"/>
        </w:rPr>
        <w:t> </w:t>
      </w:r>
      <w:r>
        <w:rPr>
          <w:b/>
          <w:sz w:val="24"/>
        </w:rPr>
        <w:t>(COX):</w:t>
      </w:r>
      <w:r>
        <w:rPr>
          <w:b/>
          <w:spacing w:val="30"/>
          <w:sz w:val="24"/>
        </w:rPr>
        <w:t> </w:t>
      </w:r>
      <w:r>
        <w:rPr>
          <w:sz w:val="24"/>
        </w:rPr>
        <w:t>Enzima clave en</w:t>
      </w:r>
      <w:r>
        <w:rPr>
          <w:spacing w:val="28"/>
          <w:sz w:val="24"/>
        </w:rPr>
        <w:t> </w:t>
      </w:r>
      <w:r>
        <w:rPr>
          <w:sz w:val="24"/>
        </w:rPr>
        <w:t>la síntesis</w:t>
      </w:r>
      <w:r>
        <w:rPr>
          <w:spacing w:val="29"/>
          <w:sz w:val="24"/>
        </w:rPr>
        <w:t> </w:t>
      </w:r>
      <w:r>
        <w:rPr>
          <w:sz w:val="24"/>
        </w:rPr>
        <w:t>de prostaglandinas;</w:t>
      </w:r>
      <w:r>
        <w:rPr>
          <w:spacing w:val="29"/>
          <w:sz w:val="24"/>
        </w:rPr>
        <w:t> </w:t>
      </w:r>
      <w:r>
        <w:rPr>
          <w:sz w:val="24"/>
        </w:rPr>
        <w:t>blanco principal de los AINEs.</w:t>
      </w:r>
    </w:p>
    <w:p>
      <w:pPr>
        <w:pStyle w:val="BodyText"/>
        <w:spacing w:line="360" w:lineRule="auto" w:before="240"/>
        <w:ind w:right="793"/>
      </w:pPr>
      <w:r>
        <w:rPr>
          <w:b/>
        </w:rPr>
        <w:t>Citoquinas</w:t>
      </w:r>
      <w:r>
        <w:rPr/>
        <w:t>:</w:t>
      </w:r>
      <w:r>
        <w:rPr>
          <w:spacing w:val="-8"/>
        </w:rPr>
        <w:t> </w:t>
      </w:r>
      <w:r>
        <w:rPr/>
        <w:t>Proteínas</w:t>
      </w:r>
      <w:r>
        <w:rPr>
          <w:spacing w:val="-9"/>
        </w:rPr>
        <w:t> </w:t>
      </w:r>
      <w:r>
        <w:rPr/>
        <w:t>de</w:t>
      </w:r>
      <w:r>
        <w:rPr>
          <w:spacing w:val="-9"/>
        </w:rPr>
        <w:t> </w:t>
      </w:r>
      <w:r>
        <w:rPr/>
        <w:t>señalización</w:t>
      </w:r>
      <w:r>
        <w:rPr>
          <w:spacing w:val="-8"/>
        </w:rPr>
        <w:t> </w:t>
      </w:r>
      <w:r>
        <w:rPr/>
        <w:t>(IL-1β,</w:t>
      </w:r>
      <w:r>
        <w:rPr>
          <w:spacing w:val="-8"/>
        </w:rPr>
        <w:t> </w:t>
      </w:r>
      <w:r>
        <w:rPr/>
        <w:t>TNF-α)</w:t>
      </w:r>
      <w:r>
        <w:rPr>
          <w:spacing w:val="-9"/>
        </w:rPr>
        <w:t> </w:t>
      </w:r>
      <w:r>
        <w:rPr/>
        <w:t>que</w:t>
      </w:r>
      <w:r>
        <w:rPr>
          <w:spacing w:val="-7"/>
        </w:rPr>
        <w:t> </w:t>
      </w:r>
      <w:r>
        <w:rPr/>
        <w:t>modulan</w:t>
      </w:r>
      <w:r>
        <w:rPr>
          <w:spacing w:val="-8"/>
        </w:rPr>
        <w:t> </w:t>
      </w:r>
      <w:r>
        <w:rPr/>
        <w:t>la</w:t>
      </w:r>
      <w:r>
        <w:rPr>
          <w:spacing w:val="-7"/>
        </w:rPr>
        <w:t> </w:t>
      </w:r>
      <w:r>
        <w:rPr/>
        <w:t>inflamación y el dolor postquirúrgico.</w:t>
      </w:r>
    </w:p>
    <w:p>
      <w:pPr>
        <w:pStyle w:val="BodyText"/>
        <w:spacing w:line="360" w:lineRule="auto" w:before="240"/>
      </w:pPr>
      <w:r>
        <w:rPr>
          <w:b/>
        </w:rPr>
        <w:t>Conducta</w:t>
      </w:r>
      <w:r>
        <w:rPr>
          <w:b/>
          <w:spacing w:val="80"/>
          <w:w w:val="150"/>
        </w:rPr>
        <w:t> </w:t>
      </w:r>
      <w:r>
        <w:rPr>
          <w:b/>
        </w:rPr>
        <w:t>aberrante:</w:t>
      </w:r>
      <w:r>
        <w:rPr>
          <w:b/>
          <w:spacing w:val="80"/>
          <w:w w:val="150"/>
        </w:rPr>
        <w:t> </w:t>
      </w:r>
      <w:r>
        <w:rPr/>
        <w:t>Indicadores</w:t>
      </w:r>
      <w:r>
        <w:rPr>
          <w:spacing w:val="80"/>
          <w:w w:val="150"/>
        </w:rPr>
        <w:t> </w:t>
      </w:r>
      <w:r>
        <w:rPr/>
        <w:t>etológicos</w:t>
      </w:r>
      <w:r>
        <w:rPr>
          <w:spacing w:val="80"/>
          <w:w w:val="150"/>
        </w:rPr>
        <w:t> </w:t>
      </w:r>
      <w:r>
        <w:rPr/>
        <w:t>como</w:t>
      </w:r>
      <w:r>
        <w:rPr>
          <w:spacing w:val="80"/>
          <w:w w:val="150"/>
        </w:rPr>
        <w:t> </w:t>
      </w:r>
      <w:r>
        <w:rPr/>
        <w:t>sacudidas</w:t>
      </w:r>
      <w:r>
        <w:rPr>
          <w:spacing w:val="80"/>
          <w:w w:val="150"/>
        </w:rPr>
        <w:t> </w:t>
      </w:r>
      <w:r>
        <w:rPr/>
        <w:t>de</w:t>
      </w:r>
      <w:r>
        <w:rPr>
          <w:spacing w:val="80"/>
          <w:w w:val="150"/>
        </w:rPr>
        <w:t> </w:t>
      </w:r>
      <w:r>
        <w:rPr/>
        <w:t>cabeza, frotamiento o disminución en el consumo de alimento.</w:t>
      </w:r>
    </w:p>
    <w:p>
      <w:pPr>
        <w:spacing w:before="241"/>
        <w:ind w:left="1135" w:right="0" w:firstLine="0"/>
        <w:jc w:val="left"/>
        <w:rPr>
          <w:sz w:val="24"/>
        </w:rPr>
      </w:pPr>
      <w:r>
        <w:rPr>
          <w:b/>
          <w:sz w:val="24"/>
        </w:rPr>
        <w:t>Consumo</w:t>
      </w:r>
      <w:r>
        <w:rPr>
          <w:b/>
          <w:spacing w:val="-3"/>
          <w:sz w:val="24"/>
        </w:rPr>
        <w:t> </w:t>
      </w:r>
      <w:r>
        <w:rPr>
          <w:b/>
          <w:sz w:val="24"/>
        </w:rPr>
        <w:t>residual: </w:t>
      </w:r>
      <w:r>
        <w:rPr>
          <w:sz w:val="24"/>
        </w:rPr>
        <w:t>Reducción</w:t>
      </w:r>
      <w:r>
        <w:rPr>
          <w:spacing w:val="-1"/>
          <w:sz w:val="24"/>
        </w:rPr>
        <w:t> </w:t>
      </w:r>
      <w:r>
        <w:rPr>
          <w:sz w:val="24"/>
        </w:rPr>
        <w:t>en</w:t>
      </w:r>
      <w:r>
        <w:rPr>
          <w:spacing w:val="-1"/>
          <w:sz w:val="24"/>
        </w:rPr>
        <w:t> </w:t>
      </w:r>
      <w:r>
        <w:rPr>
          <w:sz w:val="24"/>
        </w:rPr>
        <w:t>la</w:t>
      </w:r>
      <w:r>
        <w:rPr>
          <w:spacing w:val="-1"/>
          <w:sz w:val="24"/>
        </w:rPr>
        <w:t> </w:t>
      </w:r>
      <w:r>
        <w:rPr>
          <w:sz w:val="24"/>
        </w:rPr>
        <w:t>ingesta</w:t>
      </w:r>
      <w:r>
        <w:rPr>
          <w:spacing w:val="-1"/>
          <w:sz w:val="24"/>
        </w:rPr>
        <w:t> </w:t>
      </w:r>
      <w:r>
        <w:rPr>
          <w:sz w:val="24"/>
        </w:rPr>
        <w:t>diaria</w:t>
      </w:r>
      <w:r>
        <w:rPr>
          <w:spacing w:val="-2"/>
          <w:sz w:val="24"/>
        </w:rPr>
        <w:t> </w:t>
      </w:r>
      <w:r>
        <w:rPr>
          <w:sz w:val="24"/>
        </w:rPr>
        <w:t>tras</w:t>
      </w:r>
      <w:r>
        <w:rPr>
          <w:spacing w:val="-1"/>
          <w:sz w:val="24"/>
        </w:rPr>
        <w:t> </w:t>
      </w:r>
      <w:r>
        <w:rPr>
          <w:sz w:val="24"/>
        </w:rPr>
        <w:t>procedimientos </w:t>
      </w:r>
      <w:r>
        <w:rPr>
          <w:spacing w:val="-2"/>
          <w:sz w:val="24"/>
        </w:rPr>
        <w:t>dolorosos.</w:t>
      </w:r>
    </w:p>
    <w:p>
      <w:pPr>
        <w:pStyle w:val="BodyText"/>
        <w:spacing w:before="101"/>
        <w:ind w:left="0"/>
      </w:pPr>
    </w:p>
    <w:p>
      <w:pPr>
        <w:pStyle w:val="BodyText"/>
        <w:spacing w:line="360" w:lineRule="auto"/>
      </w:pPr>
      <w:r>
        <w:rPr>
          <w:b/>
        </w:rPr>
        <w:t>Cortisol: </w:t>
      </w:r>
      <w:r>
        <w:rPr/>
        <w:t>Hormona glucocorticoide que se eleva tras el descorne</w:t>
      </w:r>
      <w:r>
        <w:rPr>
          <w:spacing w:val="25"/>
        </w:rPr>
        <w:t> </w:t>
      </w:r>
      <w:r>
        <w:rPr/>
        <w:t>y se usa como</w:t>
      </w:r>
      <w:r>
        <w:rPr>
          <w:spacing w:val="80"/>
        </w:rPr>
        <w:t> </w:t>
      </w:r>
      <w:r>
        <w:rPr/>
        <w:t>biomarcador de estrés.</w:t>
      </w:r>
    </w:p>
    <w:p>
      <w:pPr>
        <w:spacing w:line="360" w:lineRule="auto" w:before="240"/>
        <w:ind w:left="1135" w:right="0" w:firstLine="0"/>
        <w:jc w:val="left"/>
        <w:rPr>
          <w:sz w:val="24"/>
        </w:rPr>
      </w:pPr>
      <w:r>
        <w:rPr>
          <w:b/>
          <w:sz w:val="24"/>
        </w:rPr>
        <w:t>Edema postquirúrgico: </w:t>
      </w:r>
      <w:r>
        <w:rPr>
          <w:sz w:val="24"/>
        </w:rPr>
        <w:t>Acumulación de líquido en el sitio de descorne debido a inflamación vascular.</w:t>
      </w:r>
    </w:p>
    <w:p>
      <w:pPr>
        <w:pStyle w:val="BodyText"/>
        <w:spacing w:before="240"/>
      </w:pPr>
      <w:r>
        <w:rPr>
          <w:b/>
        </w:rPr>
        <w:t>Endorfinas:</w:t>
      </w:r>
      <w:r>
        <w:rPr>
          <w:b/>
          <w:spacing w:val="-1"/>
        </w:rPr>
        <w:t> </w:t>
      </w:r>
      <w:r>
        <w:rPr/>
        <w:t>Péptidos</w:t>
      </w:r>
      <w:r>
        <w:rPr>
          <w:spacing w:val="1"/>
        </w:rPr>
        <w:t> </w:t>
      </w:r>
      <w:r>
        <w:rPr/>
        <w:t>endógenos</w:t>
      </w:r>
      <w:r>
        <w:rPr>
          <w:spacing w:val="3"/>
        </w:rPr>
        <w:t> </w:t>
      </w:r>
      <w:r>
        <w:rPr/>
        <w:t>que</w:t>
      </w:r>
      <w:r>
        <w:rPr>
          <w:spacing w:val="2"/>
        </w:rPr>
        <w:t> </w:t>
      </w:r>
      <w:r>
        <w:rPr/>
        <w:t>se</w:t>
      </w:r>
      <w:r>
        <w:rPr>
          <w:spacing w:val="-1"/>
        </w:rPr>
        <w:t> </w:t>
      </w:r>
      <w:r>
        <w:rPr/>
        <w:t>unen</w:t>
      </w:r>
      <w:r>
        <w:rPr>
          <w:spacing w:val="3"/>
        </w:rPr>
        <w:t> </w:t>
      </w:r>
      <w:r>
        <w:rPr/>
        <w:t>a</w:t>
      </w:r>
      <w:r>
        <w:rPr>
          <w:spacing w:val="2"/>
        </w:rPr>
        <w:t> </w:t>
      </w:r>
      <w:r>
        <w:rPr/>
        <w:t>receptores</w:t>
      </w:r>
      <w:r>
        <w:rPr>
          <w:spacing w:val="3"/>
        </w:rPr>
        <w:t> </w:t>
      </w:r>
      <w:r>
        <w:rPr/>
        <w:t>opioides</w:t>
      </w:r>
      <w:r>
        <w:rPr>
          <w:spacing w:val="1"/>
        </w:rPr>
        <w:t> </w:t>
      </w:r>
      <w:r>
        <w:rPr>
          <w:spacing w:val="-2"/>
        </w:rPr>
        <w:t>disminuyendo</w:t>
      </w:r>
    </w:p>
    <w:p>
      <w:pPr>
        <w:pStyle w:val="BodyText"/>
        <w:spacing w:after="0"/>
        <w:sectPr>
          <w:footerReference w:type="default" r:id="rId56"/>
          <w:pgSz w:w="11900" w:h="16860"/>
          <w:pgMar w:header="0" w:footer="0" w:top="1620" w:bottom="280" w:left="1133" w:right="850"/>
        </w:sectPr>
      </w:pPr>
    </w:p>
    <w:p>
      <w:pPr>
        <w:pStyle w:val="BodyText"/>
        <w:spacing w:before="70"/>
      </w:pPr>
      <w:r>
        <w:rPr/>
        <w:t>la</w:t>
      </w:r>
      <w:r>
        <w:rPr>
          <w:spacing w:val="-2"/>
        </w:rPr>
        <w:t> </w:t>
      </w:r>
      <w:r>
        <w:rPr/>
        <w:t>percepción</w:t>
      </w:r>
      <w:r>
        <w:rPr>
          <w:spacing w:val="-2"/>
        </w:rPr>
        <w:t> dolorosa.</w:t>
      </w:r>
    </w:p>
    <w:p>
      <w:pPr>
        <w:pStyle w:val="BodyText"/>
        <w:spacing w:before="101"/>
        <w:ind w:left="0"/>
      </w:pPr>
    </w:p>
    <w:p>
      <w:pPr>
        <w:pStyle w:val="BodyText"/>
        <w:spacing w:line="360" w:lineRule="auto"/>
        <w:ind w:right="793"/>
      </w:pPr>
      <w:r>
        <w:rPr>
          <w:b/>
        </w:rPr>
        <w:t>Farmacocinética: </w:t>
      </w:r>
      <w:r>
        <w:rPr/>
        <w:t>Estudio de</w:t>
      </w:r>
      <w:r>
        <w:rPr>
          <w:spacing w:val="-2"/>
        </w:rPr>
        <w:t> </w:t>
      </w:r>
      <w:r>
        <w:rPr/>
        <w:t>la</w:t>
      </w:r>
      <w:r>
        <w:rPr>
          <w:spacing w:val="-1"/>
        </w:rPr>
        <w:t> </w:t>
      </w:r>
      <w:r>
        <w:rPr/>
        <w:t>absorción, distribución, metabolismo y</w:t>
      </w:r>
      <w:r>
        <w:rPr>
          <w:spacing w:val="-5"/>
        </w:rPr>
        <w:t> </w:t>
      </w:r>
      <w:r>
        <w:rPr/>
        <w:t>excreción de fármacos usados en analgesia.</w:t>
      </w:r>
    </w:p>
    <w:p>
      <w:pPr>
        <w:pStyle w:val="BodyText"/>
        <w:spacing w:line="360" w:lineRule="auto" w:before="240"/>
        <w:ind w:right="849" w:firstLine="60"/>
      </w:pPr>
      <w:r>
        <w:rPr>
          <w:b/>
        </w:rPr>
        <w:t>Farmacodinámica: </w:t>
      </w:r>
      <w:r>
        <w:rPr/>
        <w:t>Mecanismos de acción de los fármacos sobre el organismo, en este caso analgésicos y antiinflamatorios.</w:t>
      </w:r>
    </w:p>
    <w:p>
      <w:pPr>
        <w:pStyle w:val="BodyText"/>
        <w:spacing w:line="362" w:lineRule="auto" w:before="240"/>
        <w:ind w:right="847"/>
      </w:pPr>
      <w:r>
        <w:rPr>
          <w:b/>
        </w:rPr>
        <w:t>Fibroplasia:</w:t>
      </w:r>
      <w:r>
        <w:rPr>
          <w:b/>
          <w:spacing w:val="-5"/>
        </w:rPr>
        <w:t> </w:t>
      </w:r>
      <w:r>
        <w:rPr/>
        <w:t>Producción</w:t>
      </w:r>
      <w:r>
        <w:rPr>
          <w:spacing w:val="-5"/>
        </w:rPr>
        <w:t> </w:t>
      </w:r>
      <w:r>
        <w:rPr/>
        <w:t>de</w:t>
      </w:r>
      <w:r>
        <w:rPr>
          <w:spacing w:val="-5"/>
        </w:rPr>
        <w:t> </w:t>
      </w:r>
      <w:r>
        <w:rPr/>
        <w:t>colágeno</w:t>
      </w:r>
      <w:r>
        <w:rPr>
          <w:spacing w:val="-5"/>
        </w:rPr>
        <w:t> </w:t>
      </w:r>
      <w:r>
        <w:rPr/>
        <w:t>por</w:t>
      </w:r>
      <w:r>
        <w:rPr>
          <w:spacing w:val="-6"/>
        </w:rPr>
        <w:t> </w:t>
      </w:r>
      <w:r>
        <w:rPr/>
        <w:t>fibroblastos</w:t>
      </w:r>
      <w:r>
        <w:rPr>
          <w:spacing w:val="-5"/>
        </w:rPr>
        <w:t> </w:t>
      </w:r>
      <w:r>
        <w:rPr/>
        <w:t>durante</w:t>
      </w:r>
      <w:r>
        <w:rPr>
          <w:spacing w:val="-5"/>
        </w:rPr>
        <w:t> </w:t>
      </w:r>
      <w:r>
        <w:rPr/>
        <w:t>la</w:t>
      </w:r>
      <w:r>
        <w:rPr>
          <w:spacing w:val="-6"/>
        </w:rPr>
        <w:t> </w:t>
      </w:r>
      <w:r>
        <w:rPr/>
        <w:t>reparación</w:t>
      </w:r>
      <w:r>
        <w:rPr>
          <w:spacing w:val="-5"/>
        </w:rPr>
        <w:t> </w:t>
      </w:r>
      <w:r>
        <w:rPr/>
        <w:t>tisular </w:t>
      </w:r>
      <w:r>
        <w:rPr>
          <w:spacing w:val="-2"/>
        </w:rPr>
        <w:t>post-descorne.</w:t>
      </w:r>
    </w:p>
    <w:p>
      <w:pPr>
        <w:pStyle w:val="BodyText"/>
        <w:spacing w:line="360" w:lineRule="auto" w:before="236"/>
        <w:ind w:right="793"/>
      </w:pPr>
      <w:r>
        <w:rPr>
          <w:b/>
        </w:rPr>
        <w:t>Glucocorticoides:</w:t>
      </w:r>
      <w:r>
        <w:rPr>
          <w:b/>
          <w:spacing w:val="80"/>
        </w:rPr>
        <w:t> </w:t>
      </w:r>
      <w:r>
        <w:rPr/>
        <w:t>Potentes</w:t>
      </w:r>
      <w:r>
        <w:rPr>
          <w:spacing w:val="80"/>
        </w:rPr>
        <w:t> </w:t>
      </w:r>
      <w:r>
        <w:rPr/>
        <w:t>antiinflamatorios</w:t>
      </w:r>
      <w:r>
        <w:rPr>
          <w:spacing w:val="80"/>
        </w:rPr>
        <w:t> </w:t>
      </w:r>
      <w:r>
        <w:rPr/>
        <w:t>que</w:t>
      </w:r>
      <w:r>
        <w:rPr>
          <w:spacing w:val="80"/>
        </w:rPr>
        <w:t> </w:t>
      </w:r>
      <w:r>
        <w:rPr/>
        <w:t>inhiben</w:t>
      </w:r>
      <w:r>
        <w:rPr>
          <w:spacing w:val="80"/>
        </w:rPr>
        <w:t> </w:t>
      </w:r>
      <w:r>
        <w:rPr/>
        <w:t>la</w:t>
      </w:r>
      <w:r>
        <w:rPr>
          <w:spacing w:val="80"/>
        </w:rPr>
        <w:t> </w:t>
      </w:r>
      <w:r>
        <w:rPr/>
        <w:t>expresión</w:t>
      </w:r>
      <w:r>
        <w:rPr>
          <w:spacing w:val="80"/>
        </w:rPr>
        <w:t> </w:t>
      </w:r>
      <w:r>
        <w:rPr/>
        <w:t>de</w:t>
      </w:r>
      <w:r>
        <w:rPr>
          <w:spacing w:val="80"/>
        </w:rPr>
        <w:t> </w:t>
      </w:r>
      <w:r>
        <w:rPr/>
        <w:t>citoquinas y mediadores inflamatorios.</w:t>
      </w:r>
    </w:p>
    <w:p>
      <w:pPr>
        <w:pStyle w:val="BodyText"/>
        <w:spacing w:line="360" w:lineRule="auto" w:before="240"/>
        <w:ind w:right="793"/>
      </w:pPr>
      <w:r>
        <w:rPr>
          <w:b/>
        </w:rPr>
        <w:t>Hiperalgesia:</w:t>
      </w:r>
      <w:r>
        <w:rPr>
          <w:b/>
          <w:spacing w:val="-1"/>
        </w:rPr>
        <w:t> </w:t>
      </w:r>
      <w:r>
        <w:rPr/>
        <w:t>Aumento de</w:t>
      </w:r>
      <w:r>
        <w:rPr>
          <w:spacing w:val="-3"/>
        </w:rPr>
        <w:t> </w:t>
      </w:r>
      <w:r>
        <w:rPr/>
        <w:t>la</w:t>
      </w:r>
      <w:r>
        <w:rPr>
          <w:spacing w:val="-3"/>
        </w:rPr>
        <w:t> </w:t>
      </w:r>
      <w:r>
        <w:rPr/>
        <w:t>sensibilidad</w:t>
      </w:r>
      <w:r>
        <w:rPr>
          <w:spacing w:val="-2"/>
        </w:rPr>
        <w:t> </w:t>
      </w:r>
      <w:r>
        <w:rPr/>
        <w:t>al</w:t>
      </w:r>
      <w:r>
        <w:rPr>
          <w:spacing w:val="-2"/>
        </w:rPr>
        <w:t> </w:t>
      </w:r>
      <w:r>
        <w:rPr/>
        <w:t>dolor</w:t>
      </w:r>
      <w:r>
        <w:rPr>
          <w:spacing w:val="-3"/>
        </w:rPr>
        <w:t> </w:t>
      </w:r>
      <w:r>
        <w:rPr/>
        <w:t>tras</w:t>
      </w:r>
      <w:r>
        <w:rPr>
          <w:spacing w:val="-2"/>
        </w:rPr>
        <w:t> </w:t>
      </w:r>
      <w:r>
        <w:rPr/>
        <w:t>un</w:t>
      </w:r>
      <w:r>
        <w:rPr>
          <w:spacing w:val="-2"/>
        </w:rPr>
        <w:t> </w:t>
      </w:r>
      <w:r>
        <w:rPr/>
        <w:t>procedimiento</w:t>
      </w:r>
      <w:r>
        <w:rPr>
          <w:spacing w:val="-2"/>
        </w:rPr>
        <w:t> </w:t>
      </w:r>
      <w:r>
        <w:rPr/>
        <w:t>doloroso como el descorne.</w:t>
      </w:r>
    </w:p>
    <w:p>
      <w:pPr>
        <w:spacing w:line="360" w:lineRule="auto" w:before="240"/>
        <w:ind w:left="1135" w:right="793" w:firstLine="0"/>
        <w:jc w:val="left"/>
        <w:rPr>
          <w:sz w:val="24"/>
        </w:rPr>
      </w:pPr>
      <w:r>
        <w:rPr>
          <w:b/>
          <w:sz w:val="24"/>
        </w:rPr>
        <w:t>Hiporrexia</w:t>
      </w:r>
      <w:r>
        <w:rPr>
          <w:b/>
          <w:spacing w:val="40"/>
          <w:sz w:val="24"/>
        </w:rPr>
        <w:t> </w:t>
      </w:r>
      <w:r>
        <w:rPr>
          <w:b/>
          <w:sz w:val="24"/>
        </w:rPr>
        <w:t>alimentaria:</w:t>
      </w:r>
      <w:r>
        <w:rPr>
          <w:b/>
          <w:spacing w:val="40"/>
          <w:sz w:val="24"/>
        </w:rPr>
        <w:t> </w:t>
      </w:r>
      <w:r>
        <w:rPr>
          <w:sz w:val="24"/>
        </w:rPr>
        <w:t>Parámetro</w:t>
      </w:r>
      <w:r>
        <w:rPr>
          <w:spacing w:val="40"/>
          <w:sz w:val="24"/>
        </w:rPr>
        <w:t> </w:t>
      </w:r>
      <w:r>
        <w:rPr>
          <w:sz w:val="24"/>
        </w:rPr>
        <w:t>productivo</w:t>
      </w:r>
      <w:r>
        <w:rPr>
          <w:spacing w:val="40"/>
          <w:sz w:val="24"/>
        </w:rPr>
        <w:t> </w:t>
      </w:r>
      <w:r>
        <w:rPr>
          <w:sz w:val="24"/>
        </w:rPr>
        <w:t>afectado</w:t>
      </w:r>
      <w:r>
        <w:rPr>
          <w:spacing w:val="40"/>
          <w:sz w:val="24"/>
        </w:rPr>
        <w:t> </w:t>
      </w:r>
      <w:r>
        <w:rPr>
          <w:sz w:val="24"/>
        </w:rPr>
        <w:t>negativamente</w:t>
      </w:r>
      <w:r>
        <w:rPr>
          <w:spacing w:val="40"/>
          <w:sz w:val="24"/>
        </w:rPr>
        <w:t> </w:t>
      </w:r>
      <w:r>
        <w:rPr>
          <w:sz w:val="24"/>
        </w:rPr>
        <w:t>por</w:t>
      </w:r>
      <w:r>
        <w:rPr>
          <w:spacing w:val="40"/>
          <w:sz w:val="24"/>
        </w:rPr>
        <w:t> </w:t>
      </w:r>
      <w:r>
        <w:rPr>
          <w:sz w:val="24"/>
        </w:rPr>
        <w:t>el dolor no controlado.</w:t>
      </w:r>
    </w:p>
    <w:p>
      <w:pPr>
        <w:pStyle w:val="BodyText"/>
        <w:spacing w:line="360" w:lineRule="auto" w:before="240"/>
      </w:pPr>
      <w:r>
        <w:rPr>
          <w:b/>
        </w:rPr>
        <w:t>Inmunomodulación: </w:t>
      </w:r>
      <w:r>
        <w:rPr/>
        <w:t>Alteración</w:t>
      </w:r>
      <w:r>
        <w:rPr>
          <w:spacing w:val="-1"/>
        </w:rPr>
        <w:t> </w:t>
      </w:r>
      <w:r>
        <w:rPr/>
        <w:t>de</w:t>
      </w:r>
      <w:r>
        <w:rPr>
          <w:spacing w:val="-2"/>
        </w:rPr>
        <w:t> </w:t>
      </w:r>
      <w:r>
        <w:rPr/>
        <w:t>la respuesta inmune</w:t>
      </w:r>
      <w:r>
        <w:rPr>
          <w:spacing w:val="-2"/>
        </w:rPr>
        <w:t> </w:t>
      </w:r>
      <w:r>
        <w:rPr/>
        <w:t>inducida</w:t>
      </w:r>
      <w:r>
        <w:rPr>
          <w:spacing w:val="-2"/>
        </w:rPr>
        <w:t> </w:t>
      </w:r>
      <w:r>
        <w:rPr/>
        <w:t>por el</w:t>
      </w:r>
      <w:r>
        <w:rPr>
          <w:spacing w:val="-1"/>
        </w:rPr>
        <w:t> </w:t>
      </w:r>
      <w:r>
        <w:rPr/>
        <w:t>dolor</w:t>
      </w:r>
      <w:r>
        <w:rPr>
          <w:spacing w:val="-2"/>
        </w:rPr>
        <w:t> </w:t>
      </w:r>
      <w:r>
        <w:rPr/>
        <w:t>o</w:t>
      </w:r>
      <w:r>
        <w:rPr>
          <w:spacing w:val="-1"/>
        </w:rPr>
        <w:t> </w:t>
      </w:r>
      <w:r>
        <w:rPr/>
        <w:t>la inflamación postquirúrgica.</w:t>
      </w:r>
    </w:p>
    <w:p>
      <w:pPr>
        <w:pStyle w:val="BodyText"/>
        <w:spacing w:line="360" w:lineRule="auto" w:before="240"/>
      </w:pPr>
      <w:r>
        <w:rPr>
          <w:b/>
        </w:rPr>
        <w:t>Lidocaína:</w:t>
      </w:r>
      <w:r>
        <w:rPr>
          <w:b/>
          <w:spacing w:val="80"/>
          <w:w w:val="150"/>
        </w:rPr>
        <w:t> </w:t>
      </w:r>
      <w:r>
        <w:rPr/>
        <w:t>Anestésico</w:t>
      </w:r>
      <w:r>
        <w:rPr>
          <w:spacing w:val="80"/>
          <w:w w:val="150"/>
        </w:rPr>
        <w:t> </w:t>
      </w:r>
      <w:r>
        <w:rPr/>
        <w:t>local</w:t>
      </w:r>
      <w:r>
        <w:rPr>
          <w:spacing w:val="80"/>
          <w:w w:val="150"/>
        </w:rPr>
        <w:t> </w:t>
      </w:r>
      <w:r>
        <w:rPr/>
        <w:t>que</w:t>
      </w:r>
      <w:r>
        <w:rPr>
          <w:spacing w:val="80"/>
          <w:w w:val="150"/>
        </w:rPr>
        <w:t> </w:t>
      </w:r>
      <w:r>
        <w:rPr/>
        <w:t>actúa</w:t>
      </w:r>
      <w:r>
        <w:rPr>
          <w:spacing w:val="80"/>
          <w:w w:val="150"/>
        </w:rPr>
        <w:t> </w:t>
      </w:r>
      <w:r>
        <w:rPr/>
        <w:t>bloqueando</w:t>
      </w:r>
      <w:r>
        <w:rPr>
          <w:spacing w:val="80"/>
          <w:w w:val="150"/>
        </w:rPr>
        <w:t> </w:t>
      </w:r>
      <w:r>
        <w:rPr/>
        <w:t>los</w:t>
      </w:r>
      <w:r>
        <w:rPr>
          <w:spacing w:val="80"/>
          <w:w w:val="150"/>
        </w:rPr>
        <w:t> </w:t>
      </w:r>
      <w:r>
        <w:rPr/>
        <w:t>canales</w:t>
      </w:r>
      <w:r>
        <w:rPr>
          <w:spacing w:val="80"/>
          <w:w w:val="150"/>
        </w:rPr>
        <w:t> </w:t>
      </w:r>
      <w:r>
        <w:rPr/>
        <w:t>de</w:t>
      </w:r>
      <w:r>
        <w:rPr>
          <w:spacing w:val="80"/>
          <w:w w:val="150"/>
        </w:rPr>
        <w:t> </w:t>
      </w:r>
      <w:r>
        <w:rPr/>
        <w:t>sodio dependientes de voltaje, impidiendo la conducción nerviosa.</w:t>
      </w:r>
    </w:p>
    <w:p>
      <w:pPr>
        <w:pStyle w:val="BodyText"/>
        <w:spacing w:line="360" w:lineRule="auto" w:before="240"/>
      </w:pPr>
      <w:r>
        <w:rPr>
          <w:b/>
        </w:rPr>
        <w:t>Meloxicam:</w:t>
      </w:r>
      <w:r>
        <w:rPr>
          <w:b/>
          <w:spacing w:val="75"/>
        </w:rPr>
        <w:t> </w:t>
      </w:r>
      <w:r>
        <w:rPr/>
        <w:t>AINE</w:t>
      </w:r>
      <w:r>
        <w:rPr>
          <w:spacing w:val="40"/>
        </w:rPr>
        <w:t> </w:t>
      </w:r>
      <w:r>
        <w:rPr/>
        <w:t>selectivo</w:t>
      </w:r>
      <w:r>
        <w:rPr>
          <w:spacing w:val="40"/>
        </w:rPr>
        <w:t> </w:t>
      </w:r>
      <w:r>
        <w:rPr/>
        <w:t>COX-2</w:t>
      </w:r>
      <w:r>
        <w:rPr>
          <w:spacing w:val="40"/>
        </w:rPr>
        <w:t> </w:t>
      </w:r>
      <w:r>
        <w:rPr/>
        <w:t>utilizado</w:t>
      </w:r>
      <w:r>
        <w:rPr>
          <w:spacing w:val="74"/>
        </w:rPr>
        <w:t> </w:t>
      </w:r>
      <w:r>
        <w:rPr/>
        <w:t>en</w:t>
      </w:r>
      <w:r>
        <w:rPr>
          <w:spacing w:val="40"/>
        </w:rPr>
        <w:t> </w:t>
      </w:r>
      <w:r>
        <w:rPr/>
        <w:t>terneros</w:t>
      </w:r>
      <w:r>
        <w:rPr>
          <w:spacing w:val="40"/>
        </w:rPr>
        <w:t> </w:t>
      </w:r>
      <w:r>
        <w:rPr/>
        <w:t>para</w:t>
      </w:r>
      <w:r>
        <w:rPr>
          <w:spacing w:val="76"/>
        </w:rPr>
        <w:t> </w:t>
      </w:r>
      <w:r>
        <w:rPr/>
        <w:t>disminuir</w:t>
      </w:r>
      <w:r>
        <w:rPr>
          <w:spacing w:val="40"/>
        </w:rPr>
        <w:t> </w:t>
      </w:r>
      <w:r>
        <w:rPr/>
        <w:t>la inflamación y mejorar el bienestar tras descorne.</w:t>
      </w:r>
    </w:p>
    <w:p>
      <w:pPr>
        <w:pStyle w:val="BodyText"/>
        <w:spacing w:line="360" w:lineRule="auto" w:before="241"/>
      </w:pPr>
      <w:r>
        <w:rPr>
          <w:b/>
        </w:rPr>
        <w:t>Neovascularización:</w:t>
      </w:r>
      <w:r>
        <w:rPr>
          <w:b/>
          <w:spacing w:val="80"/>
        </w:rPr>
        <w:t> </w:t>
      </w:r>
      <w:r>
        <w:rPr/>
        <w:t>Formación</w:t>
      </w:r>
      <w:r>
        <w:rPr>
          <w:spacing w:val="80"/>
        </w:rPr>
        <w:t> </w:t>
      </w:r>
      <w:r>
        <w:rPr/>
        <w:t>de</w:t>
      </w:r>
      <w:r>
        <w:rPr>
          <w:spacing w:val="80"/>
        </w:rPr>
        <w:t> </w:t>
      </w:r>
      <w:r>
        <w:rPr/>
        <w:t>nuevos</w:t>
      </w:r>
      <w:r>
        <w:rPr>
          <w:spacing w:val="80"/>
        </w:rPr>
        <w:t> </w:t>
      </w:r>
      <w:r>
        <w:rPr/>
        <w:t>vasos</w:t>
      </w:r>
      <w:r>
        <w:rPr>
          <w:spacing w:val="80"/>
        </w:rPr>
        <w:t> </w:t>
      </w:r>
      <w:r>
        <w:rPr/>
        <w:t>sanguíneos</w:t>
      </w:r>
      <w:r>
        <w:rPr>
          <w:spacing w:val="80"/>
        </w:rPr>
        <w:t> </w:t>
      </w:r>
      <w:r>
        <w:rPr/>
        <w:t>que</w:t>
      </w:r>
      <w:r>
        <w:rPr>
          <w:spacing w:val="80"/>
        </w:rPr>
        <w:t> </w:t>
      </w:r>
      <w:r>
        <w:rPr/>
        <w:t>permite</w:t>
      </w:r>
      <w:r>
        <w:rPr>
          <w:spacing w:val="40"/>
        </w:rPr>
        <w:t> </w:t>
      </w:r>
      <w:r>
        <w:rPr/>
        <w:t>cicatrización más rápida de la herida.</w:t>
      </w:r>
    </w:p>
    <w:p>
      <w:pPr>
        <w:pStyle w:val="BodyText"/>
        <w:spacing w:line="360" w:lineRule="auto" w:before="240"/>
        <w:ind w:right="793"/>
      </w:pPr>
      <w:r>
        <w:rPr>
          <w:b/>
        </w:rPr>
        <w:t>Nociceptores:</w:t>
      </w:r>
      <w:r>
        <w:rPr>
          <w:b/>
          <w:spacing w:val="40"/>
        </w:rPr>
        <w:t> </w:t>
      </w:r>
      <w:r>
        <w:rPr/>
        <w:t>Terminaciones</w:t>
      </w:r>
      <w:r>
        <w:rPr>
          <w:spacing w:val="40"/>
        </w:rPr>
        <w:t> </w:t>
      </w:r>
      <w:r>
        <w:rPr/>
        <w:t>nerviosas</w:t>
      </w:r>
      <w:r>
        <w:rPr>
          <w:spacing w:val="40"/>
        </w:rPr>
        <w:t> </w:t>
      </w:r>
      <w:r>
        <w:rPr/>
        <w:t>especializadas</w:t>
      </w:r>
      <w:r>
        <w:rPr>
          <w:spacing w:val="40"/>
        </w:rPr>
        <w:t> </w:t>
      </w:r>
      <w:r>
        <w:rPr/>
        <w:t>que</w:t>
      </w:r>
      <w:r>
        <w:rPr>
          <w:spacing w:val="40"/>
        </w:rPr>
        <w:t> </w:t>
      </w:r>
      <w:r>
        <w:rPr/>
        <w:t>detectan</w:t>
      </w:r>
      <w:r>
        <w:rPr>
          <w:spacing w:val="40"/>
        </w:rPr>
        <w:t> </w:t>
      </w:r>
      <w:r>
        <w:rPr/>
        <w:t>estímulos dolorosos y los transmiten al sistema nervioso central.</w:t>
      </w:r>
    </w:p>
    <w:p>
      <w:pPr>
        <w:pStyle w:val="BodyText"/>
        <w:spacing w:line="360" w:lineRule="auto" w:before="240"/>
        <w:ind w:right="849"/>
      </w:pPr>
      <w:r>
        <w:rPr>
          <w:b/>
        </w:rPr>
        <w:t>Opioides:</w:t>
      </w:r>
      <w:r>
        <w:rPr>
          <w:b/>
          <w:spacing w:val="-11"/>
        </w:rPr>
        <w:t> </w:t>
      </w:r>
      <w:r>
        <w:rPr/>
        <w:t>Fármacos</w:t>
      </w:r>
      <w:r>
        <w:rPr>
          <w:spacing w:val="-9"/>
        </w:rPr>
        <w:t> </w:t>
      </w:r>
      <w:r>
        <w:rPr/>
        <w:t>analgésicos</w:t>
      </w:r>
      <w:r>
        <w:rPr>
          <w:spacing w:val="-10"/>
        </w:rPr>
        <w:t> </w:t>
      </w:r>
      <w:r>
        <w:rPr/>
        <w:t>que</w:t>
      </w:r>
      <w:r>
        <w:rPr>
          <w:spacing w:val="-10"/>
        </w:rPr>
        <w:t> </w:t>
      </w:r>
      <w:r>
        <w:rPr/>
        <w:t>actúan</w:t>
      </w:r>
      <w:r>
        <w:rPr>
          <w:spacing w:val="-10"/>
        </w:rPr>
        <w:t> </w:t>
      </w:r>
      <w:r>
        <w:rPr/>
        <w:t>sobre</w:t>
      </w:r>
      <w:r>
        <w:rPr>
          <w:spacing w:val="-9"/>
        </w:rPr>
        <w:t> </w:t>
      </w:r>
      <w:r>
        <w:rPr/>
        <w:t>receptores</w:t>
      </w:r>
      <w:r>
        <w:rPr>
          <w:spacing w:val="-11"/>
        </w:rPr>
        <w:t> </w:t>
      </w:r>
      <w:r>
        <w:rPr/>
        <w:t>μ,</w:t>
      </w:r>
      <w:r>
        <w:rPr>
          <w:spacing w:val="-12"/>
        </w:rPr>
        <w:t> </w:t>
      </w:r>
      <w:r>
        <w:rPr/>
        <w:t>δ</w:t>
      </w:r>
      <w:r>
        <w:rPr>
          <w:spacing w:val="-5"/>
        </w:rPr>
        <w:t> </w:t>
      </w:r>
      <w:r>
        <w:rPr/>
        <w:t>y</w:t>
      </w:r>
      <w:r>
        <w:rPr>
          <w:spacing w:val="-15"/>
        </w:rPr>
        <w:t> </w:t>
      </w:r>
      <w:r>
        <w:rPr/>
        <w:t>κ</w:t>
      </w:r>
      <w:r>
        <w:rPr>
          <w:spacing w:val="-10"/>
        </w:rPr>
        <w:t> </w:t>
      </w:r>
      <w:r>
        <w:rPr/>
        <w:t>reduciendo</w:t>
      </w:r>
      <w:r>
        <w:rPr>
          <w:spacing w:val="-12"/>
        </w:rPr>
        <w:t> </w:t>
      </w:r>
      <w:r>
        <w:rPr/>
        <w:t>la percepción del dolor.</w:t>
      </w:r>
    </w:p>
    <w:p>
      <w:pPr>
        <w:pStyle w:val="BodyText"/>
        <w:spacing w:after="0" w:line="360" w:lineRule="auto"/>
        <w:sectPr>
          <w:footerReference w:type="default" r:id="rId57"/>
          <w:pgSz w:w="11900" w:h="16860"/>
          <w:pgMar w:header="0" w:footer="0" w:top="1620" w:bottom="280" w:left="1133" w:right="850"/>
        </w:sectPr>
      </w:pPr>
    </w:p>
    <w:p>
      <w:pPr>
        <w:pStyle w:val="BodyText"/>
        <w:spacing w:line="360" w:lineRule="auto" w:before="70"/>
        <w:ind w:right="793"/>
      </w:pPr>
      <w:r>
        <w:rPr>
          <w:b/>
        </w:rPr>
        <w:t>Prostaglandinas:</w:t>
      </w:r>
      <w:r>
        <w:rPr>
          <w:b/>
          <w:spacing w:val="40"/>
        </w:rPr>
        <w:t> </w:t>
      </w:r>
      <w:r>
        <w:rPr/>
        <w:t>Mediadores</w:t>
      </w:r>
      <w:r>
        <w:rPr>
          <w:spacing w:val="40"/>
        </w:rPr>
        <w:t> </w:t>
      </w:r>
      <w:r>
        <w:rPr/>
        <w:t>lipídicos</w:t>
      </w:r>
      <w:r>
        <w:rPr>
          <w:spacing w:val="40"/>
        </w:rPr>
        <w:t> </w:t>
      </w:r>
      <w:r>
        <w:rPr/>
        <w:t>derivados</w:t>
      </w:r>
      <w:r>
        <w:rPr>
          <w:spacing w:val="40"/>
        </w:rPr>
        <w:t> </w:t>
      </w:r>
      <w:r>
        <w:rPr/>
        <w:t>del</w:t>
      </w:r>
      <w:r>
        <w:rPr>
          <w:spacing w:val="40"/>
        </w:rPr>
        <w:t> </w:t>
      </w:r>
      <w:r>
        <w:rPr/>
        <w:t>ácido</w:t>
      </w:r>
      <w:r>
        <w:rPr>
          <w:spacing w:val="40"/>
        </w:rPr>
        <w:t> </w:t>
      </w:r>
      <w:r>
        <w:rPr/>
        <w:t>araquidónico</w:t>
      </w:r>
      <w:r>
        <w:rPr>
          <w:spacing w:val="40"/>
        </w:rPr>
        <w:t> </w:t>
      </w:r>
      <w:r>
        <w:rPr/>
        <w:t>que inducen inflamación y dolor postquirúrgico.</w:t>
      </w:r>
    </w:p>
    <w:p>
      <w:pPr>
        <w:spacing w:line="360" w:lineRule="auto" w:before="241"/>
        <w:ind w:left="1135" w:right="849" w:firstLine="0"/>
        <w:jc w:val="left"/>
        <w:rPr>
          <w:sz w:val="24"/>
        </w:rPr>
      </w:pPr>
      <w:r>
        <w:rPr>
          <w:b/>
          <w:sz w:val="24"/>
        </w:rPr>
        <w:t>Proteínas</w:t>
      </w:r>
      <w:r>
        <w:rPr>
          <w:b/>
          <w:spacing w:val="40"/>
          <w:sz w:val="24"/>
        </w:rPr>
        <w:t> </w:t>
      </w:r>
      <w:r>
        <w:rPr>
          <w:b/>
          <w:sz w:val="24"/>
        </w:rPr>
        <w:t>de</w:t>
      </w:r>
      <w:r>
        <w:rPr>
          <w:b/>
          <w:spacing w:val="40"/>
          <w:sz w:val="24"/>
        </w:rPr>
        <w:t> </w:t>
      </w:r>
      <w:r>
        <w:rPr>
          <w:b/>
          <w:sz w:val="24"/>
        </w:rPr>
        <w:t>fase</w:t>
      </w:r>
      <w:r>
        <w:rPr>
          <w:b/>
          <w:spacing w:val="40"/>
          <w:sz w:val="24"/>
        </w:rPr>
        <w:t> </w:t>
      </w:r>
      <w:r>
        <w:rPr>
          <w:b/>
          <w:sz w:val="24"/>
        </w:rPr>
        <w:t>aguda:</w:t>
      </w:r>
      <w:r>
        <w:rPr>
          <w:b/>
          <w:spacing w:val="40"/>
          <w:sz w:val="24"/>
        </w:rPr>
        <w:t> </w:t>
      </w:r>
      <w:r>
        <w:rPr>
          <w:sz w:val="24"/>
        </w:rPr>
        <w:t>Marcadores</w:t>
      </w:r>
      <w:r>
        <w:rPr>
          <w:spacing w:val="40"/>
          <w:sz w:val="24"/>
        </w:rPr>
        <w:t> </w:t>
      </w:r>
      <w:r>
        <w:rPr>
          <w:sz w:val="24"/>
        </w:rPr>
        <w:t>séricos</w:t>
      </w:r>
      <w:r>
        <w:rPr>
          <w:spacing w:val="40"/>
          <w:sz w:val="24"/>
        </w:rPr>
        <w:t> </w:t>
      </w:r>
      <w:r>
        <w:rPr>
          <w:sz w:val="24"/>
        </w:rPr>
        <w:t>(haptoglobina,</w:t>
      </w:r>
      <w:r>
        <w:rPr>
          <w:spacing w:val="40"/>
          <w:sz w:val="24"/>
        </w:rPr>
        <w:t> </w:t>
      </w:r>
      <w:r>
        <w:rPr>
          <w:sz w:val="24"/>
        </w:rPr>
        <w:t>amiloide</w:t>
      </w:r>
      <w:r>
        <w:rPr>
          <w:spacing w:val="40"/>
          <w:sz w:val="24"/>
        </w:rPr>
        <w:t> </w:t>
      </w:r>
      <w:r>
        <w:rPr>
          <w:sz w:val="24"/>
        </w:rPr>
        <w:t>A)</w:t>
      </w:r>
      <w:r>
        <w:rPr>
          <w:spacing w:val="40"/>
          <w:sz w:val="24"/>
        </w:rPr>
        <w:t> </w:t>
      </w:r>
      <w:r>
        <w:rPr>
          <w:sz w:val="24"/>
        </w:rPr>
        <w:t>que aumentan tras procesos dolorosos.</w:t>
      </w:r>
    </w:p>
    <w:p>
      <w:pPr>
        <w:pStyle w:val="BodyText"/>
        <w:spacing w:line="360" w:lineRule="auto" w:before="240"/>
        <w:ind w:right="793" w:firstLine="60"/>
      </w:pPr>
      <w:r>
        <w:rPr>
          <w:b/>
        </w:rPr>
        <w:t>Respuesta</w:t>
      </w:r>
      <w:r>
        <w:rPr>
          <w:b/>
          <w:spacing w:val="-4"/>
        </w:rPr>
        <w:t> </w:t>
      </w:r>
      <w:r>
        <w:rPr>
          <w:b/>
        </w:rPr>
        <w:t>simpática: </w:t>
      </w:r>
      <w:r>
        <w:rPr/>
        <w:t>Activación</w:t>
      </w:r>
      <w:r>
        <w:rPr>
          <w:spacing w:val="-3"/>
        </w:rPr>
        <w:t> </w:t>
      </w:r>
      <w:r>
        <w:rPr/>
        <w:t>del</w:t>
      </w:r>
      <w:r>
        <w:rPr>
          <w:spacing w:val="-3"/>
        </w:rPr>
        <w:t> </w:t>
      </w:r>
      <w:r>
        <w:rPr/>
        <w:t>sistema</w:t>
      </w:r>
      <w:r>
        <w:rPr>
          <w:spacing w:val="-4"/>
        </w:rPr>
        <w:t> </w:t>
      </w:r>
      <w:r>
        <w:rPr/>
        <w:t>nervioso</w:t>
      </w:r>
      <w:r>
        <w:rPr>
          <w:spacing w:val="-3"/>
        </w:rPr>
        <w:t> </w:t>
      </w:r>
      <w:r>
        <w:rPr/>
        <w:t>autónomo</w:t>
      </w:r>
      <w:r>
        <w:rPr>
          <w:spacing w:val="-3"/>
        </w:rPr>
        <w:t> </w:t>
      </w:r>
      <w:r>
        <w:rPr/>
        <w:t>con</w:t>
      </w:r>
      <w:r>
        <w:rPr>
          <w:spacing w:val="-3"/>
        </w:rPr>
        <w:t> </w:t>
      </w:r>
      <w:r>
        <w:rPr/>
        <w:t>taquicardia y aumento de cortisol por dolor.</w:t>
      </w:r>
    </w:p>
    <w:p>
      <w:pPr>
        <w:spacing w:line="360" w:lineRule="auto" w:before="240"/>
        <w:ind w:left="1135" w:right="793" w:firstLine="0"/>
        <w:jc w:val="left"/>
        <w:rPr>
          <w:sz w:val="24"/>
        </w:rPr>
      </w:pPr>
      <w:r>
        <w:rPr>
          <w:b/>
          <w:sz w:val="24"/>
        </w:rPr>
        <w:t>ROS (especies reactivas de oxígeno): </w:t>
      </w:r>
      <w:r>
        <w:rPr>
          <w:sz w:val="24"/>
        </w:rPr>
        <w:t>Moléculas que median inflamación y</w:t>
      </w:r>
      <w:r>
        <w:rPr>
          <w:spacing w:val="-1"/>
          <w:sz w:val="24"/>
        </w:rPr>
        <w:t> </w:t>
      </w:r>
      <w:r>
        <w:rPr>
          <w:sz w:val="24"/>
        </w:rPr>
        <w:t>daño tisular durante el estrés oxidativo.</w:t>
      </w:r>
    </w:p>
    <w:p>
      <w:pPr>
        <w:spacing w:line="360" w:lineRule="auto" w:before="240"/>
        <w:ind w:left="1135" w:right="793" w:firstLine="0"/>
        <w:jc w:val="left"/>
        <w:rPr>
          <w:sz w:val="24"/>
        </w:rPr>
      </w:pPr>
      <w:r>
        <w:rPr>
          <w:b/>
          <w:sz w:val="24"/>
        </w:rPr>
        <w:t>Sensibilización</w:t>
      </w:r>
      <w:r>
        <w:rPr>
          <w:b/>
          <w:spacing w:val="-5"/>
          <w:sz w:val="24"/>
        </w:rPr>
        <w:t> </w:t>
      </w:r>
      <w:r>
        <w:rPr>
          <w:b/>
          <w:sz w:val="24"/>
        </w:rPr>
        <w:t>central:</w:t>
      </w:r>
      <w:r>
        <w:rPr>
          <w:b/>
          <w:spacing w:val="-5"/>
          <w:sz w:val="24"/>
        </w:rPr>
        <w:t> </w:t>
      </w:r>
      <w:r>
        <w:rPr>
          <w:sz w:val="24"/>
        </w:rPr>
        <w:t>Incremento</w:t>
      </w:r>
      <w:r>
        <w:rPr>
          <w:spacing w:val="-5"/>
          <w:sz w:val="24"/>
        </w:rPr>
        <w:t> </w:t>
      </w:r>
      <w:r>
        <w:rPr>
          <w:sz w:val="24"/>
        </w:rPr>
        <w:t>de</w:t>
      </w:r>
      <w:r>
        <w:rPr>
          <w:spacing w:val="-5"/>
          <w:sz w:val="24"/>
        </w:rPr>
        <w:t> </w:t>
      </w:r>
      <w:r>
        <w:rPr>
          <w:sz w:val="24"/>
        </w:rPr>
        <w:t>la</w:t>
      </w:r>
      <w:r>
        <w:rPr>
          <w:spacing w:val="-6"/>
          <w:sz w:val="24"/>
        </w:rPr>
        <w:t> </w:t>
      </w:r>
      <w:r>
        <w:rPr>
          <w:sz w:val="24"/>
        </w:rPr>
        <w:t>excitabilidad</w:t>
      </w:r>
      <w:r>
        <w:rPr>
          <w:spacing w:val="-5"/>
          <w:sz w:val="24"/>
        </w:rPr>
        <w:t> </w:t>
      </w:r>
      <w:r>
        <w:rPr>
          <w:sz w:val="24"/>
        </w:rPr>
        <w:t>de</w:t>
      </w:r>
      <w:r>
        <w:rPr>
          <w:spacing w:val="-7"/>
          <w:sz w:val="24"/>
        </w:rPr>
        <w:t> </w:t>
      </w:r>
      <w:r>
        <w:rPr>
          <w:sz w:val="24"/>
        </w:rPr>
        <w:t>las</w:t>
      </w:r>
      <w:r>
        <w:rPr>
          <w:spacing w:val="-5"/>
          <w:sz w:val="24"/>
        </w:rPr>
        <w:t> </w:t>
      </w:r>
      <w:r>
        <w:rPr>
          <w:sz w:val="24"/>
        </w:rPr>
        <w:t>neuronas</w:t>
      </w:r>
      <w:r>
        <w:rPr>
          <w:spacing w:val="-5"/>
          <w:sz w:val="24"/>
        </w:rPr>
        <w:t> </w:t>
      </w:r>
      <w:r>
        <w:rPr>
          <w:sz w:val="24"/>
        </w:rPr>
        <w:t>medulares tras un estímulo doloroso repetido.</w:t>
      </w:r>
    </w:p>
    <w:p>
      <w:pPr>
        <w:spacing w:line="360" w:lineRule="auto" w:before="240"/>
        <w:ind w:left="1135" w:right="849" w:firstLine="0"/>
        <w:jc w:val="left"/>
        <w:rPr>
          <w:sz w:val="24"/>
        </w:rPr>
      </w:pPr>
      <w:r>
        <w:rPr>
          <w:b/>
          <w:sz w:val="24"/>
        </w:rPr>
        <w:t>Sensibilización</w:t>
      </w:r>
      <w:r>
        <w:rPr>
          <w:b/>
          <w:spacing w:val="80"/>
          <w:sz w:val="24"/>
        </w:rPr>
        <w:t> </w:t>
      </w:r>
      <w:r>
        <w:rPr>
          <w:b/>
          <w:sz w:val="24"/>
        </w:rPr>
        <w:t>periférica:</w:t>
      </w:r>
      <w:r>
        <w:rPr>
          <w:b/>
          <w:spacing w:val="80"/>
          <w:sz w:val="24"/>
        </w:rPr>
        <w:t> </w:t>
      </w:r>
      <w:r>
        <w:rPr>
          <w:sz w:val="24"/>
        </w:rPr>
        <w:t>Disminución</w:t>
      </w:r>
      <w:r>
        <w:rPr>
          <w:spacing w:val="80"/>
          <w:sz w:val="24"/>
        </w:rPr>
        <w:t> </w:t>
      </w:r>
      <w:r>
        <w:rPr>
          <w:sz w:val="24"/>
        </w:rPr>
        <w:t>del</w:t>
      </w:r>
      <w:r>
        <w:rPr>
          <w:spacing w:val="80"/>
          <w:sz w:val="24"/>
        </w:rPr>
        <w:t> </w:t>
      </w:r>
      <w:r>
        <w:rPr>
          <w:sz w:val="24"/>
        </w:rPr>
        <w:t>umbral</w:t>
      </w:r>
      <w:r>
        <w:rPr>
          <w:spacing w:val="80"/>
          <w:sz w:val="24"/>
        </w:rPr>
        <w:t> </w:t>
      </w:r>
      <w:r>
        <w:rPr>
          <w:sz w:val="24"/>
        </w:rPr>
        <w:t>de</w:t>
      </w:r>
      <w:r>
        <w:rPr>
          <w:spacing w:val="80"/>
          <w:sz w:val="24"/>
        </w:rPr>
        <w:t> </w:t>
      </w:r>
      <w:r>
        <w:rPr>
          <w:sz w:val="24"/>
        </w:rPr>
        <w:t>activación</w:t>
      </w:r>
      <w:r>
        <w:rPr>
          <w:spacing w:val="80"/>
          <w:sz w:val="24"/>
        </w:rPr>
        <w:t> </w:t>
      </w:r>
      <w:r>
        <w:rPr>
          <w:sz w:val="24"/>
        </w:rPr>
        <w:t>de</w:t>
      </w:r>
      <w:r>
        <w:rPr>
          <w:spacing w:val="80"/>
          <w:sz w:val="24"/>
        </w:rPr>
        <w:t> </w:t>
      </w:r>
      <w:r>
        <w:rPr>
          <w:sz w:val="24"/>
        </w:rPr>
        <w:t>los</w:t>
      </w:r>
      <w:r>
        <w:rPr>
          <w:spacing w:val="80"/>
          <w:sz w:val="24"/>
        </w:rPr>
        <w:t> </w:t>
      </w:r>
      <w:r>
        <w:rPr>
          <w:sz w:val="24"/>
        </w:rPr>
        <w:t>nociceptores en el sitio de la herida.</w:t>
      </w:r>
    </w:p>
    <w:p>
      <w:pPr>
        <w:pStyle w:val="BodyText"/>
        <w:tabs>
          <w:tab w:pos="2575" w:val="left" w:leader="none"/>
          <w:tab w:pos="4015" w:val="left" w:leader="none"/>
          <w:tab w:pos="4736" w:val="left" w:leader="none"/>
          <w:tab w:pos="6896" w:val="left" w:leader="none"/>
        </w:tabs>
        <w:spacing w:line="360" w:lineRule="auto" w:before="240"/>
        <w:ind w:right="846"/>
      </w:pPr>
      <w:r>
        <w:rPr>
          <w:b/>
          <w:spacing w:val="-2"/>
        </w:rPr>
        <w:t>Tramadol:</w:t>
      </w:r>
      <w:r>
        <w:rPr>
          <w:b/>
        </w:rPr>
        <w:tab/>
      </w:r>
      <w:r>
        <w:rPr>
          <w:spacing w:val="-2"/>
        </w:rPr>
        <w:t>Analgésico</w:t>
      </w:r>
      <w:r>
        <w:rPr/>
        <w:tab/>
      </w:r>
      <w:r>
        <w:rPr>
          <w:spacing w:val="-6"/>
        </w:rPr>
        <w:t>de</w:t>
      </w:r>
      <w:r>
        <w:rPr/>
        <w:tab/>
        <w:t>acción</w:t>
      </w:r>
      <w:r>
        <w:rPr>
          <w:spacing w:val="40"/>
        </w:rPr>
        <w:t> </w:t>
      </w:r>
      <w:r>
        <w:rPr/>
        <w:t>central que</w:t>
        <w:tab/>
        <w:t>modula</w:t>
      </w:r>
      <w:r>
        <w:rPr>
          <w:spacing w:val="-14"/>
        </w:rPr>
        <w:t> </w:t>
      </w:r>
      <w:r>
        <w:rPr/>
        <w:t>la</w:t>
      </w:r>
      <w:r>
        <w:rPr>
          <w:spacing w:val="15"/>
        </w:rPr>
        <w:t> </w:t>
      </w:r>
      <w:r>
        <w:rPr/>
        <w:t>transmisión serotoninérgica y noradrenérgica del dolor.</w:t>
      </w:r>
    </w:p>
    <w:p>
      <w:pPr>
        <w:spacing w:line="360" w:lineRule="auto" w:before="241"/>
        <w:ind w:left="1135" w:right="793" w:firstLine="0"/>
        <w:jc w:val="left"/>
        <w:rPr>
          <w:sz w:val="24"/>
        </w:rPr>
      </w:pPr>
      <w:r>
        <w:rPr>
          <w:b/>
          <w:sz w:val="24"/>
        </w:rPr>
        <w:t>Variabilidad cardiaca: </w:t>
      </w:r>
      <w:r>
        <w:rPr>
          <w:sz w:val="24"/>
        </w:rPr>
        <w:t>Indicador fisiológico utilizado para</w:t>
      </w:r>
      <w:r>
        <w:rPr>
          <w:spacing w:val="-2"/>
          <w:sz w:val="24"/>
        </w:rPr>
        <w:t> </w:t>
      </w:r>
      <w:r>
        <w:rPr>
          <w:sz w:val="24"/>
        </w:rPr>
        <w:t>evaluar estrés y</w:t>
      </w:r>
      <w:r>
        <w:rPr>
          <w:spacing w:val="-2"/>
          <w:sz w:val="24"/>
        </w:rPr>
        <w:t> </w:t>
      </w:r>
      <w:r>
        <w:rPr>
          <w:sz w:val="24"/>
        </w:rPr>
        <w:t>dolor en bovinos.</w:t>
      </w:r>
    </w:p>
    <w:sectPr>
      <w:footerReference w:type="default" r:id="rId58"/>
      <w:pgSz w:w="11900" w:h="16860"/>
      <w:pgMar w:header="0" w:footer="0" w:top="1620" w:bottom="280" w:left="1133"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Cambria Math">
    <w:altName w:val="Cambria Math"/>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692992">
              <wp:simplePos x="0" y="0"/>
              <wp:positionH relativeFrom="page">
                <wp:posOffset>6203441</wp:posOffset>
              </wp:positionH>
              <wp:positionV relativeFrom="page">
                <wp:posOffset>9887034</wp:posOffset>
              </wp:positionV>
              <wp:extent cx="32639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26390" cy="194310"/>
                      </a:xfrm>
                      <a:prstGeom prst="rect">
                        <a:avLst/>
                      </a:prstGeom>
                    </wps:spPr>
                    <wps:txbx>
                      <w:txbxContent>
                        <w:p>
                          <w:pPr>
                            <w:pStyle w:val="BodyText"/>
                            <w:spacing w:before="10"/>
                            <w:ind w:left="2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8.459991pt;margin-top:778.506653pt;width:25.7pt;height:15.3pt;mso-position-horizontal-relative:page;mso-position-vertical-relative:page;z-index:-18623488" type="#_x0000_t202" id="docshape1" filled="false" stroked="false">
              <v:textbox inset="0,0,0,0">
                <w:txbxContent>
                  <w:p>
                    <w:pPr>
                      <w:pStyle w:val="BodyText"/>
                      <w:spacing w:before="10"/>
                      <w:ind w:left="2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693504">
              <wp:simplePos x="0" y="0"/>
              <wp:positionH relativeFrom="page">
                <wp:posOffset>6311646</wp:posOffset>
              </wp:positionH>
              <wp:positionV relativeFrom="page">
                <wp:posOffset>9871794</wp:posOffset>
              </wp:positionV>
              <wp:extent cx="231775"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31775" cy="194310"/>
                      </a:xfrm>
                      <a:prstGeom prst="rect">
                        <a:avLst/>
                      </a:prstGeom>
                    </wps:spPr>
                    <wps:txbx>
                      <w:txbxContent>
                        <w:p>
                          <w:pPr>
                            <w:pStyle w:val="BodyText"/>
                            <w:spacing w:before="10"/>
                            <w:ind w:left="20"/>
                          </w:pPr>
                          <w:r>
                            <w:rPr>
                              <w:spacing w:val="-5"/>
                            </w:rPr>
                            <w:t>XII</w:t>
                          </w:r>
                        </w:p>
                      </w:txbxContent>
                    </wps:txbx>
                    <wps:bodyPr wrap="square" lIns="0" tIns="0" rIns="0" bIns="0" rtlCol="0">
                      <a:noAutofit/>
                    </wps:bodyPr>
                  </wps:wsp>
                </a:graphicData>
              </a:graphic>
            </wp:anchor>
          </w:drawing>
        </mc:Choice>
        <mc:Fallback>
          <w:pict>
            <v:shape style="position:absolute;margin-left:496.980011pt;margin-top:777.306641pt;width:18.25pt;height:15.3pt;mso-position-horizontal-relative:page;mso-position-vertical-relative:page;z-index:-18622976" type="#_x0000_t202" id="docshape2" filled="false" stroked="false">
              <v:textbox inset="0,0,0,0">
                <w:txbxContent>
                  <w:p>
                    <w:pPr>
                      <w:pStyle w:val="BodyText"/>
                      <w:spacing w:before="10"/>
                      <w:ind w:left="20"/>
                    </w:pPr>
                    <w:r>
                      <w:rPr>
                        <w:spacing w:val="-5"/>
                      </w:rPr>
                      <w:t>XII</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694016">
              <wp:simplePos x="0" y="0"/>
              <wp:positionH relativeFrom="page">
                <wp:posOffset>6311646</wp:posOffset>
              </wp:positionH>
              <wp:positionV relativeFrom="page">
                <wp:posOffset>9871794</wp:posOffset>
              </wp:positionV>
              <wp:extent cx="184785" cy="1943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84785" cy="194310"/>
                      </a:xfrm>
                      <a:prstGeom prst="rect">
                        <a:avLst/>
                      </a:prstGeom>
                    </wps:spPr>
                    <wps:txbx>
                      <w:txbxContent>
                        <w:p>
                          <w:pPr>
                            <w:pStyle w:val="BodyText"/>
                            <w:spacing w:before="10"/>
                            <w:ind w:left="20"/>
                          </w:pPr>
                          <w:r>
                            <w:rPr>
                              <w:spacing w:val="-5"/>
                            </w:rPr>
                            <w:t>XI</w:t>
                          </w:r>
                        </w:p>
                      </w:txbxContent>
                    </wps:txbx>
                    <wps:bodyPr wrap="square" lIns="0" tIns="0" rIns="0" bIns="0" rtlCol="0">
                      <a:noAutofit/>
                    </wps:bodyPr>
                  </wps:wsp>
                </a:graphicData>
              </a:graphic>
            </wp:anchor>
          </w:drawing>
        </mc:Choice>
        <mc:Fallback>
          <w:pict>
            <v:shape style="position:absolute;margin-left:496.980011pt;margin-top:777.306641pt;width:14.55pt;height:15.3pt;mso-position-horizontal-relative:page;mso-position-vertical-relative:page;z-index:-18622464" type="#_x0000_t202" id="docshape3" filled="false" stroked="false">
              <v:textbox inset="0,0,0,0">
                <w:txbxContent>
                  <w:p>
                    <w:pPr>
                      <w:pStyle w:val="BodyText"/>
                      <w:spacing w:before="10"/>
                      <w:ind w:left="20"/>
                    </w:pPr>
                    <w:r>
                      <w:rPr>
                        <w:spacing w:val="-5"/>
                      </w:rPr>
                      <w:t>XI</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694528">
              <wp:simplePos x="0" y="0"/>
              <wp:positionH relativeFrom="page">
                <wp:posOffset>6286246</wp:posOffset>
              </wp:positionH>
              <wp:positionV relativeFrom="page">
                <wp:posOffset>9871794</wp:posOffset>
              </wp:positionV>
              <wp:extent cx="197485" cy="19431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97485"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494.980011pt;margin-top:777.306641pt;width:15.55pt;height:15.3pt;mso-position-horizontal-relative:page;mso-position-vertical-relative:page;z-index:-18621952" type="#_x0000_t202" id="docshape4"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5"/>
      <w:numFmt w:val="decimal"/>
      <w:lvlText w:val="%1"/>
      <w:lvlJc w:val="left"/>
      <w:pPr>
        <w:ind w:left="1843" w:hanging="708"/>
        <w:jc w:val="left"/>
      </w:pPr>
      <w:rPr>
        <w:rFonts w:hint="default"/>
        <w:lang w:val="es-ES" w:eastAsia="en-US" w:bidi="ar-SA"/>
      </w:rPr>
    </w:lvl>
    <w:lvl w:ilvl="1">
      <w:start w:val="1"/>
      <w:numFmt w:val="decimal"/>
      <w:lvlText w:val="%1.%2."/>
      <w:lvlJc w:val="left"/>
      <w:pPr>
        <w:ind w:left="1843" w:hanging="708"/>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1135" w:hanging="221"/>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634" w:hanging="221"/>
      </w:pPr>
      <w:rPr>
        <w:rFonts w:hint="default"/>
        <w:lang w:val="es-ES" w:eastAsia="en-US" w:bidi="ar-SA"/>
      </w:rPr>
    </w:lvl>
    <w:lvl w:ilvl="4">
      <w:start w:val="0"/>
      <w:numFmt w:val="bullet"/>
      <w:lvlText w:val="•"/>
      <w:lvlJc w:val="left"/>
      <w:pPr>
        <w:ind w:left="4532" w:hanging="221"/>
      </w:pPr>
      <w:rPr>
        <w:rFonts w:hint="default"/>
        <w:lang w:val="es-ES" w:eastAsia="en-US" w:bidi="ar-SA"/>
      </w:rPr>
    </w:lvl>
    <w:lvl w:ilvl="5">
      <w:start w:val="0"/>
      <w:numFmt w:val="bullet"/>
      <w:lvlText w:val="•"/>
      <w:lvlJc w:val="left"/>
      <w:pPr>
        <w:ind w:left="5429" w:hanging="221"/>
      </w:pPr>
      <w:rPr>
        <w:rFonts w:hint="default"/>
        <w:lang w:val="es-ES" w:eastAsia="en-US" w:bidi="ar-SA"/>
      </w:rPr>
    </w:lvl>
    <w:lvl w:ilvl="6">
      <w:start w:val="0"/>
      <w:numFmt w:val="bullet"/>
      <w:lvlText w:val="•"/>
      <w:lvlJc w:val="left"/>
      <w:pPr>
        <w:ind w:left="6326" w:hanging="221"/>
      </w:pPr>
      <w:rPr>
        <w:rFonts w:hint="default"/>
        <w:lang w:val="es-ES" w:eastAsia="en-US" w:bidi="ar-SA"/>
      </w:rPr>
    </w:lvl>
    <w:lvl w:ilvl="7">
      <w:start w:val="0"/>
      <w:numFmt w:val="bullet"/>
      <w:lvlText w:val="•"/>
      <w:lvlJc w:val="left"/>
      <w:pPr>
        <w:ind w:left="7224" w:hanging="221"/>
      </w:pPr>
      <w:rPr>
        <w:rFonts w:hint="default"/>
        <w:lang w:val="es-ES" w:eastAsia="en-US" w:bidi="ar-SA"/>
      </w:rPr>
    </w:lvl>
    <w:lvl w:ilvl="8">
      <w:start w:val="0"/>
      <w:numFmt w:val="bullet"/>
      <w:lvlText w:val="•"/>
      <w:lvlJc w:val="left"/>
      <w:pPr>
        <w:ind w:left="8121" w:hanging="221"/>
      </w:pPr>
      <w:rPr>
        <w:rFonts w:hint="default"/>
        <w:lang w:val="es-ES" w:eastAsia="en-US" w:bidi="ar-SA"/>
      </w:rPr>
    </w:lvl>
  </w:abstractNum>
  <w:abstractNum w:abstractNumId="13">
    <w:multiLevelType w:val="hybridMultilevel"/>
    <w:lvl w:ilvl="0">
      <w:start w:val="0"/>
      <w:numFmt w:val="bullet"/>
      <w:lvlText w:val=""/>
      <w:lvlJc w:val="left"/>
      <w:pPr>
        <w:ind w:left="1855" w:hanging="36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665" w:hanging="360"/>
      </w:pPr>
      <w:rPr>
        <w:rFonts w:hint="default"/>
        <w:lang w:val="es-ES" w:eastAsia="en-US" w:bidi="ar-SA"/>
      </w:rPr>
    </w:lvl>
    <w:lvl w:ilvl="2">
      <w:start w:val="0"/>
      <w:numFmt w:val="bullet"/>
      <w:lvlText w:val="•"/>
      <w:lvlJc w:val="left"/>
      <w:pPr>
        <w:ind w:left="3471" w:hanging="360"/>
      </w:pPr>
      <w:rPr>
        <w:rFonts w:hint="default"/>
        <w:lang w:val="es-ES" w:eastAsia="en-US" w:bidi="ar-SA"/>
      </w:rPr>
    </w:lvl>
    <w:lvl w:ilvl="3">
      <w:start w:val="0"/>
      <w:numFmt w:val="bullet"/>
      <w:lvlText w:val="•"/>
      <w:lvlJc w:val="left"/>
      <w:pPr>
        <w:ind w:left="4276" w:hanging="360"/>
      </w:pPr>
      <w:rPr>
        <w:rFonts w:hint="default"/>
        <w:lang w:val="es-ES" w:eastAsia="en-US" w:bidi="ar-SA"/>
      </w:rPr>
    </w:lvl>
    <w:lvl w:ilvl="4">
      <w:start w:val="0"/>
      <w:numFmt w:val="bullet"/>
      <w:lvlText w:val="•"/>
      <w:lvlJc w:val="left"/>
      <w:pPr>
        <w:ind w:left="5082" w:hanging="360"/>
      </w:pPr>
      <w:rPr>
        <w:rFonts w:hint="default"/>
        <w:lang w:val="es-ES" w:eastAsia="en-US" w:bidi="ar-SA"/>
      </w:rPr>
    </w:lvl>
    <w:lvl w:ilvl="5">
      <w:start w:val="0"/>
      <w:numFmt w:val="bullet"/>
      <w:lvlText w:val="•"/>
      <w:lvlJc w:val="left"/>
      <w:pPr>
        <w:ind w:left="5888" w:hanging="360"/>
      </w:pPr>
      <w:rPr>
        <w:rFonts w:hint="default"/>
        <w:lang w:val="es-ES" w:eastAsia="en-US" w:bidi="ar-SA"/>
      </w:rPr>
    </w:lvl>
    <w:lvl w:ilvl="6">
      <w:start w:val="0"/>
      <w:numFmt w:val="bullet"/>
      <w:lvlText w:val="•"/>
      <w:lvlJc w:val="left"/>
      <w:pPr>
        <w:ind w:left="6693" w:hanging="360"/>
      </w:pPr>
      <w:rPr>
        <w:rFonts w:hint="default"/>
        <w:lang w:val="es-ES" w:eastAsia="en-US" w:bidi="ar-SA"/>
      </w:rPr>
    </w:lvl>
    <w:lvl w:ilvl="7">
      <w:start w:val="0"/>
      <w:numFmt w:val="bullet"/>
      <w:lvlText w:val="•"/>
      <w:lvlJc w:val="left"/>
      <w:pPr>
        <w:ind w:left="7499" w:hanging="360"/>
      </w:pPr>
      <w:rPr>
        <w:rFonts w:hint="default"/>
        <w:lang w:val="es-ES" w:eastAsia="en-US" w:bidi="ar-SA"/>
      </w:rPr>
    </w:lvl>
    <w:lvl w:ilvl="8">
      <w:start w:val="0"/>
      <w:numFmt w:val="bullet"/>
      <w:lvlText w:val="•"/>
      <w:lvlJc w:val="left"/>
      <w:pPr>
        <w:ind w:left="8304" w:hanging="360"/>
      </w:pPr>
      <w:rPr>
        <w:rFonts w:hint="default"/>
        <w:lang w:val="es-ES" w:eastAsia="en-US" w:bidi="ar-SA"/>
      </w:rPr>
    </w:lvl>
  </w:abstractNum>
  <w:abstractNum w:abstractNumId="12">
    <w:multiLevelType w:val="hybridMultilevel"/>
    <w:lvl w:ilvl="0">
      <w:start w:val="4"/>
      <w:numFmt w:val="decimal"/>
      <w:lvlText w:val="%1"/>
      <w:lvlJc w:val="left"/>
      <w:pPr>
        <w:ind w:left="1843" w:hanging="708"/>
        <w:jc w:val="left"/>
      </w:pPr>
      <w:rPr>
        <w:rFonts w:hint="default"/>
        <w:lang w:val="es-ES" w:eastAsia="en-US" w:bidi="ar-SA"/>
      </w:rPr>
    </w:lvl>
    <w:lvl w:ilvl="1">
      <w:start w:val="1"/>
      <w:numFmt w:val="decimal"/>
      <w:lvlText w:val="%1.%2."/>
      <w:lvlJc w:val="left"/>
      <w:pPr>
        <w:ind w:left="1843" w:hanging="708"/>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987" w:hanging="852"/>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1274" w:hanging="140"/>
      </w:pPr>
      <w:rPr>
        <w:rFonts w:hint="default" w:ascii="Times New Roman" w:hAnsi="Times New Roman" w:eastAsia="Times New Roman" w:cs="Times New Roman"/>
        <w:b w:val="0"/>
        <w:bCs w:val="0"/>
        <w:i w:val="0"/>
        <w:iCs w:val="0"/>
        <w:spacing w:val="0"/>
        <w:w w:val="100"/>
        <w:position w:val="1"/>
        <w:sz w:val="24"/>
        <w:szCs w:val="24"/>
        <w:lang w:val="es-ES" w:eastAsia="en-US" w:bidi="ar-SA"/>
      </w:rPr>
    </w:lvl>
    <w:lvl w:ilvl="4">
      <w:start w:val="0"/>
      <w:numFmt w:val="bullet"/>
      <w:lvlText w:val="•"/>
      <w:lvlJc w:val="left"/>
      <w:pPr>
        <w:ind w:left="3964" w:hanging="140"/>
      </w:pPr>
      <w:rPr>
        <w:rFonts w:hint="default"/>
        <w:lang w:val="es-ES" w:eastAsia="en-US" w:bidi="ar-SA"/>
      </w:rPr>
    </w:lvl>
    <w:lvl w:ilvl="5">
      <w:start w:val="0"/>
      <w:numFmt w:val="bullet"/>
      <w:lvlText w:val="•"/>
      <w:lvlJc w:val="left"/>
      <w:pPr>
        <w:ind w:left="4956" w:hanging="140"/>
      </w:pPr>
      <w:rPr>
        <w:rFonts w:hint="default"/>
        <w:lang w:val="es-ES" w:eastAsia="en-US" w:bidi="ar-SA"/>
      </w:rPr>
    </w:lvl>
    <w:lvl w:ilvl="6">
      <w:start w:val="0"/>
      <w:numFmt w:val="bullet"/>
      <w:lvlText w:val="•"/>
      <w:lvlJc w:val="left"/>
      <w:pPr>
        <w:ind w:left="5948" w:hanging="140"/>
      </w:pPr>
      <w:rPr>
        <w:rFonts w:hint="default"/>
        <w:lang w:val="es-ES" w:eastAsia="en-US" w:bidi="ar-SA"/>
      </w:rPr>
    </w:lvl>
    <w:lvl w:ilvl="7">
      <w:start w:val="0"/>
      <w:numFmt w:val="bullet"/>
      <w:lvlText w:val="•"/>
      <w:lvlJc w:val="left"/>
      <w:pPr>
        <w:ind w:left="6940" w:hanging="140"/>
      </w:pPr>
      <w:rPr>
        <w:rFonts w:hint="default"/>
        <w:lang w:val="es-ES" w:eastAsia="en-US" w:bidi="ar-SA"/>
      </w:rPr>
    </w:lvl>
    <w:lvl w:ilvl="8">
      <w:start w:val="0"/>
      <w:numFmt w:val="bullet"/>
      <w:lvlText w:val="•"/>
      <w:lvlJc w:val="left"/>
      <w:pPr>
        <w:ind w:left="7932" w:hanging="140"/>
      </w:pPr>
      <w:rPr>
        <w:rFonts w:hint="default"/>
        <w:lang w:val="es-ES" w:eastAsia="en-US" w:bidi="ar-SA"/>
      </w:rPr>
    </w:lvl>
  </w:abstractNum>
  <w:abstractNum w:abstractNumId="11">
    <w:multiLevelType w:val="hybridMultilevel"/>
    <w:lvl w:ilvl="0">
      <w:start w:val="3"/>
      <w:numFmt w:val="decimal"/>
      <w:lvlText w:val="%1"/>
      <w:lvlJc w:val="left"/>
      <w:pPr>
        <w:ind w:left="1855" w:hanging="720"/>
        <w:jc w:val="left"/>
      </w:pPr>
      <w:rPr>
        <w:rFonts w:hint="default"/>
        <w:lang w:val="es-ES" w:eastAsia="en-US" w:bidi="ar-SA"/>
      </w:rPr>
    </w:lvl>
    <w:lvl w:ilvl="1">
      <w:start w:val="9"/>
      <w:numFmt w:val="decimal"/>
      <w:lvlText w:val="%1.%2"/>
      <w:lvlJc w:val="left"/>
      <w:pPr>
        <w:ind w:left="1855" w:hanging="720"/>
        <w:jc w:val="left"/>
      </w:pPr>
      <w:rPr>
        <w:rFonts w:hint="default"/>
        <w:lang w:val="es-ES" w:eastAsia="en-US" w:bidi="ar-SA"/>
      </w:rPr>
    </w:lvl>
    <w:lvl w:ilvl="2">
      <w:start w:val="10"/>
      <w:numFmt w:val="decimal"/>
      <w:lvlText w:val="%1.%2.%3."/>
      <w:lvlJc w:val="left"/>
      <w:pPr>
        <w:ind w:left="1855" w:hanging="72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4276" w:hanging="720"/>
      </w:pPr>
      <w:rPr>
        <w:rFonts w:hint="default"/>
        <w:lang w:val="es-ES" w:eastAsia="en-US" w:bidi="ar-SA"/>
      </w:rPr>
    </w:lvl>
    <w:lvl w:ilvl="4">
      <w:start w:val="0"/>
      <w:numFmt w:val="bullet"/>
      <w:lvlText w:val="•"/>
      <w:lvlJc w:val="left"/>
      <w:pPr>
        <w:ind w:left="5082" w:hanging="720"/>
      </w:pPr>
      <w:rPr>
        <w:rFonts w:hint="default"/>
        <w:lang w:val="es-ES" w:eastAsia="en-US" w:bidi="ar-SA"/>
      </w:rPr>
    </w:lvl>
    <w:lvl w:ilvl="5">
      <w:start w:val="0"/>
      <w:numFmt w:val="bullet"/>
      <w:lvlText w:val="•"/>
      <w:lvlJc w:val="left"/>
      <w:pPr>
        <w:ind w:left="5888" w:hanging="720"/>
      </w:pPr>
      <w:rPr>
        <w:rFonts w:hint="default"/>
        <w:lang w:val="es-ES" w:eastAsia="en-US" w:bidi="ar-SA"/>
      </w:rPr>
    </w:lvl>
    <w:lvl w:ilvl="6">
      <w:start w:val="0"/>
      <w:numFmt w:val="bullet"/>
      <w:lvlText w:val="•"/>
      <w:lvlJc w:val="left"/>
      <w:pPr>
        <w:ind w:left="6693" w:hanging="720"/>
      </w:pPr>
      <w:rPr>
        <w:rFonts w:hint="default"/>
        <w:lang w:val="es-ES" w:eastAsia="en-US" w:bidi="ar-SA"/>
      </w:rPr>
    </w:lvl>
    <w:lvl w:ilvl="7">
      <w:start w:val="0"/>
      <w:numFmt w:val="bullet"/>
      <w:lvlText w:val="•"/>
      <w:lvlJc w:val="left"/>
      <w:pPr>
        <w:ind w:left="7499" w:hanging="720"/>
      </w:pPr>
      <w:rPr>
        <w:rFonts w:hint="default"/>
        <w:lang w:val="es-ES" w:eastAsia="en-US" w:bidi="ar-SA"/>
      </w:rPr>
    </w:lvl>
    <w:lvl w:ilvl="8">
      <w:start w:val="0"/>
      <w:numFmt w:val="bullet"/>
      <w:lvlText w:val="•"/>
      <w:lvlJc w:val="left"/>
      <w:pPr>
        <w:ind w:left="8304" w:hanging="720"/>
      </w:pPr>
      <w:rPr>
        <w:rFonts w:hint="default"/>
        <w:lang w:val="es-ES" w:eastAsia="en-US" w:bidi="ar-SA"/>
      </w:rPr>
    </w:lvl>
  </w:abstractNum>
  <w:abstractNum w:abstractNumId="10">
    <w:multiLevelType w:val="hybridMultilevel"/>
    <w:lvl w:ilvl="0">
      <w:start w:val="0"/>
      <w:numFmt w:val="bullet"/>
      <w:lvlText w:val=""/>
      <w:lvlJc w:val="left"/>
      <w:pPr>
        <w:ind w:left="1135" w:hanging="72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17" w:hanging="720"/>
      </w:pPr>
      <w:rPr>
        <w:rFonts w:hint="default"/>
        <w:lang w:val="es-ES" w:eastAsia="en-US" w:bidi="ar-SA"/>
      </w:rPr>
    </w:lvl>
    <w:lvl w:ilvl="2">
      <w:start w:val="0"/>
      <w:numFmt w:val="bullet"/>
      <w:lvlText w:val="•"/>
      <w:lvlJc w:val="left"/>
      <w:pPr>
        <w:ind w:left="2895" w:hanging="720"/>
      </w:pPr>
      <w:rPr>
        <w:rFonts w:hint="default"/>
        <w:lang w:val="es-ES" w:eastAsia="en-US" w:bidi="ar-SA"/>
      </w:rPr>
    </w:lvl>
    <w:lvl w:ilvl="3">
      <w:start w:val="0"/>
      <w:numFmt w:val="bullet"/>
      <w:lvlText w:val="•"/>
      <w:lvlJc w:val="left"/>
      <w:pPr>
        <w:ind w:left="3772" w:hanging="720"/>
      </w:pPr>
      <w:rPr>
        <w:rFonts w:hint="default"/>
        <w:lang w:val="es-ES" w:eastAsia="en-US" w:bidi="ar-SA"/>
      </w:rPr>
    </w:lvl>
    <w:lvl w:ilvl="4">
      <w:start w:val="0"/>
      <w:numFmt w:val="bullet"/>
      <w:lvlText w:val="•"/>
      <w:lvlJc w:val="left"/>
      <w:pPr>
        <w:ind w:left="4650" w:hanging="720"/>
      </w:pPr>
      <w:rPr>
        <w:rFonts w:hint="default"/>
        <w:lang w:val="es-ES" w:eastAsia="en-US" w:bidi="ar-SA"/>
      </w:rPr>
    </w:lvl>
    <w:lvl w:ilvl="5">
      <w:start w:val="0"/>
      <w:numFmt w:val="bullet"/>
      <w:lvlText w:val="•"/>
      <w:lvlJc w:val="left"/>
      <w:pPr>
        <w:ind w:left="5528" w:hanging="720"/>
      </w:pPr>
      <w:rPr>
        <w:rFonts w:hint="default"/>
        <w:lang w:val="es-ES" w:eastAsia="en-US" w:bidi="ar-SA"/>
      </w:rPr>
    </w:lvl>
    <w:lvl w:ilvl="6">
      <w:start w:val="0"/>
      <w:numFmt w:val="bullet"/>
      <w:lvlText w:val="•"/>
      <w:lvlJc w:val="left"/>
      <w:pPr>
        <w:ind w:left="6405" w:hanging="720"/>
      </w:pPr>
      <w:rPr>
        <w:rFonts w:hint="default"/>
        <w:lang w:val="es-ES" w:eastAsia="en-US" w:bidi="ar-SA"/>
      </w:rPr>
    </w:lvl>
    <w:lvl w:ilvl="7">
      <w:start w:val="0"/>
      <w:numFmt w:val="bullet"/>
      <w:lvlText w:val="•"/>
      <w:lvlJc w:val="left"/>
      <w:pPr>
        <w:ind w:left="7283" w:hanging="720"/>
      </w:pPr>
      <w:rPr>
        <w:rFonts w:hint="default"/>
        <w:lang w:val="es-ES" w:eastAsia="en-US" w:bidi="ar-SA"/>
      </w:rPr>
    </w:lvl>
    <w:lvl w:ilvl="8">
      <w:start w:val="0"/>
      <w:numFmt w:val="bullet"/>
      <w:lvlText w:val="•"/>
      <w:lvlJc w:val="left"/>
      <w:pPr>
        <w:ind w:left="8160" w:hanging="720"/>
      </w:pPr>
      <w:rPr>
        <w:rFonts w:hint="default"/>
        <w:lang w:val="es-ES" w:eastAsia="en-US" w:bidi="ar-SA"/>
      </w:rPr>
    </w:lvl>
  </w:abstractNum>
  <w:abstractNum w:abstractNumId="9">
    <w:multiLevelType w:val="hybridMultilevel"/>
    <w:lvl w:ilvl="0">
      <w:start w:val="0"/>
      <w:numFmt w:val="bullet"/>
      <w:lvlText w:val=""/>
      <w:lvlJc w:val="left"/>
      <w:pPr>
        <w:ind w:left="1135" w:hanging="720"/>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017" w:hanging="720"/>
      </w:pPr>
      <w:rPr>
        <w:rFonts w:hint="default"/>
        <w:lang w:val="es-ES" w:eastAsia="en-US" w:bidi="ar-SA"/>
      </w:rPr>
    </w:lvl>
    <w:lvl w:ilvl="2">
      <w:start w:val="0"/>
      <w:numFmt w:val="bullet"/>
      <w:lvlText w:val="•"/>
      <w:lvlJc w:val="left"/>
      <w:pPr>
        <w:ind w:left="2895" w:hanging="720"/>
      </w:pPr>
      <w:rPr>
        <w:rFonts w:hint="default"/>
        <w:lang w:val="es-ES" w:eastAsia="en-US" w:bidi="ar-SA"/>
      </w:rPr>
    </w:lvl>
    <w:lvl w:ilvl="3">
      <w:start w:val="0"/>
      <w:numFmt w:val="bullet"/>
      <w:lvlText w:val="•"/>
      <w:lvlJc w:val="left"/>
      <w:pPr>
        <w:ind w:left="3772" w:hanging="720"/>
      </w:pPr>
      <w:rPr>
        <w:rFonts w:hint="default"/>
        <w:lang w:val="es-ES" w:eastAsia="en-US" w:bidi="ar-SA"/>
      </w:rPr>
    </w:lvl>
    <w:lvl w:ilvl="4">
      <w:start w:val="0"/>
      <w:numFmt w:val="bullet"/>
      <w:lvlText w:val="•"/>
      <w:lvlJc w:val="left"/>
      <w:pPr>
        <w:ind w:left="4650" w:hanging="720"/>
      </w:pPr>
      <w:rPr>
        <w:rFonts w:hint="default"/>
        <w:lang w:val="es-ES" w:eastAsia="en-US" w:bidi="ar-SA"/>
      </w:rPr>
    </w:lvl>
    <w:lvl w:ilvl="5">
      <w:start w:val="0"/>
      <w:numFmt w:val="bullet"/>
      <w:lvlText w:val="•"/>
      <w:lvlJc w:val="left"/>
      <w:pPr>
        <w:ind w:left="5528" w:hanging="720"/>
      </w:pPr>
      <w:rPr>
        <w:rFonts w:hint="default"/>
        <w:lang w:val="es-ES" w:eastAsia="en-US" w:bidi="ar-SA"/>
      </w:rPr>
    </w:lvl>
    <w:lvl w:ilvl="6">
      <w:start w:val="0"/>
      <w:numFmt w:val="bullet"/>
      <w:lvlText w:val="•"/>
      <w:lvlJc w:val="left"/>
      <w:pPr>
        <w:ind w:left="6405" w:hanging="720"/>
      </w:pPr>
      <w:rPr>
        <w:rFonts w:hint="default"/>
        <w:lang w:val="es-ES" w:eastAsia="en-US" w:bidi="ar-SA"/>
      </w:rPr>
    </w:lvl>
    <w:lvl w:ilvl="7">
      <w:start w:val="0"/>
      <w:numFmt w:val="bullet"/>
      <w:lvlText w:val="•"/>
      <w:lvlJc w:val="left"/>
      <w:pPr>
        <w:ind w:left="7283" w:hanging="720"/>
      </w:pPr>
      <w:rPr>
        <w:rFonts w:hint="default"/>
        <w:lang w:val="es-ES" w:eastAsia="en-US" w:bidi="ar-SA"/>
      </w:rPr>
    </w:lvl>
    <w:lvl w:ilvl="8">
      <w:start w:val="0"/>
      <w:numFmt w:val="bullet"/>
      <w:lvlText w:val="•"/>
      <w:lvlJc w:val="left"/>
      <w:pPr>
        <w:ind w:left="8160" w:hanging="720"/>
      </w:pPr>
      <w:rPr>
        <w:rFonts w:hint="default"/>
        <w:lang w:val="es-ES" w:eastAsia="en-US" w:bidi="ar-SA"/>
      </w:rPr>
    </w:lvl>
  </w:abstractNum>
  <w:abstractNum w:abstractNumId="8">
    <w:multiLevelType w:val="hybridMultilevel"/>
    <w:lvl w:ilvl="0">
      <w:start w:val="3"/>
      <w:numFmt w:val="decimal"/>
      <w:lvlText w:val="%1"/>
      <w:lvlJc w:val="left"/>
      <w:pPr>
        <w:ind w:left="1701" w:hanging="567"/>
        <w:jc w:val="left"/>
      </w:pPr>
      <w:rPr>
        <w:rFonts w:hint="default"/>
        <w:lang w:val="es-ES" w:eastAsia="en-US" w:bidi="ar-SA"/>
      </w:rPr>
    </w:lvl>
    <w:lvl w:ilvl="1">
      <w:start w:val="1"/>
      <w:numFmt w:val="decimal"/>
      <w:lvlText w:val="%1.%2."/>
      <w:lvlJc w:val="left"/>
      <w:pPr>
        <w:ind w:left="1701" w:hanging="567"/>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735" w:hanging="600"/>
        <w:jc w:val="left"/>
      </w:pPr>
      <w:rPr>
        <w:rFonts w:hint="default" w:ascii="Times New Roman" w:hAnsi="Times New Roman" w:eastAsia="Times New Roman" w:cs="Times New Roman"/>
        <w:b/>
        <w:bCs/>
        <w:i w:val="0"/>
        <w:iCs w:val="0"/>
        <w:spacing w:val="0"/>
        <w:w w:val="100"/>
        <w:sz w:val="24"/>
        <w:szCs w:val="24"/>
        <w:lang w:val="es-ES" w:eastAsia="en-US" w:bidi="ar-SA"/>
      </w:rPr>
    </w:lvl>
    <w:lvl w:ilvl="3">
      <w:start w:val="0"/>
      <w:numFmt w:val="bullet"/>
      <w:lvlText w:val="•"/>
      <w:lvlJc w:val="left"/>
      <w:pPr>
        <w:ind w:left="2420" w:hanging="600"/>
      </w:pPr>
      <w:rPr>
        <w:rFonts w:hint="default"/>
        <w:lang w:val="es-ES" w:eastAsia="en-US" w:bidi="ar-SA"/>
      </w:rPr>
    </w:lvl>
    <w:lvl w:ilvl="4">
      <w:start w:val="0"/>
      <w:numFmt w:val="bullet"/>
      <w:lvlText w:val="•"/>
      <w:lvlJc w:val="left"/>
      <w:pPr>
        <w:ind w:left="3490" w:hanging="600"/>
      </w:pPr>
      <w:rPr>
        <w:rFonts w:hint="default"/>
        <w:lang w:val="es-ES" w:eastAsia="en-US" w:bidi="ar-SA"/>
      </w:rPr>
    </w:lvl>
    <w:lvl w:ilvl="5">
      <w:start w:val="0"/>
      <w:numFmt w:val="bullet"/>
      <w:lvlText w:val="•"/>
      <w:lvlJc w:val="left"/>
      <w:pPr>
        <w:ind w:left="4561" w:hanging="600"/>
      </w:pPr>
      <w:rPr>
        <w:rFonts w:hint="default"/>
        <w:lang w:val="es-ES" w:eastAsia="en-US" w:bidi="ar-SA"/>
      </w:rPr>
    </w:lvl>
    <w:lvl w:ilvl="6">
      <w:start w:val="0"/>
      <w:numFmt w:val="bullet"/>
      <w:lvlText w:val="•"/>
      <w:lvlJc w:val="left"/>
      <w:pPr>
        <w:ind w:left="5632" w:hanging="600"/>
      </w:pPr>
      <w:rPr>
        <w:rFonts w:hint="default"/>
        <w:lang w:val="es-ES" w:eastAsia="en-US" w:bidi="ar-SA"/>
      </w:rPr>
    </w:lvl>
    <w:lvl w:ilvl="7">
      <w:start w:val="0"/>
      <w:numFmt w:val="bullet"/>
      <w:lvlText w:val="•"/>
      <w:lvlJc w:val="left"/>
      <w:pPr>
        <w:ind w:left="6703" w:hanging="600"/>
      </w:pPr>
      <w:rPr>
        <w:rFonts w:hint="default"/>
        <w:lang w:val="es-ES" w:eastAsia="en-US" w:bidi="ar-SA"/>
      </w:rPr>
    </w:lvl>
    <w:lvl w:ilvl="8">
      <w:start w:val="0"/>
      <w:numFmt w:val="bullet"/>
      <w:lvlText w:val="•"/>
      <w:lvlJc w:val="left"/>
      <w:pPr>
        <w:ind w:left="7774" w:hanging="600"/>
      </w:pPr>
      <w:rPr>
        <w:rFonts w:hint="default"/>
        <w:lang w:val="es-ES" w:eastAsia="en-US" w:bidi="ar-SA"/>
      </w:rPr>
    </w:lvl>
  </w:abstractNum>
  <w:abstractNum w:abstractNumId="7">
    <w:multiLevelType w:val="hybridMultilevel"/>
    <w:lvl w:ilvl="0">
      <w:start w:val="2"/>
      <w:numFmt w:val="decimal"/>
      <w:lvlText w:val="%1"/>
      <w:lvlJc w:val="left"/>
      <w:pPr>
        <w:ind w:left="1418" w:hanging="284"/>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1"/>
      <w:numFmt w:val="decimal"/>
      <w:lvlText w:val="%1.%2."/>
      <w:lvlJc w:val="left"/>
      <w:pPr>
        <w:ind w:left="1701" w:hanging="567"/>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2612" w:hanging="567"/>
      </w:pPr>
      <w:rPr>
        <w:rFonts w:hint="default"/>
        <w:lang w:val="es-ES" w:eastAsia="en-US" w:bidi="ar-SA"/>
      </w:rPr>
    </w:lvl>
    <w:lvl w:ilvl="3">
      <w:start w:val="0"/>
      <w:numFmt w:val="bullet"/>
      <w:lvlText w:val="•"/>
      <w:lvlJc w:val="left"/>
      <w:pPr>
        <w:ind w:left="3525" w:hanging="567"/>
      </w:pPr>
      <w:rPr>
        <w:rFonts w:hint="default"/>
        <w:lang w:val="es-ES" w:eastAsia="en-US" w:bidi="ar-SA"/>
      </w:rPr>
    </w:lvl>
    <w:lvl w:ilvl="4">
      <w:start w:val="0"/>
      <w:numFmt w:val="bullet"/>
      <w:lvlText w:val="•"/>
      <w:lvlJc w:val="left"/>
      <w:pPr>
        <w:ind w:left="4438" w:hanging="567"/>
      </w:pPr>
      <w:rPr>
        <w:rFonts w:hint="default"/>
        <w:lang w:val="es-ES" w:eastAsia="en-US" w:bidi="ar-SA"/>
      </w:rPr>
    </w:lvl>
    <w:lvl w:ilvl="5">
      <w:start w:val="0"/>
      <w:numFmt w:val="bullet"/>
      <w:lvlText w:val="•"/>
      <w:lvlJc w:val="left"/>
      <w:pPr>
        <w:ind w:left="5351" w:hanging="567"/>
      </w:pPr>
      <w:rPr>
        <w:rFonts w:hint="default"/>
        <w:lang w:val="es-ES" w:eastAsia="en-US" w:bidi="ar-SA"/>
      </w:rPr>
    </w:lvl>
    <w:lvl w:ilvl="6">
      <w:start w:val="0"/>
      <w:numFmt w:val="bullet"/>
      <w:lvlText w:val="•"/>
      <w:lvlJc w:val="left"/>
      <w:pPr>
        <w:ind w:left="6264" w:hanging="567"/>
      </w:pPr>
      <w:rPr>
        <w:rFonts w:hint="default"/>
        <w:lang w:val="es-ES" w:eastAsia="en-US" w:bidi="ar-SA"/>
      </w:rPr>
    </w:lvl>
    <w:lvl w:ilvl="7">
      <w:start w:val="0"/>
      <w:numFmt w:val="bullet"/>
      <w:lvlText w:val="•"/>
      <w:lvlJc w:val="left"/>
      <w:pPr>
        <w:ind w:left="7177" w:hanging="567"/>
      </w:pPr>
      <w:rPr>
        <w:rFonts w:hint="default"/>
        <w:lang w:val="es-ES" w:eastAsia="en-US" w:bidi="ar-SA"/>
      </w:rPr>
    </w:lvl>
    <w:lvl w:ilvl="8">
      <w:start w:val="0"/>
      <w:numFmt w:val="bullet"/>
      <w:lvlText w:val="•"/>
      <w:lvlJc w:val="left"/>
      <w:pPr>
        <w:ind w:left="8090" w:hanging="567"/>
      </w:pPr>
      <w:rPr>
        <w:rFonts w:hint="default"/>
        <w:lang w:val="es-ES" w:eastAsia="en-US" w:bidi="ar-SA"/>
      </w:rPr>
    </w:lvl>
  </w:abstractNum>
  <w:abstractNum w:abstractNumId="6">
    <w:multiLevelType w:val="hybridMultilevel"/>
    <w:lvl w:ilvl="0">
      <w:start w:val="1"/>
      <w:numFmt w:val="decimal"/>
      <w:lvlText w:val="%1"/>
      <w:lvlJc w:val="left"/>
      <w:pPr>
        <w:ind w:left="1562" w:hanging="428"/>
        <w:jc w:val="left"/>
      </w:pPr>
      <w:rPr>
        <w:rFonts w:hint="default"/>
        <w:lang w:val="es-ES" w:eastAsia="en-US" w:bidi="ar-SA"/>
      </w:rPr>
    </w:lvl>
    <w:lvl w:ilvl="1">
      <w:start w:val="1"/>
      <w:numFmt w:val="decimal"/>
      <w:lvlText w:val="%1.%2."/>
      <w:lvlJc w:val="left"/>
      <w:pPr>
        <w:ind w:left="1562" w:hanging="428"/>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3231" w:hanging="428"/>
      </w:pPr>
      <w:rPr>
        <w:rFonts w:hint="default"/>
        <w:lang w:val="es-ES" w:eastAsia="en-US" w:bidi="ar-SA"/>
      </w:rPr>
    </w:lvl>
    <w:lvl w:ilvl="3">
      <w:start w:val="0"/>
      <w:numFmt w:val="bullet"/>
      <w:lvlText w:val="•"/>
      <w:lvlJc w:val="left"/>
      <w:pPr>
        <w:ind w:left="4066" w:hanging="428"/>
      </w:pPr>
      <w:rPr>
        <w:rFonts w:hint="default"/>
        <w:lang w:val="es-ES" w:eastAsia="en-US" w:bidi="ar-SA"/>
      </w:rPr>
    </w:lvl>
    <w:lvl w:ilvl="4">
      <w:start w:val="0"/>
      <w:numFmt w:val="bullet"/>
      <w:lvlText w:val="•"/>
      <w:lvlJc w:val="left"/>
      <w:pPr>
        <w:ind w:left="4902" w:hanging="428"/>
      </w:pPr>
      <w:rPr>
        <w:rFonts w:hint="default"/>
        <w:lang w:val="es-ES" w:eastAsia="en-US" w:bidi="ar-SA"/>
      </w:rPr>
    </w:lvl>
    <w:lvl w:ilvl="5">
      <w:start w:val="0"/>
      <w:numFmt w:val="bullet"/>
      <w:lvlText w:val="•"/>
      <w:lvlJc w:val="left"/>
      <w:pPr>
        <w:ind w:left="5738" w:hanging="428"/>
      </w:pPr>
      <w:rPr>
        <w:rFonts w:hint="default"/>
        <w:lang w:val="es-ES" w:eastAsia="en-US" w:bidi="ar-SA"/>
      </w:rPr>
    </w:lvl>
    <w:lvl w:ilvl="6">
      <w:start w:val="0"/>
      <w:numFmt w:val="bullet"/>
      <w:lvlText w:val="•"/>
      <w:lvlJc w:val="left"/>
      <w:pPr>
        <w:ind w:left="6573" w:hanging="428"/>
      </w:pPr>
      <w:rPr>
        <w:rFonts w:hint="default"/>
        <w:lang w:val="es-ES" w:eastAsia="en-US" w:bidi="ar-SA"/>
      </w:rPr>
    </w:lvl>
    <w:lvl w:ilvl="7">
      <w:start w:val="0"/>
      <w:numFmt w:val="bullet"/>
      <w:lvlText w:val="•"/>
      <w:lvlJc w:val="left"/>
      <w:pPr>
        <w:ind w:left="7409" w:hanging="428"/>
      </w:pPr>
      <w:rPr>
        <w:rFonts w:hint="default"/>
        <w:lang w:val="es-ES" w:eastAsia="en-US" w:bidi="ar-SA"/>
      </w:rPr>
    </w:lvl>
    <w:lvl w:ilvl="8">
      <w:start w:val="0"/>
      <w:numFmt w:val="bullet"/>
      <w:lvlText w:val="•"/>
      <w:lvlJc w:val="left"/>
      <w:pPr>
        <w:ind w:left="8244" w:hanging="428"/>
      </w:pPr>
      <w:rPr>
        <w:rFonts w:hint="default"/>
        <w:lang w:val="es-ES" w:eastAsia="en-US" w:bidi="ar-SA"/>
      </w:rPr>
    </w:lvl>
  </w:abstractNum>
  <w:abstractNum w:abstractNumId="5">
    <w:multiLevelType w:val="hybridMultilevel"/>
    <w:lvl w:ilvl="0">
      <w:start w:val="5"/>
      <w:numFmt w:val="decimal"/>
      <w:lvlText w:val="%1"/>
      <w:lvlJc w:val="left"/>
      <w:pPr>
        <w:ind w:left="1855" w:hanging="720"/>
        <w:jc w:val="left"/>
      </w:pPr>
      <w:rPr>
        <w:rFonts w:hint="default"/>
        <w:lang w:val="es-ES" w:eastAsia="en-US" w:bidi="ar-SA"/>
      </w:rPr>
    </w:lvl>
    <w:lvl w:ilvl="1">
      <w:start w:val="1"/>
      <w:numFmt w:val="decimal"/>
      <w:lvlText w:val="%1.%2."/>
      <w:lvlJc w:val="left"/>
      <w:pPr>
        <w:ind w:left="1855" w:hanging="72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0"/>
      <w:numFmt w:val="bullet"/>
      <w:lvlText w:val="•"/>
      <w:lvlJc w:val="left"/>
      <w:pPr>
        <w:ind w:left="3471" w:hanging="720"/>
      </w:pPr>
      <w:rPr>
        <w:rFonts w:hint="default"/>
        <w:lang w:val="es-ES" w:eastAsia="en-US" w:bidi="ar-SA"/>
      </w:rPr>
    </w:lvl>
    <w:lvl w:ilvl="3">
      <w:start w:val="0"/>
      <w:numFmt w:val="bullet"/>
      <w:lvlText w:val="•"/>
      <w:lvlJc w:val="left"/>
      <w:pPr>
        <w:ind w:left="4276" w:hanging="720"/>
      </w:pPr>
      <w:rPr>
        <w:rFonts w:hint="default"/>
        <w:lang w:val="es-ES" w:eastAsia="en-US" w:bidi="ar-SA"/>
      </w:rPr>
    </w:lvl>
    <w:lvl w:ilvl="4">
      <w:start w:val="0"/>
      <w:numFmt w:val="bullet"/>
      <w:lvlText w:val="•"/>
      <w:lvlJc w:val="left"/>
      <w:pPr>
        <w:ind w:left="5082" w:hanging="720"/>
      </w:pPr>
      <w:rPr>
        <w:rFonts w:hint="default"/>
        <w:lang w:val="es-ES" w:eastAsia="en-US" w:bidi="ar-SA"/>
      </w:rPr>
    </w:lvl>
    <w:lvl w:ilvl="5">
      <w:start w:val="0"/>
      <w:numFmt w:val="bullet"/>
      <w:lvlText w:val="•"/>
      <w:lvlJc w:val="left"/>
      <w:pPr>
        <w:ind w:left="5888" w:hanging="720"/>
      </w:pPr>
      <w:rPr>
        <w:rFonts w:hint="default"/>
        <w:lang w:val="es-ES" w:eastAsia="en-US" w:bidi="ar-SA"/>
      </w:rPr>
    </w:lvl>
    <w:lvl w:ilvl="6">
      <w:start w:val="0"/>
      <w:numFmt w:val="bullet"/>
      <w:lvlText w:val="•"/>
      <w:lvlJc w:val="left"/>
      <w:pPr>
        <w:ind w:left="6693" w:hanging="720"/>
      </w:pPr>
      <w:rPr>
        <w:rFonts w:hint="default"/>
        <w:lang w:val="es-ES" w:eastAsia="en-US" w:bidi="ar-SA"/>
      </w:rPr>
    </w:lvl>
    <w:lvl w:ilvl="7">
      <w:start w:val="0"/>
      <w:numFmt w:val="bullet"/>
      <w:lvlText w:val="•"/>
      <w:lvlJc w:val="left"/>
      <w:pPr>
        <w:ind w:left="7499" w:hanging="720"/>
      </w:pPr>
      <w:rPr>
        <w:rFonts w:hint="default"/>
        <w:lang w:val="es-ES" w:eastAsia="en-US" w:bidi="ar-SA"/>
      </w:rPr>
    </w:lvl>
    <w:lvl w:ilvl="8">
      <w:start w:val="0"/>
      <w:numFmt w:val="bullet"/>
      <w:lvlText w:val="•"/>
      <w:lvlJc w:val="left"/>
      <w:pPr>
        <w:ind w:left="8304" w:hanging="720"/>
      </w:pPr>
      <w:rPr>
        <w:rFonts w:hint="default"/>
        <w:lang w:val="es-ES" w:eastAsia="en-US" w:bidi="ar-SA"/>
      </w:rPr>
    </w:lvl>
  </w:abstractNum>
  <w:abstractNum w:abstractNumId="4">
    <w:multiLevelType w:val="hybridMultilevel"/>
    <w:lvl w:ilvl="0">
      <w:start w:val="4"/>
      <w:numFmt w:val="decimal"/>
      <w:lvlText w:val="%1"/>
      <w:lvlJc w:val="left"/>
      <w:pPr>
        <w:ind w:left="1855" w:hanging="720"/>
        <w:jc w:val="left"/>
      </w:pPr>
      <w:rPr>
        <w:rFonts w:hint="default"/>
        <w:lang w:val="es-ES" w:eastAsia="en-US" w:bidi="ar-SA"/>
      </w:rPr>
    </w:lvl>
    <w:lvl w:ilvl="1">
      <w:start w:val="1"/>
      <w:numFmt w:val="decimal"/>
      <w:lvlText w:val="%1.%2."/>
      <w:lvlJc w:val="left"/>
      <w:pPr>
        <w:ind w:left="1855" w:hanging="72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2095" w:hanging="9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836" w:hanging="960"/>
      </w:pPr>
      <w:rPr>
        <w:rFonts w:hint="default"/>
        <w:lang w:val="es-ES" w:eastAsia="en-US" w:bidi="ar-SA"/>
      </w:rPr>
    </w:lvl>
    <w:lvl w:ilvl="4">
      <w:start w:val="0"/>
      <w:numFmt w:val="bullet"/>
      <w:lvlText w:val="•"/>
      <w:lvlJc w:val="left"/>
      <w:pPr>
        <w:ind w:left="4705" w:hanging="960"/>
      </w:pPr>
      <w:rPr>
        <w:rFonts w:hint="default"/>
        <w:lang w:val="es-ES" w:eastAsia="en-US" w:bidi="ar-SA"/>
      </w:rPr>
    </w:lvl>
    <w:lvl w:ilvl="5">
      <w:start w:val="0"/>
      <w:numFmt w:val="bullet"/>
      <w:lvlText w:val="•"/>
      <w:lvlJc w:val="left"/>
      <w:pPr>
        <w:ind w:left="5573" w:hanging="960"/>
      </w:pPr>
      <w:rPr>
        <w:rFonts w:hint="default"/>
        <w:lang w:val="es-ES" w:eastAsia="en-US" w:bidi="ar-SA"/>
      </w:rPr>
    </w:lvl>
    <w:lvl w:ilvl="6">
      <w:start w:val="0"/>
      <w:numFmt w:val="bullet"/>
      <w:lvlText w:val="•"/>
      <w:lvlJc w:val="left"/>
      <w:pPr>
        <w:ind w:left="6442" w:hanging="960"/>
      </w:pPr>
      <w:rPr>
        <w:rFonts w:hint="default"/>
        <w:lang w:val="es-ES" w:eastAsia="en-US" w:bidi="ar-SA"/>
      </w:rPr>
    </w:lvl>
    <w:lvl w:ilvl="7">
      <w:start w:val="0"/>
      <w:numFmt w:val="bullet"/>
      <w:lvlText w:val="•"/>
      <w:lvlJc w:val="left"/>
      <w:pPr>
        <w:ind w:left="7310" w:hanging="960"/>
      </w:pPr>
      <w:rPr>
        <w:rFonts w:hint="default"/>
        <w:lang w:val="es-ES" w:eastAsia="en-US" w:bidi="ar-SA"/>
      </w:rPr>
    </w:lvl>
    <w:lvl w:ilvl="8">
      <w:start w:val="0"/>
      <w:numFmt w:val="bullet"/>
      <w:lvlText w:val="•"/>
      <w:lvlJc w:val="left"/>
      <w:pPr>
        <w:ind w:left="8179" w:hanging="960"/>
      </w:pPr>
      <w:rPr>
        <w:rFonts w:hint="default"/>
        <w:lang w:val="es-ES" w:eastAsia="en-US" w:bidi="ar-SA"/>
      </w:rPr>
    </w:lvl>
  </w:abstractNum>
  <w:abstractNum w:abstractNumId="3">
    <w:multiLevelType w:val="hybridMultilevel"/>
    <w:lvl w:ilvl="0">
      <w:start w:val="3"/>
      <w:numFmt w:val="decimal"/>
      <w:lvlText w:val="%1"/>
      <w:lvlJc w:val="left"/>
      <w:pPr>
        <w:ind w:left="1855" w:hanging="720"/>
        <w:jc w:val="left"/>
      </w:pPr>
      <w:rPr>
        <w:rFonts w:hint="default"/>
        <w:lang w:val="es-ES" w:eastAsia="en-US" w:bidi="ar-SA"/>
      </w:rPr>
    </w:lvl>
    <w:lvl w:ilvl="1">
      <w:start w:val="9"/>
      <w:numFmt w:val="decimal"/>
      <w:lvlText w:val="%1.%2"/>
      <w:lvlJc w:val="left"/>
      <w:pPr>
        <w:ind w:left="1855" w:hanging="720"/>
        <w:jc w:val="left"/>
      </w:pPr>
      <w:rPr>
        <w:rFonts w:hint="default"/>
        <w:lang w:val="es-ES" w:eastAsia="en-US" w:bidi="ar-SA"/>
      </w:rPr>
    </w:lvl>
    <w:lvl w:ilvl="2">
      <w:start w:val="10"/>
      <w:numFmt w:val="decimal"/>
      <w:lvlText w:val="%1.%2.%3."/>
      <w:lvlJc w:val="left"/>
      <w:pPr>
        <w:ind w:left="1855" w:hanging="72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4276" w:hanging="720"/>
      </w:pPr>
      <w:rPr>
        <w:rFonts w:hint="default"/>
        <w:lang w:val="es-ES" w:eastAsia="en-US" w:bidi="ar-SA"/>
      </w:rPr>
    </w:lvl>
    <w:lvl w:ilvl="4">
      <w:start w:val="0"/>
      <w:numFmt w:val="bullet"/>
      <w:lvlText w:val="•"/>
      <w:lvlJc w:val="left"/>
      <w:pPr>
        <w:ind w:left="5082" w:hanging="720"/>
      </w:pPr>
      <w:rPr>
        <w:rFonts w:hint="default"/>
        <w:lang w:val="es-ES" w:eastAsia="en-US" w:bidi="ar-SA"/>
      </w:rPr>
    </w:lvl>
    <w:lvl w:ilvl="5">
      <w:start w:val="0"/>
      <w:numFmt w:val="bullet"/>
      <w:lvlText w:val="•"/>
      <w:lvlJc w:val="left"/>
      <w:pPr>
        <w:ind w:left="5888" w:hanging="720"/>
      </w:pPr>
      <w:rPr>
        <w:rFonts w:hint="default"/>
        <w:lang w:val="es-ES" w:eastAsia="en-US" w:bidi="ar-SA"/>
      </w:rPr>
    </w:lvl>
    <w:lvl w:ilvl="6">
      <w:start w:val="0"/>
      <w:numFmt w:val="bullet"/>
      <w:lvlText w:val="•"/>
      <w:lvlJc w:val="left"/>
      <w:pPr>
        <w:ind w:left="6693" w:hanging="720"/>
      </w:pPr>
      <w:rPr>
        <w:rFonts w:hint="default"/>
        <w:lang w:val="es-ES" w:eastAsia="en-US" w:bidi="ar-SA"/>
      </w:rPr>
    </w:lvl>
    <w:lvl w:ilvl="7">
      <w:start w:val="0"/>
      <w:numFmt w:val="bullet"/>
      <w:lvlText w:val="•"/>
      <w:lvlJc w:val="left"/>
      <w:pPr>
        <w:ind w:left="7499" w:hanging="720"/>
      </w:pPr>
      <w:rPr>
        <w:rFonts w:hint="default"/>
        <w:lang w:val="es-ES" w:eastAsia="en-US" w:bidi="ar-SA"/>
      </w:rPr>
    </w:lvl>
    <w:lvl w:ilvl="8">
      <w:start w:val="0"/>
      <w:numFmt w:val="bullet"/>
      <w:lvlText w:val="•"/>
      <w:lvlJc w:val="left"/>
      <w:pPr>
        <w:ind w:left="8304" w:hanging="720"/>
      </w:pPr>
      <w:rPr>
        <w:rFonts w:hint="default"/>
        <w:lang w:val="es-ES" w:eastAsia="en-US" w:bidi="ar-SA"/>
      </w:rPr>
    </w:lvl>
  </w:abstractNum>
  <w:abstractNum w:abstractNumId="2">
    <w:multiLevelType w:val="hybridMultilevel"/>
    <w:lvl w:ilvl="0">
      <w:start w:val="3"/>
      <w:numFmt w:val="decimal"/>
      <w:lvlText w:val="%1"/>
      <w:lvlJc w:val="left"/>
      <w:pPr>
        <w:ind w:left="1855" w:hanging="720"/>
        <w:jc w:val="left"/>
      </w:pPr>
      <w:rPr>
        <w:rFonts w:hint="default"/>
        <w:lang w:val="es-ES" w:eastAsia="en-US" w:bidi="ar-SA"/>
      </w:rPr>
    </w:lvl>
    <w:lvl w:ilvl="1">
      <w:start w:val="1"/>
      <w:numFmt w:val="decimal"/>
      <w:lvlText w:val="%1.%2."/>
      <w:lvlJc w:val="left"/>
      <w:pPr>
        <w:ind w:left="1855" w:hanging="72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737" w:hanging="603"/>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3077" w:hanging="603"/>
      </w:pPr>
      <w:rPr>
        <w:rFonts w:hint="default"/>
        <w:lang w:val="es-ES" w:eastAsia="en-US" w:bidi="ar-SA"/>
      </w:rPr>
    </w:lvl>
    <w:lvl w:ilvl="4">
      <w:start w:val="0"/>
      <w:numFmt w:val="bullet"/>
      <w:lvlText w:val="•"/>
      <w:lvlJc w:val="left"/>
      <w:pPr>
        <w:ind w:left="4054" w:hanging="603"/>
      </w:pPr>
      <w:rPr>
        <w:rFonts w:hint="default"/>
        <w:lang w:val="es-ES" w:eastAsia="en-US" w:bidi="ar-SA"/>
      </w:rPr>
    </w:lvl>
    <w:lvl w:ilvl="5">
      <w:start w:val="0"/>
      <w:numFmt w:val="bullet"/>
      <w:lvlText w:val="•"/>
      <w:lvlJc w:val="left"/>
      <w:pPr>
        <w:ind w:left="5031" w:hanging="603"/>
      </w:pPr>
      <w:rPr>
        <w:rFonts w:hint="default"/>
        <w:lang w:val="es-ES" w:eastAsia="en-US" w:bidi="ar-SA"/>
      </w:rPr>
    </w:lvl>
    <w:lvl w:ilvl="6">
      <w:start w:val="0"/>
      <w:numFmt w:val="bullet"/>
      <w:lvlText w:val="•"/>
      <w:lvlJc w:val="left"/>
      <w:pPr>
        <w:ind w:left="6008" w:hanging="603"/>
      </w:pPr>
      <w:rPr>
        <w:rFonts w:hint="default"/>
        <w:lang w:val="es-ES" w:eastAsia="en-US" w:bidi="ar-SA"/>
      </w:rPr>
    </w:lvl>
    <w:lvl w:ilvl="7">
      <w:start w:val="0"/>
      <w:numFmt w:val="bullet"/>
      <w:lvlText w:val="•"/>
      <w:lvlJc w:val="left"/>
      <w:pPr>
        <w:ind w:left="6985" w:hanging="603"/>
      </w:pPr>
      <w:rPr>
        <w:rFonts w:hint="default"/>
        <w:lang w:val="es-ES" w:eastAsia="en-US" w:bidi="ar-SA"/>
      </w:rPr>
    </w:lvl>
    <w:lvl w:ilvl="8">
      <w:start w:val="0"/>
      <w:numFmt w:val="bullet"/>
      <w:lvlText w:val="•"/>
      <w:lvlJc w:val="left"/>
      <w:pPr>
        <w:ind w:left="7962" w:hanging="603"/>
      </w:pPr>
      <w:rPr>
        <w:rFonts w:hint="default"/>
        <w:lang w:val="es-ES" w:eastAsia="en-US" w:bidi="ar-SA"/>
      </w:rPr>
    </w:lvl>
  </w:abstractNum>
  <w:abstractNum w:abstractNumId="1">
    <w:multiLevelType w:val="hybridMultilevel"/>
    <w:lvl w:ilvl="0">
      <w:start w:val="2"/>
      <w:numFmt w:val="decimal"/>
      <w:lvlText w:val="%1"/>
      <w:lvlJc w:val="left"/>
      <w:pPr>
        <w:ind w:left="1855" w:hanging="72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1"/>
      <w:numFmt w:val="decimal"/>
      <w:lvlText w:val="%1.%2."/>
      <w:lvlJc w:val="left"/>
      <w:pPr>
        <w:ind w:left="1855" w:hanging="72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0"/>
      <w:numFmt w:val="bullet"/>
      <w:lvlText w:val="•"/>
      <w:lvlJc w:val="left"/>
      <w:pPr>
        <w:ind w:left="3471" w:hanging="720"/>
      </w:pPr>
      <w:rPr>
        <w:rFonts w:hint="default"/>
        <w:lang w:val="es-ES" w:eastAsia="en-US" w:bidi="ar-SA"/>
      </w:rPr>
    </w:lvl>
    <w:lvl w:ilvl="3">
      <w:start w:val="0"/>
      <w:numFmt w:val="bullet"/>
      <w:lvlText w:val="•"/>
      <w:lvlJc w:val="left"/>
      <w:pPr>
        <w:ind w:left="4276" w:hanging="720"/>
      </w:pPr>
      <w:rPr>
        <w:rFonts w:hint="default"/>
        <w:lang w:val="es-ES" w:eastAsia="en-US" w:bidi="ar-SA"/>
      </w:rPr>
    </w:lvl>
    <w:lvl w:ilvl="4">
      <w:start w:val="0"/>
      <w:numFmt w:val="bullet"/>
      <w:lvlText w:val="•"/>
      <w:lvlJc w:val="left"/>
      <w:pPr>
        <w:ind w:left="5082" w:hanging="720"/>
      </w:pPr>
      <w:rPr>
        <w:rFonts w:hint="default"/>
        <w:lang w:val="es-ES" w:eastAsia="en-US" w:bidi="ar-SA"/>
      </w:rPr>
    </w:lvl>
    <w:lvl w:ilvl="5">
      <w:start w:val="0"/>
      <w:numFmt w:val="bullet"/>
      <w:lvlText w:val="•"/>
      <w:lvlJc w:val="left"/>
      <w:pPr>
        <w:ind w:left="5888" w:hanging="720"/>
      </w:pPr>
      <w:rPr>
        <w:rFonts w:hint="default"/>
        <w:lang w:val="es-ES" w:eastAsia="en-US" w:bidi="ar-SA"/>
      </w:rPr>
    </w:lvl>
    <w:lvl w:ilvl="6">
      <w:start w:val="0"/>
      <w:numFmt w:val="bullet"/>
      <w:lvlText w:val="•"/>
      <w:lvlJc w:val="left"/>
      <w:pPr>
        <w:ind w:left="6693" w:hanging="720"/>
      </w:pPr>
      <w:rPr>
        <w:rFonts w:hint="default"/>
        <w:lang w:val="es-ES" w:eastAsia="en-US" w:bidi="ar-SA"/>
      </w:rPr>
    </w:lvl>
    <w:lvl w:ilvl="7">
      <w:start w:val="0"/>
      <w:numFmt w:val="bullet"/>
      <w:lvlText w:val="•"/>
      <w:lvlJc w:val="left"/>
      <w:pPr>
        <w:ind w:left="7499" w:hanging="720"/>
      </w:pPr>
      <w:rPr>
        <w:rFonts w:hint="default"/>
        <w:lang w:val="es-ES" w:eastAsia="en-US" w:bidi="ar-SA"/>
      </w:rPr>
    </w:lvl>
    <w:lvl w:ilvl="8">
      <w:start w:val="0"/>
      <w:numFmt w:val="bullet"/>
      <w:lvlText w:val="•"/>
      <w:lvlJc w:val="left"/>
      <w:pPr>
        <w:ind w:left="8304" w:hanging="720"/>
      </w:pPr>
      <w:rPr>
        <w:rFonts w:hint="default"/>
        <w:lang w:val="es-ES" w:eastAsia="en-US" w:bidi="ar-SA"/>
      </w:rPr>
    </w:lvl>
  </w:abstractNum>
  <w:abstractNum w:abstractNumId="0">
    <w:multiLevelType w:val="hybridMultilevel"/>
    <w:lvl w:ilvl="0">
      <w:start w:val="1"/>
      <w:numFmt w:val="decimal"/>
      <w:lvlText w:val="%1"/>
      <w:lvlJc w:val="left"/>
      <w:pPr>
        <w:ind w:left="1855" w:hanging="720"/>
        <w:jc w:val="left"/>
      </w:pPr>
      <w:rPr>
        <w:rFonts w:hint="default"/>
        <w:lang w:val="es-ES" w:eastAsia="en-US" w:bidi="ar-SA"/>
      </w:rPr>
    </w:lvl>
    <w:lvl w:ilvl="1">
      <w:start w:val="1"/>
      <w:numFmt w:val="decimal"/>
      <w:lvlText w:val="%1.%2."/>
      <w:lvlJc w:val="left"/>
      <w:pPr>
        <w:ind w:left="1855" w:hanging="72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0"/>
      <w:numFmt w:val="bullet"/>
      <w:lvlText w:val="•"/>
      <w:lvlJc w:val="left"/>
      <w:pPr>
        <w:ind w:left="3471" w:hanging="720"/>
      </w:pPr>
      <w:rPr>
        <w:rFonts w:hint="default"/>
        <w:lang w:val="es-ES" w:eastAsia="en-US" w:bidi="ar-SA"/>
      </w:rPr>
    </w:lvl>
    <w:lvl w:ilvl="3">
      <w:start w:val="0"/>
      <w:numFmt w:val="bullet"/>
      <w:lvlText w:val="•"/>
      <w:lvlJc w:val="left"/>
      <w:pPr>
        <w:ind w:left="4276" w:hanging="720"/>
      </w:pPr>
      <w:rPr>
        <w:rFonts w:hint="default"/>
        <w:lang w:val="es-ES" w:eastAsia="en-US" w:bidi="ar-SA"/>
      </w:rPr>
    </w:lvl>
    <w:lvl w:ilvl="4">
      <w:start w:val="0"/>
      <w:numFmt w:val="bullet"/>
      <w:lvlText w:val="•"/>
      <w:lvlJc w:val="left"/>
      <w:pPr>
        <w:ind w:left="5082" w:hanging="720"/>
      </w:pPr>
      <w:rPr>
        <w:rFonts w:hint="default"/>
        <w:lang w:val="es-ES" w:eastAsia="en-US" w:bidi="ar-SA"/>
      </w:rPr>
    </w:lvl>
    <w:lvl w:ilvl="5">
      <w:start w:val="0"/>
      <w:numFmt w:val="bullet"/>
      <w:lvlText w:val="•"/>
      <w:lvlJc w:val="left"/>
      <w:pPr>
        <w:ind w:left="5888" w:hanging="720"/>
      </w:pPr>
      <w:rPr>
        <w:rFonts w:hint="default"/>
        <w:lang w:val="es-ES" w:eastAsia="en-US" w:bidi="ar-SA"/>
      </w:rPr>
    </w:lvl>
    <w:lvl w:ilvl="6">
      <w:start w:val="0"/>
      <w:numFmt w:val="bullet"/>
      <w:lvlText w:val="•"/>
      <w:lvlJc w:val="left"/>
      <w:pPr>
        <w:ind w:left="6693" w:hanging="720"/>
      </w:pPr>
      <w:rPr>
        <w:rFonts w:hint="default"/>
        <w:lang w:val="es-ES" w:eastAsia="en-US" w:bidi="ar-SA"/>
      </w:rPr>
    </w:lvl>
    <w:lvl w:ilvl="7">
      <w:start w:val="0"/>
      <w:numFmt w:val="bullet"/>
      <w:lvlText w:val="•"/>
      <w:lvlJc w:val="left"/>
      <w:pPr>
        <w:ind w:left="7499" w:hanging="720"/>
      </w:pPr>
      <w:rPr>
        <w:rFonts w:hint="default"/>
        <w:lang w:val="es-ES" w:eastAsia="en-US" w:bidi="ar-SA"/>
      </w:rPr>
    </w:lvl>
    <w:lvl w:ilvl="8">
      <w:start w:val="0"/>
      <w:numFmt w:val="bullet"/>
      <w:lvlText w:val="•"/>
      <w:lvlJc w:val="left"/>
      <w:pPr>
        <w:ind w:left="8304" w:hanging="720"/>
      </w:pPr>
      <w:rPr>
        <w:rFonts w:hint="default"/>
        <w:lang w:val="es-ES" w:eastAsia="en-US" w:bidi="ar-SA"/>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spacing w:before="240"/>
      <w:ind w:left="1855" w:hanging="720"/>
    </w:pPr>
    <w:rPr>
      <w:rFonts w:ascii="Times New Roman" w:hAnsi="Times New Roman" w:eastAsia="Times New Roman" w:cs="Times New Roman"/>
      <w:sz w:val="24"/>
      <w:szCs w:val="24"/>
      <w:lang w:val="es-ES" w:eastAsia="en-US" w:bidi="ar-SA"/>
    </w:rPr>
  </w:style>
  <w:style w:styleId="TOC2" w:type="paragraph">
    <w:name w:val="TOC 2"/>
    <w:basedOn w:val="Normal"/>
    <w:uiPriority w:val="1"/>
    <w:qFormat/>
    <w:pPr>
      <w:spacing w:before="240"/>
      <w:ind w:left="2095" w:hanging="960"/>
    </w:pPr>
    <w:rPr>
      <w:rFonts w:ascii="Times New Roman" w:hAnsi="Times New Roman" w:eastAsia="Times New Roman" w:cs="Times New Roman"/>
      <w:sz w:val="24"/>
      <w:szCs w:val="24"/>
      <w:lang w:val="es-ES" w:eastAsia="en-US" w:bidi="ar-SA"/>
    </w:rPr>
  </w:style>
  <w:style w:styleId="BodyText" w:type="paragraph">
    <w:name w:val="Body Text"/>
    <w:basedOn w:val="Normal"/>
    <w:uiPriority w:val="1"/>
    <w:qFormat/>
    <w:pPr>
      <w:ind w:left="1135"/>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spacing w:before="70"/>
      <w:ind w:left="1135"/>
      <w:outlineLvl w:val="1"/>
    </w:pPr>
    <w:rPr>
      <w:rFonts w:ascii="Times New Roman" w:hAnsi="Times New Roman" w:eastAsia="Times New Roman" w:cs="Times New Roman"/>
      <w:b/>
      <w:bCs/>
      <w:sz w:val="24"/>
      <w:szCs w:val="24"/>
      <w:lang w:val="es-ES" w:eastAsia="en-US" w:bidi="ar-SA"/>
    </w:rPr>
  </w:style>
  <w:style w:styleId="Heading2" w:type="paragraph">
    <w:name w:val="Heading 2"/>
    <w:basedOn w:val="Normal"/>
    <w:uiPriority w:val="1"/>
    <w:qFormat/>
    <w:pPr>
      <w:ind w:left="1135"/>
      <w:outlineLvl w:val="2"/>
    </w:pPr>
    <w:rPr>
      <w:rFonts w:ascii="Times New Roman" w:hAnsi="Times New Roman" w:eastAsia="Times New Roman" w:cs="Times New Roman"/>
      <w:b/>
      <w:bCs/>
      <w:sz w:val="24"/>
      <w:szCs w:val="24"/>
      <w:lang w:val="es-ES" w:eastAsia="en-US" w:bidi="ar-SA"/>
    </w:rPr>
  </w:style>
  <w:style w:styleId="Heading3" w:type="paragraph">
    <w:name w:val="Heading 3"/>
    <w:basedOn w:val="Normal"/>
    <w:uiPriority w:val="1"/>
    <w:qFormat/>
    <w:pPr>
      <w:spacing w:before="70"/>
      <w:ind w:left="1135"/>
      <w:outlineLvl w:val="3"/>
    </w:pPr>
    <w:rPr>
      <w:rFonts w:ascii="Times New Roman" w:hAnsi="Times New Roman" w:eastAsia="Times New Roman" w:cs="Times New Roman"/>
      <w:b/>
      <w:bCs/>
      <w:i/>
      <w:iCs/>
      <w:sz w:val="24"/>
      <w:szCs w:val="24"/>
      <w:lang w:val="es-ES" w:eastAsia="en-US" w:bidi="ar-SA"/>
    </w:rPr>
  </w:style>
  <w:style w:styleId="ListParagraph" w:type="paragraph">
    <w:name w:val="List Paragraph"/>
    <w:basedOn w:val="Normal"/>
    <w:uiPriority w:val="1"/>
    <w:qFormat/>
    <w:pPr>
      <w:spacing w:before="240"/>
      <w:ind w:left="1855" w:hanging="72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image" Target="media/image11.jpeg"/><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hyperlink" Target="https://doi.org/10.1111/jvp.13493" TargetMode="External"/><Relationship Id="rId27" Type="http://schemas.openxmlformats.org/officeDocument/2006/relationships/hyperlink" Target="https://doi.org/10.3390/ani15040575" TargetMode="External"/><Relationship Id="rId28" Type="http://schemas.openxmlformats.org/officeDocument/2006/relationships/hyperlink" Target="https://doi.org/10.3389/fvets.2024.1465844" TargetMode="External"/><Relationship Id="rId29" Type="http://schemas.openxmlformats.org/officeDocument/2006/relationships/hyperlink" Target="https://doi.org/10.3389/fvets.2024.1406576" TargetMode="External"/><Relationship Id="rId30" Type="http://schemas.openxmlformats.org/officeDocument/2006/relationships/hyperlink" Target="https://doi.org/10.3168/jdsc.2024-0655" TargetMode="External"/><Relationship Id="rId31" Type="http://schemas.openxmlformats.org/officeDocument/2006/relationships/hyperlink" Target="https://doi.org/10.1080/09712119.2023.2264912" TargetMode="External"/><Relationship Id="rId32" Type="http://schemas.openxmlformats.org/officeDocument/2006/relationships/hyperlink" Target="https://doi.org/10.3168/jds.2023-24280" TargetMode="External"/><Relationship Id="rId33" Type="http://schemas.openxmlformats.org/officeDocument/2006/relationships/footer" Target="footer5.xml"/><Relationship Id="rId34" Type="http://schemas.openxmlformats.org/officeDocument/2006/relationships/image" Target="media/image18.jpeg"/><Relationship Id="rId35" Type="http://schemas.openxmlformats.org/officeDocument/2006/relationships/footer" Target="footer6.xml"/><Relationship Id="rId36" Type="http://schemas.openxmlformats.org/officeDocument/2006/relationships/image" Target="media/image19.jpeg"/><Relationship Id="rId37" Type="http://schemas.openxmlformats.org/officeDocument/2006/relationships/image" Target="media/image20.jpeg"/><Relationship Id="rId38" Type="http://schemas.openxmlformats.org/officeDocument/2006/relationships/image" Target="media/image21.jpeg"/><Relationship Id="rId39" Type="http://schemas.openxmlformats.org/officeDocument/2006/relationships/image" Target="media/image22.jpeg"/><Relationship Id="rId40" Type="http://schemas.openxmlformats.org/officeDocument/2006/relationships/footer" Target="footer7.xml"/><Relationship Id="rId41" Type="http://schemas.openxmlformats.org/officeDocument/2006/relationships/image" Target="media/image23.jpeg"/><Relationship Id="rId42" Type="http://schemas.openxmlformats.org/officeDocument/2006/relationships/image" Target="media/image24.jpeg"/><Relationship Id="rId43" Type="http://schemas.openxmlformats.org/officeDocument/2006/relationships/image" Target="media/image25.jpeg"/><Relationship Id="rId44" Type="http://schemas.openxmlformats.org/officeDocument/2006/relationships/image" Target="media/image26.jpeg"/><Relationship Id="rId45" Type="http://schemas.openxmlformats.org/officeDocument/2006/relationships/footer" Target="footer8.xml"/><Relationship Id="rId46" Type="http://schemas.openxmlformats.org/officeDocument/2006/relationships/image" Target="media/image27.jpeg"/><Relationship Id="rId47" Type="http://schemas.openxmlformats.org/officeDocument/2006/relationships/image" Target="media/image28.jpeg"/><Relationship Id="rId48" Type="http://schemas.openxmlformats.org/officeDocument/2006/relationships/footer" Target="footer9.xml"/><Relationship Id="rId49" Type="http://schemas.openxmlformats.org/officeDocument/2006/relationships/image" Target="media/image29.jpeg"/><Relationship Id="rId50" Type="http://schemas.openxmlformats.org/officeDocument/2006/relationships/image" Target="media/image30.jpeg"/><Relationship Id="rId51" Type="http://schemas.openxmlformats.org/officeDocument/2006/relationships/footer" Target="footer10.xml"/><Relationship Id="rId52" Type="http://schemas.openxmlformats.org/officeDocument/2006/relationships/image" Target="media/image31.jpeg"/><Relationship Id="rId53" Type="http://schemas.openxmlformats.org/officeDocument/2006/relationships/image" Target="media/image32.png"/><Relationship Id="rId54" Type="http://schemas.openxmlformats.org/officeDocument/2006/relationships/footer" Target="footer11.xml"/><Relationship Id="rId55" Type="http://schemas.openxmlformats.org/officeDocument/2006/relationships/footer" Target="footer12.xml"/><Relationship Id="rId56" Type="http://schemas.openxmlformats.org/officeDocument/2006/relationships/footer" Target="footer13.xml"/><Relationship Id="rId57" Type="http://schemas.openxmlformats.org/officeDocument/2006/relationships/footer" Target="footer14.xml"/><Relationship Id="rId58" Type="http://schemas.openxmlformats.org/officeDocument/2006/relationships/footer" Target="footer15.xml"/><Relationship Id="rId5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dcterms:created xsi:type="dcterms:W3CDTF">2026-08-25T20:13:20Z</dcterms:created>
  <dcterms:modified xsi:type="dcterms:W3CDTF">2026-08-25T20:13:20Z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2026-07-23T00:00:00Z</vt:filetime>
  </property>
  <property fmtid="{D5CDD505-2E9C-101B-9397-08002B2CF9AE}" pid="4" name="Creator">
    <vt:lpwstr>Microsoft® Word 2019</vt:lpwstr>
  </property>
  <property fmtid="{D5CDD505-2E9C-101B-9397-08002B2CF9AE}" pid="5" name="LastSaved">
    <vt:filetime>2026-08-25T00:00:00Z</vt:filetime>
  </property>
  <property fmtid="{D5CDD505-2E9C-101B-9397-08002B2CF9AE}" pid="6" name="Producer">
    <vt:lpwstr>Microsoft® Word 2019</vt:lpwstr>
  </property>
</Properties>
</file>