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338"/>
        <w:rPr>
          <w:sz w:val="20"/>
        </w:rPr>
      </w:pPr>
      <w:r>
        <w:rPr>
          <w:sz w:val="20"/>
        </w:rPr>
        <w:drawing>
          <wp:inline distT="0" distB="0" distL="0" distR="0">
            <wp:extent cx="785912" cy="1028700"/>
            <wp:effectExtent l="0" t="0" r="0" b="0"/>
            <wp:docPr id="1" name="Image 1" descr="Universidad Estatal de Bolivar (UEB) - Carreras y Postgrados"/>
            <wp:cNvGraphicFramePr>
              <a:graphicFrameLocks/>
            </wp:cNvGraphicFramePr>
            <a:graphic>
              <a:graphicData uri="http://schemas.openxmlformats.org/drawingml/2006/picture">
                <pic:pic>
                  <pic:nvPicPr>
                    <pic:cNvPr id="1" name="Image 1" descr="Universidad Estatal de Bolivar (UEB) - Carreras y Postgrados"/>
                    <pic:cNvPicPr/>
                  </pic:nvPicPr>
                  <pic:blipFill>
                    <a:blip r:embed="rId5" cstate="print"/>
                    <a:stretch>
                      <a:fillRect/>
                    </a:stretch>
                  </pic:blipFill>
                  <pic:spPr>
                    <a:xfrm>
                      <a:off x="0" y="0"/>
                      <a:ext cx="785912" cy="1028700"/>
                    </a:xfrm>
                    <a:prstGeom prst="rect">
                      <a:avLst/>
                    </a:prstGeom>
                  </pic:spPr>
                </pic:pic>
              </a:graphicData>
            </a:graphic>
          </wp:inline>
        </w:drawing>
      </w:r>
      <w:r>
        <w:rPr>
          <w:sz w:val="20"/>
        </w:rPr>
      </w:r>
    </w:p>
    <w:p>
      <w:pPr>
        <w:pStyle w:val="Heading1"/>
        <w:spacing w:before="319"/>
        <w:ind w:left="291"/>
      </w:pPr>
      <w:r>
        <w:rPr>
          <w:spacing w:val="-4"/>
        </w:rPr>
        <w:t>UNIVERSIDAD</w:t>
      </w:r>
      <w:r>
        <w:rPr>
          <w:spacing w:val="1"/>
        </w:rPr>
        <w:t> </w:t>
      </w:r>
      <w:r>
        <w:rPr>
          <w:spacing w:val="-4"/>
        </w:rPr>
        <w:t>ESTATAL</w:t>
      </w:r>
      <w:r>
        <w:rPr>
          <w:spacing w:val="-15"/>
        </w:rPr>
        <w:t> </w:t>
      </w:r>
      <w:r>
        <w:rPr>
          <w:spacing w:val="-4"/>
        </w:rPr>
        <w:t>DE</w:t>
      </w:r>
      <w:r>
        <w:rPr>
          <w:spacing w:val="-3"/>
        </w:rPr>
        <w:t> </w:t>
      </w:r>
      <w:r>
        <w:rPr>
          <w:spacing w:val="-4"/>
        </w:rPr>
        <w:t>BOLÍVAR</w:t>
      </w:r>
    </w:p>
    <w:p>
      <w:pPr>
        <w:pStyle w:val="BodyText"/>
        <w:spacing w:before="321"/>
        <w:rPr>
          <w:b/>
          <w:sz w:val="28"/>
        </w:rPr>
      </w:pPr>
    </w:p>
    <w:p>
      <w:pPr>
        <w:pStyle w:val="Heading3"/>
        <w:spacing w:before="1"/>
        <w:ind w:left="275"/>
        <w:jc w:val="center"/>
      </w:pPr>
      <w:r>
        <w:rPr/>
        <w:t>Facultad</w:t>
      </w:r>
      <w:r>
        <w:rPr>
          <w:spacing w:val="-17"/>
        </w:rPr>
        <w:t> </w:t>
      </w:r>
      <w:r>
        <w:rPr/>
        <w:t>de</w:t>
      </w:r>
      <w:r>
        <w:rPr>
          <w:spacing w:val="-7"/>
        </w:rPr>
        <w:t> </w:t>
      </w:r>
      <w:r>
        <w:rPr/>
        <w:t>Ciencias</w:t>
      </w:r>
      <w:r>
        <w:rPr>
          <w:spacing w:val="-17"/>
        </w:rPr>
        <w:t> </w:t>
      </w:r>
      <w:r>
        <w:rPr/>
        <w:t>Agropecuarias,</w:t>
      </w:r>
      <w:r>
        <w:rPr>
          <w:spacing w:val="-4"/>
        </w:rPr>
        <w:t> </w:t>
      </w:r>
      <w:r>
        <w:rPr/>
        <w:t>Recursos</w:t>
      </w:r>
      <w:r>
        <w:rPr>
          <w:spacing w:val="-10"/>
        </w:rPr>
        <w:t> </w:t>
      </w:r>
      <w:r>
        <w:rPr/>
        <w:t>Naturales</w:t>
      </w:r>
      <w:r>
        <w:rPr>
          <w:spacing w:val="-6"/>
        </w:rPr>
        <w:t> </w:t>
      </w:r>
      <w:r>
        <w:rPr/>
        <w:t>y</w:t>
      </w:r>
      <w:r>
        <w:rPr>
          <w:spacing w:val="-5"/>
        </w:rPr>
        <w:t> </w:t>
      </w:r>
      <w:r>
        <w:rPr/>
        <w:t>del</w:t>
      </w:r>
      <w:r>
        <w:rPr>
          <w:spacing w:val="-15"/>
        </w:rPr>
        <w:t> </w:t>
      </w:r>
      <w:r>
        <w:rPr>
          <w:spacing w:val="-2"/>
        </w:rPr>
        <w:t>Ambiente</w:t>
      </w:r>
    </w:p>
    <w:p>
      <w:pPr>
        <w:pStyle w:val="BodyText"/>
        <w:spacing w:before="136"/>
        <w:ind w:left="279"/>
        <w:jc w:val="center"/>
      </w:pPr>
      <w:r>
        <w:rPr/>
        <w:t>Carrera de Medicina</w:t>
      </w:r>
      <w:r>
        <w:rPr>
          <w:spacing w:val="-3"/>
        </w:rPr>
        <w:t> </w:t>
      </w:r>
      <w:r>
        <w:rPr>
          <w:spacing w:val="-2"/>
        </w:rPr>
        <w:t>Veterinaria</w:t>
      </w:r>
    </w:p>
    <w:p>
      <w:pPr>
        <w:pStyle w:val="BodyText"/>
      </w:pPr>
    </w:p>
    <w:p>
      <w:pPr>
        <w:pStyle w:val="BodyText"/>
      </w:pPr>
    </w:p>
    <w:p>
      <w:pPr>
        <w:pStyle w:val="BodyText"/>
        <w:ind w:left="291"/>
        <w:jc w:val="center"/>
      </w:pPr>
      <w:r>
        <w:rPr>
          <w:spacing w:val="-2"/>
        </w:rPr>
        <w:t>TEMA:</w:t>
      </w:r>
    </w:p>
    <w:p>
      <w:pPr>
        <w:pStyle w:val="BodyText"/>
        <w:spacing w:before="140"/>
        <w:ind w:left="293"/>
        <w:jc w:val="center"/>
      </w:pPr>
      <w:r>
        <w:rPr>
          <w:spacing w:val="-2"/>
        </w:rPr>
        <w:t>EVALUACIÓN</w:t>
      </w:r>
      <w:r>
        <w:rPr>
          <w:spacing w:val="-7"/>
        </w:rPr>
        <w:t> </w:t>
      </w:r>
      <w:r>
        <w:rPr>
          <w:spacing w:val="-2"/>
        </w:rPr>
        <w:t>DEL</w:t>
      </w:r>
      <w:r>
        <w:rPr>
          <w:spacing w:val="-7"/>
        </w:rPr>
        <w:t> </w:t>
      </w:r>
      <w:r>
        <w:rPr>
          <w:spacing w:val="-2"/>
        </w:rPr>
        <w:t>CBD</w:t>
      </w:r>
      <w:r>
        <w:rPr>
          <w:spacing w:val="-9"/>
        </w:rPr>
        <w:t> </w:t>
      </w:r>
      <w:r>
        <w:rPr>
          <w:spacing w:val="-2"/>
        </w:rPr>
        <w:t>COMO</w:t>
      </w:r>
      <w:r>
        <w:rPr>
          <w:spacing w:val="-4"/>
        </w:rPr>
        <w:t> </w:t>
      </w:r>
      <w:r>
        <w:rPr>
          <w:spacing w:val="-2"/>
        </w:rPr>
        <w:t>AGENTE</w:t>
      </w:r>
      <w:r>
        <w:rPr>
          <w:spacing w:val="-6"/>
        </w:rPr>
        <w:t> </w:t>
      </w:r>
      <w:r>
        <w:rPr>
          <w:spacing w:val="-2"/>
        </w:rPr>
        <w:t>ANTIBACTERIANO</w:t>
      </w:r>
      <w:r>
        <w:rPr>
          <w:spacing w:val="-3"/>
        </w:rPr>
        <w:t> </w:t>
      </w:r>
      <w:r>
        <w:rPr>
          <w:spacing w:val="-2"/>
        </w:rPr>
        <w:t>EN</w:t>
      </w:r>
      <w:r>
        <w:rPr/>
        <w:t> </w:t>
      </w:r>
      <w:r>
        <w:rPr>
          <w:spacing w:val="-5"/>
        </w:rPr>
        <w:t>EL</w:t>
      </w:r>
    </w:p>
    <w:p>
      <w:pPr>
        <w:spacing w:before="136"/>
        <w:ind w:left="286" w:right="0" w:firstLine="0"/>
        <w:jc w:val="center"/>
        <w:rPr>
          <w:i/>
          <w:sz w:val="24"/>
        </w:rPr>
      </w:pPr>
      <w:r>
        <w:rPr>
          <w:sz w:val="24"/>
        </w:rPr>
        <w:t>TRATAMIENTO</w:t>
      </w:r>
      <w:r>
        <w:rPr>
          <w:spacing w:val="-15"/>
          <w:sz w:val="24"/>
        </w:rPr>
        <w:t> </w:t>
      </w:r>
      <w:r>
        <w:rPr>
          <w:sz w:val="24"/>
        </w:rPr>
        <w:t>DE</w:t>
      </w:r>
      <w:r>
        <w:rPr>
          <w:spacing w:val="-14"/>
          <w:sz w:val="24"/>
        </w:rPr>
        <w:t> </w:t>
      </w:r>
      <w:r>
        <w:rPr>
          <w:sz w:val="24"/>
        </w:rPr>
        <w:t>PIODERMAS</w:t>
      </w:r>
      <w:r>
        <w:rPr>
          <w:spacing w:val="-15"/>
          <w:sz w:val="24"/>
        </w:rPr>
        <w:t> </w:t>
      </w:r>
      <w:r>
        <w:rPr>
          <w:sz w:val="24"/>
        </w:rPr>
        <w:t>CAUSADAS</w:t>
      </w:r>
      <w:r>
        <w:rPr>
          <w:spacing w:val="-15"/>
          <w:sz w:val="24"/>
        </w:rPr>
        <w:t> </w:t>
      </w:r>
      <w:r>
        <w:rPr>
          <w:sz w:val="24"/>
        </w:rPr>
        <w:t>POR</w:t>
      </w:r>
      <w:r>
        <w:rPr>
          <w:spacing w:val="-10"/>
          <w:sz w:val="24"/>
        </w:rPr>
        <w:t> </w:t>
      </w:r>
      <w:r>
        <w:rPr>
          <w:i/>
          <w:sz w:val="24"/>
        </w:rPr>
        <w:t>Staphylococcus</w:t>
      </w:r>
      <w:r>
        <w:rPr>
          <w:i/>
          <w:spacing w:val="-14"/>
          <w:sz w:val="24"/>
        </w:rPr>
        <w:t> </w:t>
      </w:r>
      <w:r>
        <w:rPr>
          <w:i/>
          <w:spacing w:val="-2"/>
          <w:sz w:val="24"/>
        </w:rPr>
        <w:t>aureus</w:t>
      </w:r>
    </w:p>
    <w:p>
      <w:pPr>
        <w:pStyle w:val="BodyText"/>
        <w:spacing w:before="140"/>
        <w:ind w:left="281"/>
        <w:jc w:val="center"/>
        <w:rPr>
          <w:b/>
        </w:rPr>
      </w:pPr>
      <w:r>
        <w:rPr/>
        <w:t>RESISTENTE</w:t>
      </w:r>
      <w:r>
        <w:rPr>
          <w:spacing w:val="-17"/>
        </w:rPr>
        <w:t> </w:t>
      </w:r>
      <w:r>
        <w:rPr/>
        <w:t>A</w:t>
      </w:r>
      <w:r>
        <w:rPr>
          <w:spacing w:val="-18"/>
        </w:rPr>
        <w:t> </w:t>
      </w:r>
      <w:r>
        <w:rPr/>
        <w:t>METICILINA</w:t>
      </w:r>
      <w:r>
        <w:rPr>
          <w:spacing w:val="-17"/>
        </w:rPr>
        <w:t> </w:t>
      </w:r>
      <w:r>
        <w:rPr/>
        <w:t>(MRSA)</w:t>
      </w:r>
      <w:r>
        <w:rPr>
          <w:spacing w:val="-10"/>
        </w:rPr>
        <w:t> </w:t>
      </w:r>
      <w:r>
        <w:rPr/>
        <w:t>EN</w:t>
      </w:r>
      <w:r>
        <w:rPr>
          <w:spacing w:val="-7"/>
        </w:rPr>
        <w:t> </w:t>
      </w:r>
      <w:r>
        <w:rPr>
          <w:spacing w:val="-2"/>
        </w:rPr>
        <w:t>CANINOS</w:t>
      </w:r>
      <w:r>
        <w:rPr>
          <w:b/>
          <w:spacing w:val="-2"/>
        </w:rPr>
        <w:t>.</w:t>
      </w:r>
    </w:p>
    <w:p>
      <w:pPr>
        <w:pStyle w:val="BodyText"/>
        <w:rPr>
          <w:b/>
        </w:rPr>
      </w:pPr>
    </w:p>
    <w:p>
      <w:pPr>
        <w:pStyle w:val="BodyText"/>
        <w:spacing w:before="6"/>
        <w:rPr>
          <w:b/>
        </w:rPr>
      </w:pPr>
    </w:p>
    <w:p>
      <w:pPr>
        <w:spacing w:line="360" w:lineRule="auto" w:before="0"/>
        <w:ind w:left="994" w:right="697" w:firstLine="0"/>
        <w:jc w:val="both"/>
        <w:rPr>
          <w:b/>
          <w:sz w:val="20"/>
        </w:rPr>
      </w:pPr>
      <w:r>
        <w:rPr>
          <w:b/>
          <w:sz w:val="20"/>
        </w:rPr>
        <w:t>Proyecto</w:t>
      </w:r>
      <w:r>
        <w:rPr>
          <w:b/>
          <w:spacing w:val="-2"/>
          <w:sz w:val="20"/>
        </w:rPr>
        <w:t> </w:t>
      </w:r>
      <w:r>
        <w:rPr>
          <w:b/>
          <w:sz w:val="20"/>
        </w:rPr>
        <w:t>de</w:t>
      </w:r>
      <w:r>
        <w:rPr>
          <w:b/>
          <w:spacing w:val="-3"/>
          <w:sz w:val="20"/>
        </w:rPr>
        <w:t> </w:t>
      </w:r>
      <w:r>
        <w:rPr>
          <w:b/>
          <w:sz w:val="20"/>
        </w:rPr>
        <w:t>Investigación</w:t>
      </w:r>
      <w:r>
        <w:rPr>
          <w:b/>
          <w:spacing w:val="-9"/>
          <w:sz w:val="20"/>
        </w:rPr>
        <w:t> </w:t>
      </w:r>
      <w:r>
        <w:rPr>
          <w:b/>
          <w:sz w:val="20"/>
        </w:rPr>
        <w:t>previo</w:t>
      </w:r>
      <w:r>
        <w:rPr>
          <w:b/>
          <w:spacing w:val="-1"/>
          <w:sz w:val="20"/>
        </w:rPr>
        <w:t> </w:t>
      </w:r>
      <w:r>
        <w:rPr>
          <w:b/>
          <w:sz w:val="20"/>
        </w:rPr>
        <w:t>a</w:t>
      </w:r>
      <w:r>
        <w:rPr>
          <w:b/>
          <w:spacing w:val="-6"/>
          <w:sz w:val="20"/>
        </w:rPr>
        <w:t> </w:t>
      </w:r>
      <w:r>
        <w:rPr>
          <w:b/>
          <w:sz w:val="20"/>
        </w:rPr>
        <w:t>la</w:t>
      </w:r>
      <w:r>
        <w:rPr>
          <w:b/>
          <w:spacing w:val="-9"/>
          <w:sz w:val="20"/>
        </w:rPr>
        <w:t> </w:t>
      </w:r>
      <w:r>
        <w:rPr>
          <w:b/>
          <w:sz w:val="20"/>
        </w:rPr>
        <w:t>obtención</w:t>
      </w:r>
      <w:r>
        <w:rPr>
          <w:b/>
          <w:spacing w:val="-11"/>
          <w:sz w:val="20"/>
        </w:rPr>
        <w:t> </w:t>
      </w:r>
      <w:r>
        <w:rPr>
          <w:b/>
          <w:sz w:val="20"/>
        </w:rPr>
        <w:t>del</w:t>
      </w:r>
      <w:r>
        <w:rPr>
          <w:b/>
          <w:spacing w:val="-2"/>
          <w:sz w:val="20"/>
        </w:rPr>
        <w:t> </w:t>
      </w:r>
      <w:r>
        <w:rPr>
          <w:b/>
          <w:sz w:val="20"/>
        </w:rPr>
        <w:t>título</w:t>
      </w:r>
      <w:r>
        <w:rPr>
          <w:b/>
          <w:spacing w:val="-6"/>
          <w:sz w:val="20"/>
        </w:rPr>
        <w:t> </w:t>
      </w:r>
      <w:r>
        <w:rPr>
          <w:b/>
          <w:sz w:val="20"/>
        </w:rPr>
        <w:t>de</w:t>
      </w:r>
      <w:r>
        <w:rPr>
          <w:b/>
          <w:spacing w:val="-7"/>
          <w:sz w:val="20"/>
        </w:rPr>
        <w:t> </w:t>
      </w:r>
      <w:r>
        <w:rPr>
          <w:b/>
          <w:sz w:val="20"/>
        </w:rPr>
        <w:t>Médico</w:t>
      </w:r>
      <w:r>
        <w:rPr>
          <w:b/>
          <w:spacing w:val="-9"/>
          <w:sz w:val="20"/>
        </w:rPr>
        <w:t> </w:t>
      </w:r>
      <w:r>
        <w:rPr>
          <w:b/>
          <w:sz w:val="20"/>
        </w:rPr>
        <w:t>Veterinario</w:t>
      </w:r>
      <w:r>
        <w:rPr>
          <w:b/>
          <w:spacing w:val="-5"/>
          <w:sz w:val="20"/>
        </w:rPr>
        <w:t> </w:t>
      </w:r>
      <w:r>
        <w:rPr>
          <w:b/>
          <w:sz w:val="20"/>
        </w:rPr>
        <w:t>otorgado</w:t>
      </w:r>
      <w:r>
        <w:rPr>
          <w:b/>
          <w:spacing w:val="-6"/>
          <w:sz w:val="20"/>
        </w:rPr>
        <w:t> </w:t>
      </w:r>
      <w:r>
        <w:rPr>
          <w:b/>
          <w:sz w:val="20"/>
        </w:rPr>
        <w:t>por la</w:t>
      </w:r>
      <w:r>
        <w:rPr>
          <w:b/>
          <w:spacing w:val="-13"/>
          <w:sz w:val="20"/>
        </w:rPr>
        <w:t> </w:t>
      </w:r>
      <w:r>
        <w:rPr>
          <w:b/>
          <w:sz w:val="20"/>
        </w:rPr>
        <w:t>Universidad</w:t>
      </w:r>
      <w:r>
        <w:rPr>
          <w:b/>
          <w:spacing w:val="-8"/>
          <w:sz w:val="20"/>
        </w:rPr>
        <w:t> </w:t>
      </w:r>
      <w:r>
        <w:rPr>
          <w:b/>
          <w:sz w:val="20"/>
        </w:rPr>
        <w:t>Estatal</w:t>
      </w:r>
      <w:r>
        <w:rPr>
          <w:b/>
          <w:spacing w:val="-9"/>
          <w:sz w:val="20"/>
        </w:rPr>
        <w:t> </w:t>
      </w:r>
      <w:r>
        <w:rPr>
          <w:b/>
          <w:sz w:val="20"/>
        </w:rPr>
        <w:t>de</w:t>
      </w:r>
      <w:r>
        <w:rPr>
          <w:b/>
          <w:spacing w:val="-11"/>
          <w:sz w:val="20"/>
        </w:rPr>
        <w:t> </w:t>
      </w:r>
      <w:r>
        <w:rPr>
          <w:b/>
          <w:sz w:val="20"/>
        </w:rPr>
        <w:t>Bolívar</w:t>
      </w:r>
      <w:r>
        <w:rPr>
          <w:b/>
          <w:spacing w:val="-10"/>
          <w:sz w:val="20"/>
        </w:rPr>
        <w:t> </w:t>
      </w:r>
      <w:r>
        <w:rPr>
          <w:b/>
          <w:sz w:val="20"/>
        </w:rPr>
        <w:t>a</w:t>
      </w:r>
      <w:r>
        <w:rPr>
          <w:b/>
          <w:spacing w:val="-13"/>
          <w:sz w:val="20"/>
        </w:rPr>
        <w:t> </w:t>
      </w:r>
      <w:r>
        <w:rPr>
          <w:b/>
          <w:sz w:val="20"/>
        </w:rPr>
        <w:t>través</w:t>
      </w:r>
      <w:r>
        <w:rPr>
          <w:b/>
          <w:spacing w:val="-11"/>
          <w:sz w:val="20"/>
        </w:rPr>
        <w:t> </w:t>
      </w:r>
      <w:r>
        <w:rPr>
          <w:b/>
          <w:sz w:val="20"/>
        </w:rPr>
        <w:t>de</w:t>
      </w:r>
      <w:r>
        <w:rPr>
          <w:b/>
          <w:spacing w:val="-6"/>
          <w:sz w:val="20"/>
        </w:rPr>
        <w:t> </w:t>
      </w:r>
      <w:r>
        <w:rPr>
          <w:b/>
          <w:sz w:val="20"/>
        </w:rPr>
        <w:t>la</w:t>
      </w:r>
      <w:r>
        <w:rPr>
          <w:b/>
          <w:spacing w:val="-13"/>
          <w:sz w:val="20"/>
        </w:rPr>
        <w:t> </w:t>
      </w:r>
      <w:r>
        <w:rPr>
          <w:b/>
          <w:sz w:val="20"/>
        </w:rPr>
        <w:t>Facultad</w:t>
      </w:r>
      <w:r>
        <w:rPr>
          <w:b/>
          <w:spacing w:val="-8"/>
          <w:sz w:val="20"/>
        </w:rPr>
        <w:t> </w:t>
      </w:r>
      <w:r>
        <w:rPr>
          <w:b/>
          <w:sz w:val="20"/>
        </w:rPr>
        <w:t>de</w:t>
      </w:r>
      <w:r>
        <w:rPr>
          <w:b/>
          <w:spacing w:val="-10"/>
          <w:sz w:val="20"/>
        </w:rPr>
        <w:t> </w:t>
      </w:r>
      <w:r>
        <w:rPr>
          <w:b/>
          <w:sz w:val="20"/>
        </w:rPr>
        <w:t>Ciencias</w:t>
      </w:r>
      <w:r>
        <w:rPr>
          <w:b/>
          <w:spacing w:val="-13"/>
          <w:sz w:val="20"/>
        </w:rPr>
        <w:t> </w:t>
      </w:r>
      <w:r>
        <w:rPr>
          <w:b/>
          <w:sz w:val="20"/>
        </w:rPr>
        <w:t>Agropecuarias, Recursos Naturales y del Ambiente, Carrera de Medicina Veterinaria</w:t>
      </w:r>
    </w:p>
    <w:p>
      <w:pPr>
        <w:pStyle w:val="BodyText"/>
        <w:rPr>
          <w:b/>
          <w:sz w:val="20"/>
        </w:rPr>
      </w:pPr>
    </w:p>
    <w:p>
      <w:pPr>
        <w:pStyle w:val="BodyText"/>
        <w:rPr>
          <w:b/>
          <w:sz w:val="20"/>
        </w:rPr>
      </w:pPr>
    </w:p>
    <w:p>
      <w:pPr>
        <w:pStyle w:val="BodyText"/>
        <w:spacing w:before="130"/>
        <w:rPr>
          <w:b/>
          <w:sz w:val="20"/>
        </w:rPr>
      </w:pPr>
    </w:p>
    <w:p>
      <w:pPr>
        <w:pStyle w:val="BodyText"/>
        <w:ind w:left="291"/>
        <w:jc w:val="center"/>
      </w:pPr>
      <w:r>
        <w:rPr>
          <w:spacing w:val="-2"/>
        </w:rPr>
        <w:t>Autora:</w:t>
      </w:r>
    </w:p>
    <w:p>
      <w:pPr>
        <w:pStyle w:val="BodyText"/>
        <w:spacing w:before="144"/>
        <w:ind w:left="299"/>
        <w:jc w:val="center"/>
      </w:pPr>
      <w:r>
        <w:rPr/>
        <w:t>María</w:t>
      </w:r>
      <w:r>
        <w:rPr>
          <w:spacing w:val="-7"/>
        </w:rPr>
        <w:t> </w:t>
      </w:r>
      <w:r>
        <w:rPr/>
        <w:t>Belen</w:t>
      </w:r>
      <w:r>
        <w:rPr>
          <w:spacing w:val="-1"/>
        </w:rPr>
        <w:t> </w:t>
      </w:r>
      <w:r>
        <w:rPr/>
        <w:t>Colcha</w:t>
      </w:r>
      <w:r>
        <w:rPr>
          <w:spacing w:val="1"/>
        </w:rPr>
        <w:t> </w:t>
      </w:r>
      <w:r>
        <w:rPr>
          <w:spacing w:val="-4"/>
        </w:rPr>
        <w:t>Lema</w:t>
      </w:r>
    </w:p>
    <w:p>
      <w:pPr>
        <w:pStyle w:val="BodyText"/>
      </w:pPr>
    </w:p>
    <w:p>
      <w:pPr>
        <w:pStyle w:val="BodyText"/>
      </w:pPr>
    </w:p>
    <w:p>
      <w:pPr>
        <w:pStyle w:val="BodyText"/>
        <w:spacing w:before="132"/>
      </w:pPr>
    </w:p>
    <w:p>
      <w:pPr>
        <w:pStyle w:val="BodyText"/>
        <w:spacing w:before="1"/>
        <w:ind w:left="287"/>
        <w:jc w:val="center"/>
      </w:pPr>
      <w:r>
        <w:rPr>
          <w:spacing w:val="-2"/>
        </w:rPr>
        <w:t>Tutor:</w:t>
      </w:r>
    </w:p>
    <w:p>
      <w:pPr>
        <w:pStyle w:val="BodyText"/>
        <w:spacing w:before="144"/>
        <w:ind w:left="293"/>
        <w:jc w:val="center"/>
      </w:pPr>
      <w:r>
        <w:rPr/>
        <w:t>Dr.</w:t>
      </w:r>
      <w:r>
        <w:rPr>
          <w:spacing w:val="-6"/>
        </w:rPr>
        <w:t> </w:t>
      </w:r>
      <w:r>
        <w:rPr/>
        <w:t>Franklin</w:t>
      </w:r>
      <w:r>
        <w:rPr>
          <w:spacing w:val="-15"/>
        </w:rPr>
        <w:t> </w:t>
      </w:r>
      <w:r>
        <w:rPr/>
        <w:t>Antonio</w:t>
      </w:r>
      <w:r>
        <w:rPr>
          <w:spacing w:val="-4"/>
        </w:rPr>
        <w:t> </w:t>
      </w:r>
      <w:r>
        <w:rPr/>
        <w:t>Román</w:t>
      </w:r>
      <w:r>
        <w:rPr>
          <w:spacing w:val="-3"/>
        </w:rPr>
        <w:t> </w:t>
      </w:r>
      <w:r>
        <w:rPr/>
        <w:t>Cardenas</w:t>
      </w:r>
      <w:r>
        <w:rPr>
          <w:spacing w:val="-5"/>
        </w:rPr>
        <w:t> </w:t>
      </w:r>
      <w:r>
        <w:rPr>
          <w:spacing w:val="-4"/>
        </w:rPr>
        <w:t>MSc.</w:t>
      </w:r>
    </w:p>
    <w:p>
      <w:pPr>
        <w:pStyle w:val="BodyText"/>
      </w:pPr>
    </w:p>
    <w:p>
      <w:pPr>
        <w:pStyle w:val="BodyText"/>
      </w:pPr>
    </w:p>
    <w:p>
      <w:pPr>
        <w:pStyle w:val="BodyText"/>
        <w:spacing w:before="136"/>
      </w:pPr>
    </w:p>
    <w:p>
      <w:pPr>
        <w:spacing w:line="362" w:lineRule="auto" w:before="0"/>
        <w:ind w:left="3695" w:right="3404" w:firstLine="0"/>
        <w:jc w:val="center"/>
        <w:rPr>
          <w:b/>
          <w:sz w:val="24"/>
        </w:rPr>
      </w:pPr>
      <w:r>
        <w:rPr>
          <w:b/>
          <w:spacing w:val="-2"/>
          <w:sz w:val="24"/>
        </w:rPr>
        <w:t>Guaranda</w:t>
      </w:r>
      <w:r>
        <w:rPr>
          <w:b/>
          <w:spacing w:val="-16"/>
          <w:sz w:val="24"/>
        </w:rPr>
        <w:t> </w:t>
      </w:r>
      <w:r>
        <w:rPr>
          <w:b/>
          <w:spacing w:val="-2"/>
          <w:sz w:val="24"/>
        </w:rPr>
        <w:t>–</w:t>
      </w:r>
      <w:r>
        <w:rPr>
          <w:b/>
          <w:spacing w:val="-16"/>
          <w:sz w:val="24"/>
        </w:rPr>
        <w:t> </w:t>
      </w:r>
      <w:r>
        <w:rPr>
          <w:b/>
          <w:spacing w:val="-2"/>
          <w:sz w:val="24"/>
        </w:rPr>
        <w:t>Ecuador </w:t>
      </w:r>
      <w:r>
        <w:rPr>
          <w:b/>
          <w:spacing w:val="-4"/>
          <w:sz w:val="24"/>
        </w:rPr>
        <w:t>2026</w:t>
      </w:r>
    </w:p>
    <w:p>
      <w:pPr>
        <w:spacing w:after="0" w:line="362" w:lineRule="auto"/>
        <w:jc w:val="center"/>
        <w:rPr>
          <w:b/>
          <w:sz w:val="24"/>
        </w:rPr>
        <w:sectPr>
          <w:type w:val="continuous"/>
          <w:pgSz w:w="11900" w:h="16840"/>
          <w:pgMar w:top="1720" w:bottom="280" w:left="1275" w:right="992"/>
        </w:sectPr>
      </w:pPr>
    </w:p>
    <w:p>
      <w:pPr>
        <w:pStyle w:val="BodyText"/>
        <w:spacing w:before="4"/>
        <w:rPr>
          <w:b/>
          <w:sz w:val="17"/>
        </w:rPr>
      </w:pPr>
      <w:r>
        <w:rPr>
          <w:b/>
          <w:sz w:val="17"/>
        </w:rPr>
        <w:drawing>
          <wp:anchor distT="0" distB="0" distL="0" distR="0" allowOverlap="1" layoutInCell="1" locked="0" behindDoc="0" simplePos="0" relativeHeight="15728640">
            <wp:simplePos x="0" y="0"/>
            <wp:positionH relativeFrom="page">
              <wp:posOffset>301205</wp:posOffset>
            </wp:positionH>
            <wp:positionV relativeFrom="page">
              <wp:posOffset>0</wp:posOffset>
            </wp:positionV>
            <wp:extent cx="6954089" cy="100330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954089" cy="10033000"/>
                    </a:xfrm>
                    <a:prstGeom prst="rect">
                      <a:avLst/>
                    </a:prstGeom>
                  </pic:spPr>
                </pic:pic>
              </a:graphicData>
            </a:graphic>
          </wp:anchor>
        </w:drawing>
      </w:r>
    </w:p>
    <w:p>
      <w:pPr>
        <w:pStyle w:val="BodyText"/>
        <w:spacing w:after="0"/>
        <w:rPr>
          <w:b/>
          <w:sz w:val="17"/>
        </w:rPr>
        <w:sectPr>
          <w:pgSz w:w="11900" w:h="16840"/>
          <w:pgMar w:top="1940" w:bottom="280" w:left="1275" w:right="992"/>
        </w:sectPr>
      </w:pPr>
    </w:p>
    <w:p>
      <w:pPr>
        <w:pStyle w:val="BodyText"/>
        <w:spacing w:before="4"/>
        <w:rPr>
          <w:b/>
          <w:sz w:val="17"/>
        </w:rPr>
      </w:pPr>
      <w:r>
        <w:rPr>
          <w:b/>
          <w:sz w:val="17"/>
        </w:rPr>
        <w:drawing>
          <wp:anchor distT="0" distB="0" distL="0" distR="0" allowOverlap="1" layoutInCell="1" locked="0" behindDoc="0" simplePos="0" relativeHeight="15729152">
            <wp:simplePos x="0" y="0"/>
            <wp:positionH relativeFrom="page">
              <wp:posOffset>332132</wp:posOffset>
            </wp:positionH>
            <wp:positionV relativeFrom="page">
              <wp:posOffset>0</wp:posOffset>
            </wp:positionV>
            <wp:extent cx="6892235" cy="1003300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892235" cy="10033000"/>
                    </a:xfrm>
                    <a:prstGeom prst="rect">
                      <a:avLst/>
                    </a:prstGeom>
                  </pic:spPr>
                </pic:pic>
              </a:graphicData>
            </a:graphic>
          </wp:anchor>
        </w:drawing>
      </w:r>
    </w:p>
    <w:p>
      <w:pPr>
        <w:pStyle w:val="BodyText"/>
        <w:spacing w:after="0"/>
        <w:rPr>
          <w:b/>
          <w:sz w:val="17"/>
        </w:rPr>
        <w:sectPr>
          <w:pgSz w:w="11900" w:h="16840"/>
          <w:pgMar w:top="1940" w:bottom="280" w:left="1275" w:right="992"/>
        </w:sectPr>
      </w:pPr>
    </w:p>
    <w:p>
      <w:pPr>
        <w:pStyle w:val="BodyText"/>
        <w:spacing w:before="4"/>
        <w:rPr>
          <w:b/>
          <w:sz w:val="17"/>
        </w:rPr>
      </w:pPr>
      <w:r>
        <w:rPr>
          <w:b/>
          <w:sz w:val="17"/>
        </w:rPr>
        <w:drawing>
          <wp:anchor distT="0" distB="0" distL="0" distR="0" allowOverlap="1" layoutInCell="1" locked="0" behindDoc="0" simplePos="0" relativeHeight="15729664">
            <wp:simplePos x="0" y="0"/>
            <wp:positionH relativeFrom="page">
              <wp:posOffset>391796</wp:posOffset>
            </wp:positionH>
            <wp:positionV relativeFrom="page">
              <wp:posOffset>0</wp:posOffset>
            </wp:positionV>
            <wp:extent cx="6772906" cy="100330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6772906" cy="10033000"/>
                    </a:xfrm>
                    <a:prstGeom prst="rect">
                      <a:avLst/>
                    </a:prstGeom>
                  </pic:spPr>
                </pic:pic>
              </a:graphicData>
            </a:graphic>
          </wp:anchor>
        </w:drawing>
      </w:r>
    </w:p>
    <w:p>
      <w:pPr>
        <w:pStyle w:val="BodyText"/>
        <w:spacing w:after="0"/>
        <w:rPr>
          <w:b/>
          <w:sz w:val="17"/>
        </w:rPr>
        <w:sectPr>
          <w:pgSz w:w="11900" w:h="16840"/>
          <w:pgMar w:top="1940" w:bottom="280" w:left="1275" w:right="992"/>
        </w:sectPr>
      </w:pPr>
    </w:p>
    <w:p>
      <w:pPr>
        <w:pStyle w:val="BodyText"/>
        <w:spacing w:before="4"/>
        <w:rPr>
          <w:b/>
          <w:sz w:val="17"/>
        </w:rPr>
      </w:pPr>
      <w:r>
        <w:rPr>
          <w:b/>
          <w:sz w:val="17"/>
        </w:rPr>
        <w:drawing>
          <wp:anchor distT="0" distB="0" distL="0" distR="0" allowOverlap="1" layoutInCell="1" locked="0" behindDoc="0" simplePos="0" relativeHeight="15730176">
            <wp:simplePos x="0" y="0"/>
            <wp:positionH relativeFrom="page">
              <wp:posOffset>345256</wp:posOffset>
            </wp:positionH>
            <wp:positionV relativeFrom="page">
              <wp:posOffset>0</wp:posOffset>
            </wp:positionV>
            <wp:extent cx="6865987" cy="1003300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6865987" cy="10033000"/>
                    </a:xfrm>
                    <a:prstGeom prst="rect">
                      <a:avLst/>
                    </a:prstGeom>
                  </pic:spPr>
                </pic:pic>
              </a:graphicData>
            </a:graphic>
          </wp:anchor>
        </w:drawing>
      </w:r>
    </w:p>
    <w:p>
      <w:pPr>
        <w:pStyle w:val="BodyText"/>
        <w:spacing w:after="0"/>
        <w:rPr>
          <w:b/>
          <w:sz w:val="17"/>
        </w:rPr>
        <w:sectPr>
          <w:pgSz w:w="11900" w:h="16840"/>
          <w:pgMar w:top="1940" w:bottom="280" w:left="1275" w:right="992"/>
        </w:sectPr>
      </w:pPr>
    </w:p>
    <w:p>
      <w:pPr>
        <w:pStyle w:val="Heading2"/>
        <w:ind w:left="285" w:firstLine="0"/>
        <w:jc w:val="center"/>
      </w:pPr>
      <w:r>
        <w:rPr>
          <w:spacing w:val="-2"/>
        </w:rPr>
        <w:t>DEDICATORIA</w:t>
      </w:r>
    </w:p>
    <w:p>
      <w:pPr>
        <w:pStyle w:val="BodyText"/>
        <w:spacing w:line="357" w:lineRule="auto" w:before="140"/>
        <w:ind w:left="994" w:right="714"/>
        <w:jc w:val="both"/>
      </w:pPr>
      <w:r>
        <w:rPr/>
        <w:t>Este</w:t>
      </w:r>
      <w:r>
        <w:rPr>
          <w:spacing w:val="-2"/>
        </w:rPr>
        <w:t> </w:t>
      </w:r>
      <w:r>
        <w:rPr/>
        <w:t>trabajo</w:t>
      </w:r>
      <w:r>
        <w:rPr>
          <w:spacing w:val="-8"/>
        </w:rPr>
        <w:t> </w:t>
      </w:r>
      <w:r>
        <w:rPr/>
        <w:t>se</w:t>
      </w:r>
      <w:r>
        <w:rPr>
          <w:spacing w:val="-2"/>
        </w:rPr>
        <w:t> </w:t>
      </w:r>
      <w:r>
        <w:rPr/>
        <w:t>lo</w:t>
      </w:r>
      <w:r>
        <w:rPr>
          <w:spacing w:val="-8"/>
        </w:rPr>
        <w:t> </w:t>
      </w:r>
      <w:r>
        <w:rPr/>
        <w:t>dedico,</w:t>
      </w:r>
      <w:r>
        <w:rPr>
          <w:spacing w:val="-3"/>
        </w:rPr>
        <w:t> </w:t>
      </w:r>
      <w:r>
        <w:rPr/>
        <w:t>ante</w:t>
      </w:r>
      <w:r>
        <w:rPr>
          <w:spacing w:val="-6"/>
        </w:rPr>
        <w:t> </w:t>
      </w:r>
      <w:r>
        <w:rPr/>
        <w:t>todo,</w:t>
      </w:r>
      <w:r>
        <w:rPr>
          <w:spacing w:val="-8"/>
        </w:rPr>
        <w:t> </w:t>
      </w:r>
      <w:r>
        <w:rPr/>
        <w:t>a</w:t>
      </w:r>
      <w:r>
        <w:rPr>
          <w:spacing w:val="-2"/>
        </w:rPr>
        <w:t> </w:t>
      </w:r>
      <w:r>
        <w:rPr/>
        <w:t>Dios,</w:t>
      </w:r>
      <w:r>
        <w:rPr>
          <w:spacing w:val="-3"/>
        </w:rPr>
        <w:t> </w:t>
      </w:r>
      <w:r>
        <w:rPr/>
        <w:t>por</w:t>
      </w:r>
      <w:r>
        <w:rPr>
          <w:spacing w:val="-3"/>
        </w:rPr>
        <w:t> </w:t>
      </w:r>
      <w:r>
        <w:rPr/>
        <w:t>acompañarme</w:t>
      </w:r>
      <w:r>
        <w:rPr>
          <w:spacing w:val="-6"/>
        </w:rPr>
        <w:t> </w:t>
      </w:r>
      <w:r>
        <w:rPr/>
        <w:t>en</w:t>
      </w:r>
      <w:r>
        <w:rPr>
          <w:spacing w:val="-8"/>
        </w:rPr>
        <w:t> </w:t>
      </w:r>
      <w:r>
        <w:rPr/>
        <w:t>cada</w:t>
      </w:r>
      <w:r>
        <w:rPr>
          <w:spacing w:val="-6"/>
        </w:rPr>
        <w:t> </w:t>
      </w:r>
      <w:r>
        <w:rPr/>
        <w:t>paso,</w:t>
      </w:r>
      <w:r>
        <w:rPr>
          <w:spacing w:val="-3"/>
        </w:rPr>
        <w:t> </w:t>
      </w:r>
      <w:r>
        <w:rPr/>
        <w:t>darme fuerzas cuando más las necesitaba y ser mi refugio en los momentos difíciles.</w:t>
      </w:r>
    </w:p>
    <w:p>
      <w:pPr>
        <w:pStyle w:val="BodyText"/>
        <w:spacing w:line="360" w:lineRule="auto" w:before="166"/>
        <w:ind w:left="994" w:right="715"/>
        <w:jc w:val="both"/>
      </w:pPr>
      <w:r>
        <w:rPr/>
        <w:t>Con todo mi corazón, dedico esta tesis a las dos personas más importantes de mi vida: mi hija, Camila Victoria Gaibor Colcha, y mi madre, Zoila Leonor Lema </w:t>
      </w:r>
      <w:r>
        <w:rPr>
          <w:spacing w:val="-2"/>
        </w:rPr>
        <w:t>Pasquel.</w:t>
      </w:r>
    </w:p>
    <w:p>
      <w:pPr>
        <w:pStyle w:val="BodyText"/>
        <w:spacing w:line="362" w:lineRule="auto" w:before="154"/>
        <w:ind w:left="994" w:right="719"/>
        <w:jc w:val="both"/>
      </w:pPr>
      <w:r>
        <w:rPr/>
        <w:t>A</w:t>
      </w:r>
      <w:r>
        <w:rPr>
          <w:spacing w:val="-4"/>
        </w:rPr>
        <w:t> </w:t>
      </w:r>
      <w:r>
        <w:rPr/>
        <w:t>ti,</w:t>
      </w:r>
      <w:r>
        <w:rPr>
          <w:spacing w:val="-2"/>
        </w:rPr>
        <w:t> </w:t>
      </w:r>
      <w:r>
        <w:rPr/>
        <w:t>Camila,</w:t>
      </w:r>
      <w:r>
        <w:rPr>
          <w:spacing w:val="-2"/>
        </w:rPr>
        <w:t> </w:t>
      </w:r>
      <w:r>
        <w:rPr/>
        <w:t>mi</w:t>
      </w:r>
      <w:r>
        <w:rPr>
          <w:spacing w:val="-1"/>
        </w:rPr>
        <w:t> </w:t>
      </w:r>
      <w:r>
        <w:rPr/>
        <w:t>niña,</w:t>
      </w:r>
      <w:r>
        <w:rPr>
          <w:spacing w:val="-2"/>
        </w:rPr>
        <w:t> </w:t>
      </w:r>
      <w:r>
        <w:rPr/>
        <w:t>que</w:t>
      </w:r>
      <w:r>
        <w:rPr>
          <w:spacing w:val="-1"/>
        </w:rPr>
        <w:t> </w:t>
      </w:r>
      <w:r>
        <w:rPr/>
        <w:t>eres</w:t>
      </w:r>
      <w:r>
        <w:rPr>
          <w:spacing w:val="-4"/>
        </w:rPr>
        <w:t> </w:t>
      </w:r>
      <w:r>
        <w:rPr/>
        <w:t>el</w:t>
      </w:r>
      <w:r>
        <w:rPr>
          <w:spacing w:val="-1"/>
        </w:rPr>
        <w:t> </w:t>
      </w:r>
      <w:r>
        <w:rPr/>
        <w:t>motivo</w:t>
      </w:r>
      <w:r>
        <w:rPr>
          <w:spacing w:val="-7"/>
        </w:rPr>
        <w:t> </w:t>
      </w:r>
      <w:r>
        <w:rPr/>
        <w:t>por</w:t>
      </w:r>
      <w:r>
        <w:rPr>
          <w:spacing w:val="-2"/>
        </w:rPr>
        <w:t> </w:t>
      </w:r>
      <w:r>
        <w:rPr/>
        <w:t>el</w:t>
      </w:r>
      <w:r>
        <w:rPr>
          <w:spacing w:val="-1"/>
        </w:rPr>
        <w:t> </w:t>
      </w:r>
      <w:r>
        <w:rPr/>
        <w:t>que</w:t>
      </w:r>
      <w:r>
        <w:rPr>
          <w:spacing w:val="-1"/>
        </w:rPr>
        <w:t> </w:t>
      </w:r>
      <w:r>
        <w:rPr/>
        <w:t>me</w:t>
      </w:r>
      <w:r>
        <w:rPr>
          <w:spacing w:val="-1"/>
        </w:rPr>
        <w:t> </w:t>
      </w:r>
      <w:r>
        <w:rPr/>
        <w:t>levanté</w:t>
      </w:r>
      <w:r>
        <w:rPr>
          <w:spacing w:val="-1"/>
        </w:rPr>
        <w:t> </w:t>
      </w:r>
      <w:r>
        <w:rPr/>
        <w:t>cada</w:t>
      </w:r>
      <w:r>
        <w:rPr>
          <w:spacing w:val="-1"/>
        </w:rPr>
        <w:t> </w:t>
      </w:r>
      <w:r>
        <w:rPr/>
        <w:t>vez</w:t>
      </w:r>
      <w:r>
        <w:rPr>
          <w:spacing w:val="-1"/>
        </w:rPr>
        <w:t> </w:t>
      </w:r>
      <w:r>
        <w:rPr/>
        <w:t>que</w:t>
      </w:r>
      <w:r>
        <w:rPr>
          <w:spacing w:val="-1"/>
        </w:rPr>
        <w:t> </w:t>
      </w:r>
      <w:r>
        <w:rPr/>
        <w:t>quise rendirme. Cada página de este trabajo tiene algo tuyo, porque tu amor fue lo que me mantuvo en pie.</w:t>
      </w:r>
    </w:p>
    <w:p>
      <w:pPr>
        <w:pStyle w:val="BodyText"/>
        <w:spacing w:line="362" w:lineRule="auto" w:before="155"/>
        <w:ind w:left="994" w:right="717"/>
        <w:jc w:val="both"/>
      </w:pPr>
      <w:r>
        <w:rPr/>
        <w:t>A ti, mamá, Zoila Leonor, porque este logro es tan tuyo como mío. Gracias por tanto</w:t>
      </w:r>
      <w:r>
        <w:rPr>
          <w:spacing w:val="-10"/>
        </w:rPr>
        <w:t> </w:t>
      </w:r>
      <w:r>
        <w:rPr/>
        <w:t>amor,</w:t>
      </w:r>
      <w:r>
        <w:rPr>
          <w:spacing w:val="-7"/>
        </w:rPr>
        <w:t> </w:t>
      </w:r>
      <w:r>
        <w:rPr/>
        <w:t>por</w:t>
      </w:r>
      <w:r>
        <w:rPr>
          <w:spacing w:val="-10"/>
        </w:rPr>
        <w:t> </w:t>
      </w:r>
      <w:r>
        <w:rPr/>
        <w:t>todo</w:t>
      </w:r>
      <w:r>
        <w:rPr>
          <w:spacing w:val="-10"/>
        </w:rPr>
        <w:t> </w:t>
      </w:r>
      <w:r>
        <w:rPr/>
        <w:t>lo</w:t>
      </w:r>
      <w:r>
        <w:rPr>
          <w:spacing w:val="-8"/>
        </w:rPr>
        <w:t> </w:t>
      </w:r>
      <w:r>
        <w:rPr/>
        <w:t>que</w:t>
      </w:r>
      <w:r>
        <w:rPr>
          <w:spacing w:val="-9"/>
        </w:rPr>
        <w:t> </w:t>
      </w:r>
      <w:r>
        <w:rPr/>
        <w:t>sacrificaste</w:t>
      </w:r>
      <w:r>
        <w:rPr>
          <w:spacing w:val="-6"/>
        </w:rPr>
        <w:t> </w:t>
      </w:r>
      <w:r>
        <w:rPr/>
        <w:t>sin</w:t>
      </w:r>
      <w:r>
        <w:rPr>
          <w:spacing w:val="-11"/>
        </w:rPr>
        <w:t> </w:t>
      </w:r>
      <w:r>
        <w:rPr/>
        <w:t>decir</w:t>
      </w:r>
      <w:r>
        <w:rPr>
          <w:spacing w:val="-10"/>
        </w:rPr>
        <w:t> </w:t>
      </w:r>
      <w:r>
        <w:rPr/>
        <w:t>una</w:t>
      </w:r>
      <w:r>
        <w:rPr>
          <w:spacing w:val="-6"/>
        </w:rPr>
        <w:t> </w:t>
      </w:r>
      <w:r>
        <w:rPr/>
        <w:t>sola</w:t>
      </w:r>
      <w:r>
        <w:rPr>
          <w:spacing w:val="-6"/>
        </w:rPr>
        <w:t> </w:t>
      </w:r>
      <w:r>
        <w:rPr/>
        <w:t>palabra,</w:t>
      </w:r>
      <w:r>
        <w:rPr>
          <w:spacing w:val="-8"/>
        </w:rPr>
        <w:t> </w:t>
      </w:r>
      <w:r>
        <w:rPr/>
        <w:t>y</w:t>
      </w:r>
      <w:r>
        <w:rPr>
          <w:spacing w:val="-8"/>
        </w:rPr>
        <w:t> </w:t>
      </w:r>
      <w:r>
        <w:rPr/>
        <w:t>por</w:t>
      </w:r>
      <w:r>
        <w:rPr>
          <w:spacing w:val="-10"/>
        </w:rPr>
        <w:t> </w:t>
      </w:r>
      <w:r>
        <w:rPr/>
        <w:t>creer</w:t>
      </w:r>
      <w:r>
        <w:rPr>
          <w:spacing w:val="-7"/>
        </w:rPr>
        <w:t> </w:t>
      </w:r>
      <w:r>
        <w:rPr/>
        <w:t>en</w:t>
      </w:r>
      <w:r>
        <w:rPr>
          <w:spacing w:val="-11"/>
        </w:rPr>
        <w:t> </w:t>
      </w:r>
      <w:r>
        <w:rPr/>
        <w:t>mí incluso cuando yo dudaba. Tu fuerza y tu fe fueron mi sostén.</w:t>
      </w:r>
    </w:p>
    <w:p>
      <w:pPr>
        <w:pStyle w:val="BodyText"/>
        <w:spacing w:line="362" w:lineRule="auto" w:before="154"/>
        <w:ind w:left="994" w:right="716"/>
        <w:jc w:val="both"/>
      </w:pPr>
      <w:r>
        <w:rPr/>
        <w:t>A</w:t>
      </w:r>
      <w:r>
        <w:rPr>
          <w:spacing w:val="-15"/>
        </w:rPr>
        <w:t> </w:t>
      </w:r>
      <w:r>
        <w:rPr/>
        <w:t>mi</w:t>
      </w:r>
      <w:r>
        <w:rPr>
          <w:spacing w:val="-15"/>
        </w:rPr>
        <w:t> </w:t>
      </w:r>
      <w:r>
        <w:rPr/>
        <w:t>padre,</w:t>
      </w:r>
      <w:r>
        <w:rPr>
          <w:spacing w:val="-15"/>
        </w:rPr>
        <w:t> </w:t>
      </w:r>
      <w:r>
        <w:rPr/>
        <w:t>Alfredo</w:t>
      </w:r>
      <w:r>
        <w:rPr>
          <w:spacing w:val="-15"/>
        </w:rPr>
        <w:t> </w:t>
      </w:r>
      <w:r>
        <w:rPr/>
        <w:t>Rodrigo,</w:t>
      </w:r>
      <w:r>
        <w:rPr>
          <w:spacing w:val="-15"/>
        </w:rPr>
        <w:t> </w:t>
      </w:r>
      <w:r>
        <w:rPr/>
        <w:t>gracias</w:t>
      </w:r>
      <w:r>
        <w:rPr>
          <w:spacing w:val="-15"/>
        </w:rPr>
        <w:t> </w:t>
      </w:r>
      <w:r>
        <w:rPr/>
        <w:t>por</w:t>
      </w:r>
      <w:r>
        <w:rPr>
          <w:spacing w:val="-15"/>
        </w:rPr>
        <w:t> </w:t>
      </w:r>
      <w:r>
        <w:rPr/>
        <w:t>enseñarme</w:t>
      </w:r>
      <w:r>
        <w:rPr>
          <w:spacing w:val="-14"/>
        </w:rPr>
        <w:t> </w:t>
      </w:r>
      <w:r>
        <w:rPr/>
        <w:t>con</w:t>
      </w:r>
      <w:r>
        <w:rPr>
          <w:spacing w:val="-15"/>
        </w:rPr>
        <w:t> </w:t>
      </w:r>
      <w:r>
        <w:rPr/>
        <w:t>el</w:t>
      </w:r>
      <w:r>
        <w:rPr>
          <w:spacing w:val="-14"/>
        </w:rPr>
        <w:t> </w:t>
      </w:r>
      <w:r>
        <w:rPr/>
        <w:t>ejemplo</w:t>
      </w:r>
      <w:r>
        <w:rPr>
          <w:spacing w:val="-15"/>
        </w:rPr>
        <w:t> </w:t>
      </w:r>
      <w:r>
        <w:rPr/>
        <w:t>lo</w:t>
      </w:r>
      <w:r>
        <w:rPr>
          <w:spacing w:val="-15"/>
        </w:rPr>
        <w:t> </w:t>
      </w:r>
      <w:r>
        <w:rPr/>
        <w:t>que</w:t>
      </w:r>
      <w:r>
        <w:rPr>
          <w:spacing w:val="-14"/>
        </w:rPr>
        <w:t> </w:t>
      </w:r>
      <w:r>
        <w:rPr/>
        <w:t>significa trabajar con responsabilidad y no rendirse. Sus consejos siempre estuvieron presentes a lo largo de este camino.</w:t>
      </w:r>
    </w:p>
    <w:p>
      <w:pPr>
        <w:pStyle w:val="BodyText"/>
        <w:spacing w:line="362" w:lineRule="auto" w:before="154"/>
        <w:ind w:left="994" w:right="715"/>
        <w:jc w:val="both"/>
      </w:pPr>
      <w:r>
        <w:rPr/>
        <w:t>A</w:t>
      </w:r>
      <w:r>
        <w:rPr>
          <w:spacing w:val="-13"/>
        </w:rPr>
        <w:t> </w:t>
      </w:r>
      <w:r>
        <w:rPr/>
        <w:t>mis</w:t>
      </w:r>
      <w:r>
        <w:rPr>
          <w:spacing w:val="-13"/>
        </w:rPr>
        <w:t> </w:t>
      </w:r>
      <w:r>
        <w:rPr/>
        <w:t>hermanas,</w:t>
      </w:r>
      <w:r>
        <w:rPr>
          <w:spacing w:val="-11"/>
        </w:rPr>
        <w:t> </w:t>
      </w:r>
      <w:r>
        <w:rPr/>
        <w:t>por</w:t>
      </w:r>
      <w:r>
        <w:rPr>
          <w:spacing w:val="-11"/>
        </w:rPr>
        <w:t> </w:t>
      </w:r>
      <w:r>
        <w:rPr/>
        <w:t>estar</w:t>
      </w:r>
      <w:r>
        <w:rPr>
          <w:spacing w:val="-15"/>
        </w:rPr>
        <w:t> </w:t>
      </w:r>
      <w:r>
        <w:rPr/>
        <w:t>ahí,</w:t>
      </w:r>
      <w:r>
        <w:rPr>
          <w:spacing w:val="-11"/>
        </w:rPr>
        <w:t> </w:t>
      </w:r>
      <w:r>
        <w:rPr/>
        <w:t>por</w:t>
      </w:r>
      <w:r>
        <w:rPr>
          <w:spacing w:val="-11"/>
        </w:rPr>
        <w:t> </w:t>
      </w:r>
      <w:r>
        <w:rPr/>
        <w:t>escucharme,</w:t>
      </w:r>
      <w:r>
        <w:rPr>
          <w:spacing w:val="-11"/>
        </w:rPr>
        <w:t> </w:t>
      </w:r>
      <w:r>
        <w:rPr/>
        <w:t>por</w:t>
      </w:r>
      <w:r>
        <w:rPr>
          <w:spacing w:val="-11"/>
        </w:rPr>
        <w:t> </w:t>
      </w:r>
      <w:r>
        <w:rPr/>
        <w:t>aguantarme</w:t>
      </w:r>
      <w:r>
        <w:rPr>
          <w:spacing w:val="-10"/>
        </w:rPr>
        <w:t> </w:t>
      </w:r>
      <w:r>
        <w:rPr/>
        <w:t>y</w:t>
      </w:r>
      <w:r>
        <w:rPr>
          <w:spacing w:val="-11"/>
        </w:rPr>
        <w:t> </w:t>
      </w:r>
      <w:r>
        <w:rPr/>
        <w:t>por</w:t>
      </w:r>
      <w:r>
        <w:rPr>
          <w:spacing w:val="-11"/>
        </w:rPr>
        <w:t> </w:t>
      </w:r>
      <w:r>
        <w:rPr/>
        <w:t>apoyarme</w:t>
      </w:r>
      <w:r>
        <w:rPr>
          <w:spacing w:val="-10"/>
        </w:rPr>
        <w:t> </w:t>
      </w:r>
      <w:r>
        <w:rPr/>
        <w:t>sin condiciones durante todo este proceso.</w:t>
      </w:r>
    </w:p>
    <w:p>
      <w:pPr>
        <w:pStyle w:val="BodyText"/>
        <w:spacing w:line="362" w:lineRule="auto" w:before="154"/>
        <w:ind w:left="994" w:right="720"/>
        <w:jc w:val="both"/>
      </w:pPr>
      <w:r>
        <w:rPr/>
        <w:t>Y a mi familia en general, gracias por el cariño, la confianza y esas palabras de aliento que, sin saberlo, me ayudaron a llegar hasta aquí.</w:t>
      </w:r>
    </w:p>
    <w:p>
      <w:pPr>
        <w:pStyle w:val="BodyText"/>
      </w:pPr>
    </w:p>
    <w:p>
      <w:pPr>
        <w:pStyle w:val="BodyText"/>
      </w:pPr>
    </w:p>
    <w:p>
      <w:pPr>
        <w:pStyle w:val="BodyText"/>
      </w:pPr>
    </w:p>
    <w:p>
      <w:pPr>
        <w:pStyle w:val="BodyText"/>
      </w:pPr>
    </w:p>
    <w:p>
      <w:pPr>
        <w:pStyle w:val="BodyText"/>
      </w:pPr>
    </w:p>
    <w:p>
      <w:pPr>
        <w:pStyle w:val="BodyText"/>
        <w:spacing w:before="176"/>
      </w:pPr>
    </w:p>
    <w:p>
      <w:pPr>
        <w:spacing w:before="0"/>
        <w:ind w:left="6399" w:right="0" w:firstLine="0"/>
        <w:jc w:val="left"/>
        <w:rPr>
          <w:i/>
          <w:sz w:val="24"/>
        </w:rPr>
      </w:pPr>
      <w:r>
        <w:rPr>
          <w:i/>
          <w:sz w:val="24"/>
        </w:rPr>
        <w:t>María</w:t>
      </w:r>
      <w:r>
        <w:rPr>
          <w:i/>
          <w:spacing w:val="-7"/>
          <w:sz w:val="24"/>
        </w:rPr>
        <w:t> </w:t>
      </w:r>
      <w:r>
        <w:rPr>
          <w:i/>
          <w:sz w:val="24"/>
        </w:rPr>
        <w:t>Belen</w:t>
      </w:r>
      <w:r>
        <w:rPr>
          <w:i/>
          <w:spacing w:val="-1"/>
          <w:sz w:val="24"/>
        </w:rPr>
        <w:t> </w:t>
      </w:r>
      <w:r>
        <w:rPr>
          <w:i/>
          <w:sz w:val="24"/>
        </w:rPr>
        <w:t>Colcha </w:t>
      </w:r>
      <w:r>
        <w:rPr>
          <w:i/>
          <w:spacing w:val="-4"/>
          <w:sz w:val="24"/>
        </w:rPr>
        <w:t>Lema</w:t>
      </w:r>
    </w:p>
    <w:p>
      <w:pPr>
        <w:spacing w:after="0"/>
        <w:jc w:val="left"/>
        <w:rPr>
          <w:i/>
          <w:sz w:val="24"/>
        </w:rPr>
        <w:sectPr>
          <w:pgSz w:w="11900" w:h="16840"/>
          <w:pgMar w:top="1640" w:bottom="280" w:left="1275" w:right="992"/>
        </w:sectPr>
      </w:pPr>
    </w:p>
    <w:p>
      <w:pPr>
        <w:pStyle w:val="Heading2"/>
        <w:ind w:left="427" w:firstLine="0"/>
        <w:jc w:val="center"/>
      </w:pPr>
      <w:r>
        <w:rPr>
          <w:spacing w:val="-2"/>
        </w:rPr>
        <w:t>AGRADECIMIENTO</w:t>
      </w:r>
    </w:p>
    <w:p>
      <w:pPr>
        <w:pStyle w:val="BodyText"/>
        <w:rPr>
          <w:b/>
        </w:rPr>
      </w:pPr>
    </w:p>
    <w:p>
      <w:pPr>
        <w:pStyle w:val="BodyText"/>
        <w:spacing w:before="128"/>
        <w:rPr>
          <w:b/>
        </w:rPr>
      </w:pPr>
    </w:p>
    <w:p>
      <w:pPr>
        <w:pStyle w:val="BodyText"/>
        <w:spacing w:line="360" w:lineRule="auto"/>
        <w:ind w:left="994" w:right="715"/>
        <w:jc w:val="both"/>
      </w:pPr>
      <w:r>
        <w:rPr/>
        <w:t>Quiero aprovechar estas líneas para agradecer de</w:t>
      </w:r>
      <w:r>
        <w:rPr>
          <w:spacing w:val="-1"/>
        </w:rPr>
        <w:t> </w:t>
      </w:r>
      <w:r>
        <w:rPr/>
        <w:t>corazón</w:t>
      </w:r>
      <w:r>
        <w:rPr>
          <w:spacing w:val="-2"/>
        </w:rPr>
        <w:t> </w:t>
      </w:r>
      <w:r>
        <w:rPr/>
        <w:t>a todas las personas que estuvieron presentes en este camino y que, de una u otra forma, hicieron posible que hoy pueda presentar esta tesis.</w:t>
      </w:r>
    </w:p>
    <w:p>
      <w:pPr>
        <w:pStyle w:val="BodyText"/>
        <w:spacing w:line="360" w:lineRule="auto" w:before="163"/>
        <w:ind w:left="994" w:right="713"/>
        <w:jc w:val="both"/>
      </w:pPr>
      <w:r>
        <w:rPr/>
        <w:t>Primero, gracias a Dios, por sostenerme en los momentos en que todo se sentía incierto,</w:t>
      </w:r>
      <w:r>
        <w:rPr>
          <w:spacing w:val="-11"/>
        </w:rPr>
        <w:t> </w:t>
      </w:r>
      <w:r>
        <w:rPr/>
        <w:t>por</w:t>
      </w:r>
      <w:r>
        <w:rPr>
          <w:spacing w:val="-15"/>
        </w:rPr>
        <w:t> </w:t>
      </w:r>
      <w:r>
        <w:rPr/>
        <w:t>enseñarme</w:t>
      </w:r>
      <w:r>
        <w:rPr>
          <w:spacing w:val="-10"/>
        </w:rPr>
        <w:t> </w:t>
      </w:r>
      <w:r>
        <w:rPr/>
        <w:t>a</w:t>
      </w:r>
      <w:r>
        <w:rPr>
          <w:spacing w:val="-14"/>
        </w:rPr>
        <w:t> </w:t>
      </w:r>
      <w:r>
        <w:rPr/>
        <w:t>tener</w:t>
      </w:r>
      <w:r>
        <w:rPr>
          <w:spacing w:val="-11"/>
        </w:rPr>
        <w:t> </w:t>
      </w:r>
      <w:r>
        <w:rPr/>
        <w:t>paciencia</w:t>
      </w:r>
      <w:r>
        <w:rPr>
          <w:spacing w:val="-14"/>
        </w:rPr>
        <w:t> </w:t>
      </w:r>
      <w:r>
        <w:rPr/>
        <w:t>y</w:t>
      </w:r>
      <w:r>
        <w:rPr>
          <w:spacing w:val="-15"/>
        </w:rPr>
        <w:t> </w:t>
      </w:r>
      <w:r>
        <w:rPr/>
        <w:t>por</w:t>
      </w:r>
      <w:r>
        <w:rPr>
          <w:spacing w:val="-11"/>
        </w:rPr>
        <w:t> </w:t>
      </w:r>
      <w:r>
        <w:rPr/>
        <w:t>recordarme</w:t>
      </w:r>
      <w:r>
        <w:rPr>
          <w:spacing w:val="-14"/>
        </w:rPr>
        <w:t> </w:t>
      </w:r>
      <w:r>
        <w:rPr/>
        <w:t>que,</w:t>
      </w:r>
      <w:r>
        <w:rPr>
          <w:spacing w:val="-15"/>
        </w:rPr>
        <w:t> </w:t>
      </w:r>
      <w:r>
        <w:rPr/>
        <w:t>cuando</w:t>
      </w:r>
      <w:r>
        <w:rPr>
          <w:spacing w:val="-11"/>
        </w:rPr>
        <w:t> </w:t>
      </w:r>
      <w:r>
        <w:rPr/>
        <w:t>uno</w:t>
      </w:r>
      <w:r>
        <w:rPr>
          <w:spacing w:val="-15"/>
        </w:rPr>
        <w:t> </w:t>
      </w:r>
      <w:r>
        <w:rPr/>
        <w:t>camina con</w:t>
      </w:r>
      <w:r>
        <w:rPr>
          <w:spacing w:val="-1"/>
        </w:rPr>
        <w:t> </w:t>
      </w:r>
      <w:r>
        <w:rPr/>
        <w:t>fe y</w:t>
      </w:r>
      <w:r>
        <w:rPr>
          <w:spacing w:val="-1"/>
        </w:rPr>
        <w:t> </w:t>
      </w:r>
      <w:r>
        <w:rPr/>
        <w:t>no</w:t>
      </w:r>
      <w:r>
        <w:rPr>
          <w:spacing w:val="-1"/>
        </w:rPr>
        <w:t> </w:t>
      </w:r>
      <w:r>
        <w:rPr/>
        <w:t>se rinde,</w:t>
      </w:r>
      <w:r>
        <w:rPr>
          <w:spacing w:val="-6"/>
        </w:rPr>
        <w:t> </w:t>
      </w:r>
      <w:r>
        <w:rPr/>
        <w:t>las</w:t>
      </w:r>
      <w:r>
        <w:rPr>
          <w:spacing w:val="-3"/>
        </w:rPr>
        <w:t> </w:t>
      </w:r>
      <w:r>
        <w:rPr/>
        <w:t>metas</w:t>
      </w:r>
      <w:r>
        <w:rPr>
          <w:spacing w:val="-3"/>
        </w:rPr>
        <w:t> </w:t>
      </w:r>
      <w:r>
        <w:rPr/>
        <w:t>se alcanzan,</w:t>
      </w:r>
      <w:r>
        <w:rPr>
          <w:spacing w:val="-1"/>
        </w:rPr>
        <w:t> </w:t>
      </w:r>
      <w:r>
        <w:rPr/>
        <w:t>aunque el</w:t>
      </w:r>
      <w:r>
        <w:rPr>
          <w:spacing w:val="-5"/>
        </w:rPr>
        <w:t> </w:t>
      </w:r>
      <w:r>
        <w:rPr/>
        <w:t>camino</w:t>
      </w:r>
      <w:r>
        <w:rPr>
          <w:spacing w:val="-1"/>
        </w:rPr>
        <w:t> </w:t>
      </w:r>
      <w:r>
        <w:rPr/>
        <w:t>no</w:t>
      </w:r>
      <w:r>
        <w:rPr>
          <w:spacing w:val="-1"/>
        </w:rPr>
        <w:t> </w:t>
      </w:r>
      <w:r>
        <w:rPr/>
        <w:t>siempre sea fácil.</w:t>
      </w:r>
    </w:p>
    <w:p>
      <w:pPr>
        <w:pStyle w:val="BodyText"/>
        <w:spacing w:line="360" w:lineRule="auto" w:before="162"/>
        <w:ind w:left="994" w:right="711"/>
        <w:jc w:val="both"/>
      </w:pPr>
      <w:r>
        <w:rPr/>
        <w:t>A mis padres, gracias por su amor, por todo lo que dieron sin pedir nada a</w:t>
      </w:r>
      <w:r>
        <w:rPr>
          <w:spacing w:val="-1"/>
        </w:rPr>
        <w:t> </w:t>
      </w:r>
      <w:r>
        <w:rPr/>
        <w:t>cambio y por estar ahí en cada etapa, tanto en lo académico como en lo personal. Gracias por creer en mí cuando yo misma no lo hacía, y por darme siempre la fuerza para </w:t>
      </w:r>
      <w:r>
        <w:rPr>
          <w:spacing w:val="-2"/>
        </w:rPr>
        <w:t>seguir.</w:t>
      </w:r>
    </w:p>
    <w:p>
      <w:pPr>
        <w:pStyle w:val="BodyText"/>
        <w:spacing w:line="360" w:lineRule="auto" w:before="165"/>
        <w:ind w:left="994" w:right="712"/>
        <w:jc w:val="both"/>
      </w:pPr>
      <w:r>
        <w:rPr/>
        <w:t>A mi hija, Camila Victoria, gracias por ser mi razón más grande. Su amor le dio sentido</w:t>
      </w:r>
      <w:r>
        <w:rPr>
          <w:spacing w:val="-10"/>
        </w:rPr>
        <w:t> </w:t>
      </w:r>
      <w:r>
        <w:rPr/>
        <w:t>a</w:t>
      </w:r>
      <w:r>
        <w:rPr>
          <w:spacing w:val="-9"/>
        </w:rPr>
        <w:t> </w:t>
      </w:r>
      <w:r>
        <w:rPr/>
        <w:t>cada</w:t>
      </w:r>
      <w:r>
        <w:rPr>
          <w:spacing w:val="-9"/>
        </w:rPr>
        <w:t> </w:t>
      </w:r>
      <w:r>
        <w:rPr/>
        <w:t>esfuerzo,</w:t>
      </w:r>
      <w:r>
        <w:rPr>
          <w:spacing w:val="-10"/>
        </w:rPr>
        <w:t> </w:t>
      </w:r>
      <w:r>
        <w:rPr/>
        <w:t>a</w:t>
      </w:r>
      <w:r>
        <w:rPr>
          <w:spacing w:val="-9"/>
        </w:rPr>
        <w:t> </w:t>
      </w:r>
      <w:r>
        <w:rPr/>
        <w:t>cada</w:t>
      </w:r>
      <w:r>
        <w:rPr>
          <w:spacing w:val="-9"/>
        </w:rPr>
        <w:t> </w:t>
      </w:r>
      <w:r>
        <w:rPr/>
        <w:t>noche</w:t>
      </w:r>
      <w:r>
        <w:rPr>
          <w:spacing w:val="-9"/>
        </w:rPr>
        <w:t> </w:t>
      </w:r>
      <w:r>
        <w:rPr/>
        <w:t>sin</w:t>
      </w:r>
      <w:r>
        <w:rPr>
          <w:spacing w:val="-10"/>
        </w:rPr>
        <w:t> </w:t>
      </w:r>
      <w:r>
        <w:rPr/>
        <w:t>dormir</w:t>
      </w:r>
      <w:r>
        <w:rPr>
          <w:spacing w:val="-10"/>
        </w:rPr>
        <w:t> </w:t>
      </w:r>
      <w:r>
        <w:rPr/>
        <w:t>y</w:t>
      </w:r>
      <w:r>
        <w:rPr>
          <w:spacing w:val="-10"/>
        </w:rPr>
        <w:t> </w:t>
      </w:r>
      <w:r>
        <w:rPr/>
        <w:t>a</w:t>
      </w:r>
      <w:r>
        <w:rPr>
          <w:spacing w:val="-9"/>
        </w:rPr>
        <w:t> </w:t>
      </w:r>
      <w:r>
        <w:rPr/>
        <w:t>cada</w:t>
      </w:r>
      <w:r>
        <w:rPr>
          <w:spacing w:val="-9"/>
        </w:rPr>
        <w:t> </w:t>
      </w:r>
      <w:r>
        <w:rPr/>
        <w:t>momento</w:t>
      </w:r>
      <w:r>
        <w:rPr>
          <w:spacing w:val="-10"/>
        </w:rPr>
        <w:t> </w:t>
      </w:r>
      <w:r>
        <w:rPr/>
        <w:t>difícil.</w:t>
      </w:r>
      <w:r>
        <w:rPr>
          <w:spacing w:val="-10"/>
        </w:rPr>
        <w:t> </w:t>
      </w:r>
      <w:r>
        <w:rPr/>
        <w:t>Ella</w:t>
      </w:r>
      <w:r>
        <w:rPr>
          <w:spacing w:val="-9"/>
        </w:rPr>
        <w:t> </w:t>
      </w:r>
      <w:r>
        <w:rPr/>
        <w:t>fue, sin duda, el motor de todo esto.</w:t>
      </w:r>
    </w:p>
    <w:p>
      <w:pPr>
        <w:pStyle w:val="BodyText"/>
        <w:spacing w:line="360" w:lineRule="auto" w:before="162"/>
        <w:ind w:left="994" w:right="711"/>
        <w:jc w:val="both"/>
      </w:pPr>
      <w:r>
        <w:rPr/>
        <w:t>También quiero agradecer a la Universidad Estatal de Bolívar, a la Facultad de Ciencias Agropecuarias, Recursos Naturales y del Ambiente, y a los Laboratorios de Investigación, Ciencia y Tecnología, por abrirme las puertas y darme las herramientas necesarias para desarrollar esta investigación y crecer como </w:t>
      </w:r>
      <w:r>
        <w:rPr>
          <w:spacing w:val="-2"/>
        </w:rPr>
        <w:t>profesional.</w:t>
      </w:r>
    </w:p>
    <w:p>
      <w:pPr>
        <w:pStyle w:val="BodyText"/>
        <w:spacing w:line="357" w:lineRule="auto" w:before="167"/>
        <w:ind w:left="994" w:right="714"/>
        <w:jc w:val="both"/>
      </w:pPr>
      <w:r>
        <w:rPr/>
        <w:t>Y a todas las personas que estuvieron cerca durante este proceso, ya sea con una palabra de aliento, con comprensión o simplemente con su presencia, gracias también a ustedes.</w:t>
      </w:r>
    </w:p>
    <w:p>
      <w:pPr>
        <w:pStyle w:val="BodyText"/>
      </w:pPr>
    </w:p>
    <w:p>
      <w:pPr>
        <w:pStyle w:val="BodyText"/>
      </w:pPr>
    </w:p>
    <w:p>
      <w:pPr>
        <w:pStyle w:val="BodyText"/>
      </w:pPr>
    </w:p>
    <w:p>
      <w:pPr>
        <w:pStyle w:val="BodyText"/>
        <w:spacing w:before="215"/>
      </w:pPr>
    </w:p>
    <w:p>
      <w:pPr>
        <w:spacing w:before="0"/>
        <w:ind w:left="6399" w:right="0" w:firstLine="0"/>
        <w:jc w:val="left"/>
        <w:rPr>
          <w:i/>
          <w:sz w:val="24"/>
        </w:rPr>
      </w:pPr>
      <w:r>
        <w:rPr>
          <w:i/>
          <w:sz w:val="24"/>
        </w:rPr>
        <w:t>María</w:t>
      </w:r>
      <w:r>
        <w:rPr>
          <w:i/>
          <w:spacing w:val="-7"/>
          <w:sz w:val="24"/>
        </w:rPr>
        <w:t> </w:t>
      </w:r>
      <w:r>
        <w:rPr>
          <w:i/>
          <w:sz w:val="24"/>
        </w:rPr>
        <w:t>Belen Colcha</w:t>
      </w:r>
      <w:r>
        <w:rPr>
          <w:i/>
          <w:spacing w:val="1"/>
          <w:sz w:val="24"/>
        </w:rPr>
        <w:t> </w:t>
      </w:r>
      <w:r>
        <w:rPr>
          <w:i/>
          <w:spacing w:val="-4"/>
          <w:sz w:val="24"/>
        </w:rPr>
        <w:t>Lema</w:t>
      </w:r>
    </w:p>
    <w:p>
      <w:pPr>
        <w:spacing w:after="0"/>
        <w:jc w:val="left"/>
        <w:rPr>
          <w:i/>
          <w:sz w:val="24"/>
        </w:rPr>
        <w:sectPr>
          <w:pgSz w:w="11900" w:h="16840"/>
          <w:pgMar w:top="1640" w:bottom="280" w:left="1275" w:right="992"/>
        </w:sectPr>
      </w:pPr>
    </w:p>
    <w:p>
      <w:pPr>
        <w:pStyle w:val="Heading1"/>
        <w:ind w:left="203"/>
      </w:pPr>
      <w:r>
        <w:rPr/>
        <w:t>ÍNDICE</w:t>
      </w:r>
      <w:r>
        <w:rPr>
          <w:spacing w:val="-1"/>
        </w:rPr>
        <w:t> </w:t>
      </w:r>
      <w:r>
        <w:rPr/>
        <w:t>DE</w:t>
      </w:r>
      <w:r>
        <w:rPr>
          <w:spacing w:val="2"/>
        </w:rPr>
        <w:t> </w:t>
      </w:r>
      <w:r>
        <w:rPr>
          <w:spacing w:val="-2"/>
        </w:rPr>
        <w:t>CONTENIDOS</w:t>
      </w:r>
    </w:p>
    <w:p>
      <w:pPr>
        <w:pStyle w:val="BodyText"/>
        <w:spacing w:before="237"/>
        <w:rPr>
          <w:b/>
          <w:sz w:val="28"/>
        </w:rPr>
      </w:pPr>
    </w:p>
    <w:p>
      <w:pPr>
        <w:pStyle w:val="BodyText"/>
        <w:tabs>
          <w:tab w:pos="7654" w:val="left" w:leader="none"/>
        </w:tabs>
        <w:ind w:left="271"/>
        <w:jc w:val="center"/>
      </w:pPr>
      <w:r>
        <w:rPr>
          <w:spacing w:val="-2"/>
        </w:rPr>
        <w:t>CONTENIDO</w:t>
      </w:r>
      <w:r>
        <w:rPr/>
        <w:tab/>
      </w:r>
      <w:r>
        <w:rPr>
          <w:spacing w:val="-4"/>
        </w:rPr>
        <w:t>PÁG.</w:t>
      </w:r>
    </w:p>
    <w:sdt>
      <w:sdtPr>
        <w:docPartObj>
          <w:docPartGallery w:val="Table of Contents"/>
          <w:docPartUnique/>
        </w:docPartObj>
      </w:sdtPr>
      <w:sdtEndPr/>
      <w:sdtContent>
        <w:p>
          <w:pPr>
            <w:pStyle w:val="TOC1"/>
            <w:tabs>
              <w:tab w:pos="8223" w:val="right" w:leader="none"/>
            </w:tabs>
            <w:spacing w:before="277"/>
          </w:pPr>
          <w:hyperlink w:history="true" w:anchor="_bookmark0">
            <w:r>
              <w:rPr/>
              <w:t>CAPÍTULO</w:t>
            </w:r>
            <w:r>
              <w:rPr>
                <w:spacing w:val="-16"/>
              </w:rPr>
              <w:t> </w:t>
            </w:r>
            <w:r>
              <w:rPr>
                <w:spacing w:val="-10"/>
              </w:rPr>
              <w:t>I</w:t>
            </w:r>
            <w:r>
              <w:rPr/>
              <w:tab/>
            </w:r>
            <w:r>
              <w:rPr>
                <w:spacing w:val="-10"/>
              </w:rPr>
              <w:t>1</w:t>
            </w:r>
          </w:hyperlink>
        </w:p>
        <w:p>
          <w:pPr>
            <w:pStyle w:val="TOC2"/>
            <w:numPr>
              <w:ilvl w:val="1"/>
              <w:numId w:val="1"/>
            </w:numPr>
            <w:tabs>
              <w:tab w:pos="1593" w:val="left" w:leader="none"/>
              <w:tab w:pos="8928" w:val="right" w:leader="none"/>
            </w:tabs>
            <w:spacing w:line="240" w:lineRule="auto" w:before="276" w:after="0"/>
            <w:ind w:left="1593" w:right="0" w:hanging="599"/>
            <w:jc w:val="left"/>
          </w:pPr>
          <w:hyperlink w:history="true" w:anchor="_bookmark1">
            <w:r>
              <w:rPr>
                <w:spacing w:val="-2"/>
              </w:rPr>
              <w:t>INTRODUCCIÓN</w:t>
            </w:r>
            <w:r>
              <w:rPr/>
              <w:tab/>
            </w:r>
            <w:r>
              <w:rPr>
                <w:spacing w:val="-10"/>
              </w:rPr>
              <w:t>1</w:t>
            </w:r>
          </w:hyperlink>
        </w:p>
        <w:p>
          <w:pPr>
            <w:pStyle w:val="TOC2"/>
            <w:numPr>
              <w:ilvl w:val="1"/>
              <w:numId w:val="1"/>
            </w:numPr>
            <w:tabs>
              <w:tab w:pos="1593" w:val="left" w:leader="none"/>
              <w:tab w:pos="8928" w:val="right" w:leader="none"/>
            </w:tabs>
            <w:spacing w:line="240" w:lineRule="auto" w:before="276" w:after="0"/>
            <w:ind w:left="1593" w:right="0" w:hanging="599"/>
            <w:jc w:val="left"/>
          </w:pPr>
          <w:hyperlink w:history="true" w:anchor="_bookmark2">
            <w:r>
              <w:rPr>
                <w:spacing w:val="-2"/>
              </w:rPr>
              <w:t>PROBLEMA</w:t>
            </w:r>
            <w:r>
              <w:rPr/>
              <w:tab/>
            </w:r>
            <w:r>
              <w:rPr>
                <w:spacing w:val="-10"/>
              </w:rPr>
              <w:t>3</w:t>
            </w:r>
          </w:hyperlink>
        </w:p>
        <w:p>
          <w:pPr>
            <w:pStyle w:val="TOC2"/>
            <w:numPr>
              <w:ilvl w:val="1"/>
              <w:numId w:val="1"/>
            </w:numPr>
            <w:tabs>
              <w:tab w:pos="1593" w:val="left" w:leader="none"/>
              <w:tab w:pos="8928" w:val="right" w:leader="none"/>
            </w:tabs>
            <w:spacing w:line="240" w:lineRule="auto" w:before="276" w:after="0"/>
            <w:ind w:left="1593" w:right="0" w:hanging="599"/>
            <w:jc w:val="left"/>
          </w:pPr>
          <w:hyperlink w:history="true" w:anchor="_bookmark3">
            <w:r>
              <w:rPr>
                <w:spacing w:val="-2"/>
              </w:rPr>
              <w:t>OBJETIVOS</w:t>
            </w:r>
            <w:r>
              <w:rPr/>
              <w:tab/>
            </w:r>
            <w:r>
              <w:rPr>
                <w:spacing w:val="-10"/>
              </w:rPr>
              <w:t>4</w:t>
            </w:r>
          </w:hyperlink>
        </w:p>
        <w:p>
          <w:pPr>
            <w:pStyle w:val="TOC3"/>
            <w:numPr>
              <w:ilvl w:val="2"/>
              <w:numId w:val="1"/>
            </w:numPr>
            <w:tabs>
              <w:tab w:pos="1714" w:val="left" w:leader="none"/>
              <w:tab w:pos="8928" w:val="right" w:leader="none"/>
            </w:tabs>
            <w:spacing w:line="240" w:lineRule="auto" w:before="276" w:after="0"/>
            <w:ind w:left="1714" w:right="0" w:hanging="720"/>
            <w:jc w:val="left"/>
          </w:pPr>
          <w:hyperlink w:history="true" w:anchor="_bookmark4">
            <w:r>
              <w:rPr/>
              <w:t>Objetivo</w:t>
            </w:r>
            <w:r>
              <w:rPr>
                <w:spacing w:val="3"/>
              </w:rPr>
              <w:t> </w:t>
            </w:r>
            <w:r>
              <w:rPr>
                <w:spacing w:val="-2"/>
              </w:rPr>
              <w:t>general</w:t>
            </w:r>
            <w:r>
              <w:rPr/>
              <w:tab/>
            </w:r>
            <w:r>
              <w:rPr>
                <w:spacing w:val="-10"/>
              </w:rPr>
              <w:t>4</w:t>
            </w:r>
          </w:hyperlink>
        </w:p>
        <w:p>
          <w:pPr>
            <w:pStyle w:val="TOC3"/>
            <w:numPr>
              <w:ilvl w:val="2"/>
              <w:numId w:val="1"/>
            </w:numPr>
            <w:tabs>
              <w:tab w:pos="1714" w:val="left" w:leader="none"/>
              <w:tab w:pos="8928" w:val="right" w:leader="none"/>
            </w:tabs>
            <w:spacing w:line="240" w:lineRule="auto" w:before="276" w:after="0"/>
            <w:ind w:left="1714" w:right="0" w:hanging="720"/>
            <w:jc w:val="left"/>
          </w:pPr>
          <w:hyperlink w:history="true" w:anchor="_bookmark5">
            <w:r>
              <w:rPr/>
              <w:t>Objetivos</w:t>
            </w:r>
            <w:r>
              <w:rPr>
                <w:spacing w:val="-4"/>
              </w:rPr>
              <w:t> </w:t>
            </w:r>
            <w:r>
              <w:rPr>
                <w:spacing w:val="-2"/>
              </w:rPr>
              <w:t>específicos</w:t>
            </w:r>
            <w:r>
              <w:rPr/>
              <w:tab/>
            </w:r>
            <w:r>
              <w:rPr>
                <w:spacing w:val="-10"/>
              </w:rPr>
              <w:t>4</w:t>
            </w:r>
          </w:hyperlink>
        </w:p>
        <w:p>
          <w:pPr>
            <w:pStyle w:val="TOC2"/>
            <w:numPr>
              <w:ilvl w:val="1"/>
              <w:numId w:val="1"/>
            </w:numPr>
            <w:tabs>
              <w:tab w:pos="1593" w:val="left" w:leader="none"/>
              <w:tab w:pos="8928" w:val="right" w:leader="none"/>
            </w:tabs>
            <w:spacing w:line="240" w:lineRule="auto" w:before="276" w:after="0"/>
            <w:ind w:left="1593" w:right="0" w:hanging="599"/>
            <w:jc w:val="left"/>
          </w:pPr>
          <w:hyperlink w:history="true" w:anchor="_bookmark6">
            <w:r>
              <w:rPr>
                <w:spacing w:val="-2"/>
              </w:rPr>
              <w:t>HIPÓTESIS</w:t>
            </w:r>
            <w:r>
              <w:rPr/>
              <w:tab/>
            </w:r>
            <w:r>
              <w:rPr>
                <w:spacing w:val="-10"/>
              </w:rPr>
              <w:t>5</w:t>
            </w:r>
          </w:hyperlink>
        </w:p>
        <w:p>
          <w:pPr>
            <w:pStyle w:val="TOC1"/>
            <w:tabs>
              <w:tab w:pos="8223" w:val="right" w:leader="none"/>
            </w:tabs>
          </w:pPr>
          <w:hyperlink w:history="true" w:anchor="_bookmark7">
            <w:r>
              <w:rPr/>
              <w:t>CAPÍTULO</w:t>
            </w:r>
            <w:r>
              <w:rPr>
                <w:spacing w:val="-16"/>
              </w:rPr>
              <w:t> </w:t>
            </w:r>
            <w:r>
              <w:rPr>
                <w:spacing w:val="-5"/>
              </w:rPr>
              <w:t>II</w:t>
            </w:r>
            <w:r>
              <w:rPr/>
              <w:tab/>
            </w:r>
            <w:r>
              <w:rPr>
                <w:spacing w:val="-10"/>
              </w:rPr>
              <w:t>6</w:t>
            </w:r>
          </w:hyperlink>
        </w:p>
        <w:p>
          <w:pPr>
            <w:pStyle w:val="TOC2"/>
            <w:numPr>
              <w:ilvl w:val="0"/>
              <w:numId w:val="2"/>
            </w:numPr>
            <w:tabs>
              <w:tab w:pos="1653" w:val="left" w:leader="none"/>
              <w:tab w:pos="8928" w:val="right" w:leader="none"/>
            </w:tabs>
            <w:spacing w:line="240" w:lineRule="auto" w:before="277" w:after="0"/>
            <w:ind w:left="1653" w:right="0" w:hanging="659"/>
            <w:jc w:val="left"/>
          </w:pPr>
          <w:hyperlink w:history="true" w:anchor="_bookmark8">
            <w:r>
              <w:rPr>
                <w:spacing w:val="-2"/>
              </w:rPr>
              <w:t>MARCO</w:t>
            </w:r>
            <w:r>
              <w:rPr>
                <w:spacing w:val="-9"/>
              </w:rPr>
              <w:t> </w:t>
            </w:r>
            <w:r>
              <w:rPr>
                <w:spacing w:val="-2"/>
              </w:rPr>
              <w:t>TEÓRICO</w:t>
            </w:r>
            <w:r>
              <w:rPr/>
              <w:tab/>
            </w:r>
            <w:r>
              <w:rPr>
                <w:spacing w:val="-10"/>
              </w:rPr>
              <w:t>6</w:t>
            </w:r>
          </w:hyperlink>
        </w:p>
        <w:p>
          <w:pPr>
            <w:pStyle w:val="TOC3"/>
            <w:numPr>
              <w:ilvl w:val="1"/>
              <w:numId w:val="2"/>
            </w:numPr>
            <w:tabs>
              <w:tab w:pos="1593" w:val="left" w:leader="none"/>
              <w:tab w:pos="8928" w:val="right" w:leader="none"/>
            </w:tabs>
            <w:spacing w:line="240" w:lineRule="auto" w:before="276" w:after="0"/>
            <w:ind w:left="1593" w:right="0" w:hanging="599"/>
            <w:jc w:val="left"/>
          </w:pPr>
          <w:hyperlink w:history="true" w:anchor="_bookmark9">
            <w:r>
              <w:rPr/>
              <w:t>Cannabibidiol</w:t>
            </w:r>
            <w:r>
              <w:rPr>
                <w:spacing w:val="3"/>
              </w:rPr>
              <w:t> </w:t>
            </w:r>
            <w:r>
              <w:rPr>
                <w:spacing w:val="-2"/>
              </w:rPr>
              <w:t>(Cbd)</w:t>
            </w:r>
            <w:r>
              <w:rPr/>
              <w:tab/>
            </w:r>
            <w:r>
              <w:rPr>
                <w:spacing w:val="-10"/>
              </w:rPr>
              <w:t>6</w:t>
            </w:r>
          </w:hyperlink>
        </w:p>
        <w:p>
          <w:pPr>
            <w:pStyle w:val="TOC3"/>
            <w:numPr>
              <w:ilvl w:val="2"/>
              <w:numId w:val="2"/>
            </w:numPr>
            <w:tabs>
              <w:tab w:pos="1714" w:val="left" w:leader="none"/>
              <w:tab w:pos="8928" w:val="right" w:leader="none"/>
            </w:tabs>
            <w:spacing w:line="240" w:lineRule="auto" w:before="276" w:after="0"/>
            <w:ind w:left="1714" w:right="0" w:hanging="720"/>
            <w:jc w:val="left"/>
          </w:pPr>
          <w:hyperlink w:history="true" w:anchor="_bookmark10">
            <w:r>
              <w:rPr/>
              <w:t>Propiedades</w:t>
            </w:r>
            <w:r>
              <w:rPr>
                <w:spacing w:val="-3"/>
              </w:rPr>
              <w:t> </w:t>
            </w:r>
            <w:r>
              <w:rPr>
                <w:spacing w:val="-2"/>
              </w:rPr>
              <w:t>Terapéuticas</w:t>
            </w:r>
            <w:r>
              <w:rPr/>
              <w:tab/>
            </w:r>
            <w:r>
              <w:rPr>
                <w:spacing w:val="-10"/>
              </w:rPr>
              <w:t>7</w:t>
            </w:r>
          </w:hyperlink>
        </w:p>
        <w:p>
          <w:pPr>
            <w:pStyle w:val="TOC3"/>
            <w:numPr>
              <w:ilvl w:val="1"/>
              <w:numId w:val="2"/>
            </w:numPr>
            <w:tabs>
              <w:tab w:pos="1593" w:val="left" w:leader="none"/>
              <w:tab w:pos="8928" w:val="right" w:leader="none"/>
            </w:tabs>
            <w:spacing w:line="240" w:lineRule="auto" w:before="276" w:after="0"/>
            <w:ind w:left="1593" w:right="0" w:hanging="599"/>
            <w:jc w:val="left"/>
          </w:pPr>
          <w:hyperlink w:history="true" w:anchor="_bookmark12">
            <w:r>
              <w:rPr>
                <w:spacing w:val="-2"/>
              </w:rPr>
              <w:t>Antibióticos</w:t>
            </w:r>
            <w:r>
              <w:rPr/>
              <w:tab/>
            </w:r>
            <w:r>
              <w:rPr>
                <w:spacing w:val="-10"/>
              </w:rPr>
              <w:t>7</w:t>
            </w:r>
          </w:hyperlink>
        </w:p>
        <w:p>
          <w:pPr>
            <w:pStyle w:val="TOC3"/>
            <w:numPr>
              <w:ilvl w:val="2"/>
              <w:numId w:val="2"/>
            </w:numPr>
            <w:tabs>
              <w:tab w:pos="1714" w:val="left" w:leader="none"/>
              <w:tab w:pos="8928" w:val="right" w:leader="none"/>
            </w:tabs>
            <w:spacing w:line="240" w:lineRule="auto" w:before="276" w:after="0"/>
            <w:ind w:left="1714" w:right="0" w:hanging="720"/>
            <w:jc w:val="left"/>
          </w:pPr>
          <w:hyperlink w:history="true" w:anchor="_bookmark13">
            <w:r>
              <w:rPr>
                <w:spacing w:val="-2"/>
              </w:rPr>
              <w:t>Amoxicilina</w:t>
            </w:r>
            <w:r>
              <w:rPr/>
              <w:tab/>
            </w:r>
            <w:r>
              <w:rPr>
                <w:spacing w:val="-10"/>
              </w:rPr>
              <w:t>7</w:t>
            </w:r>
          </w:hyperlink>
        </w:p>
        <w:p>
          <w:pPr>
            <w:pStyle w:val="TOC3"/>
            <w:numPr>
              <w:ilvl w:val="2"/>
              <w:numId w:val="2"/>
            </w:numPr>
            <w:tabs>
              <w:tab w:pos="1714" w:val="left" w:leader="none"/>
              <w:tab w:pos="8920" w:val="right" w:leader="none"/>
            </w:tabs>
            <w:spacing w:line="240" w:lineRule="auto" w:before="276" w:after="0"/>
            <w:ind w:left="1714" w:right="0" w:hanging="720"/>
            <w:jc w:val="left"/>
          </w:pPr>
          <w:hyperlink w:history="true" w:anchor="_bookmark14">
            <w:r>
              <w:rPr>
                <w:spacing w:val="-2"/>
              </w:rPr>
              <w:t>Enrofloxacina</w:t>
            </w:r>
            <w:r>
              <w:rPr/>
              <w:tab/>
            </w:r>
            <w:r>
              <w:rPr>
                <w:spacing w:val="-5"/>
              </w:rPr>
              <w:t>10</w:t>
            </w:r>
          </w:hyperlink>
        </w:p>
        <w:p>
          <w:pPr>
            <w:pStyle w:val="TOC3"/>
            <w:numPr>
              <w:ilvl w:val="2"/>
              <w:numId w:val="2"/>
            </w:numPr>
            <w:tabs>
              <w:tab w:pos="1714" w:val="left" w:leader="none"/>
              <w:tab w:pos="8912" w:val="right" w:leader="none"/>
            </w:tabs>
            <w:spacing w:line="240" w:lineRule="auto" w:before="276" w:after="0"/>
            <w:ind w:left="1714" w:right="0" w:hanging="720"/>
            <w:jc w:val="left"/>
          </w:pPr>
          <w:hyperlink w:history="true" w:anchor="_bookmark15">
            <w:r>
              <w:rPr>
                <w:spacing w:val="-2"/>
              </w:rPr>
              <w:t>Cefalexina</w:t>
            </w:r>
            <w:r>
              <w:rPr/>
              <w:tab/>
            </w:r>
            <w:r>
              <w:rPr>
                <w:spacing w:val="-5"/>
              </w:rPr>
              <w:t>11</w:t>
            </w:r>
          </w:hyperlink>
        </w:p>
        <w:p>
          <w:pPr>
            <w:pStyle w:val="TOC3"/>
            <w:numPr>
              <w:ilvl w:val="1"/>
              <w:numId w:val="2"/>
            </w:numPr>
            <w:tabs>
              <w:tab w:pos="1593" w:val="left" w:leader="none"/>
              <w:tab w:pos="8920" w:val="right" w:leader="none"/>
            </w:tabs>
            <w:spacing w:line="240" w:lineRule="auto" w:before="276" w:after="0"/>
            <w:ind w:left="1593" w:right="0" w:hanging="599"/>
            <w:jc w:val="left"/>
          </w:pPr>
          <w:hyperlink w:history="true" w:anchor="_bookmark16">
            <w:r>
              <w:rPr>
                <w:spacing w:val="-2"/>
              </w:rPr>
              <w:t>Piodermas</w:t>
            </w:r>
            <w:r>
              <w:rPr/>
              <w:tab/>
            </w:r>
            <w:r>
              <w:rPr>
                <w:spacing w:val="-5"/>
              </w:rPr>
              <w:t>13</w:t>
            </w:r>
          </w:hyperlink>
        </w:p>
        <w:p>
          <w:pPr>
            <w:pStyle w:val="TOC4"/>
            <w:numPr>
              <w:ilvl w:val="1"/>
              <w:numId w:val="2"/>
            </w:numPr>
            <w:tabs>
              <w:tab w:pos="1593" w:val="left" w:leader="none"/>
              <w:tab w:pos="8920" w:val="right" w:leader="none"/>
            </w:tabs>
            <w:spacing w:line="240" w:lineRule="auto" w:before="276" w:after="0"/>
            <w:ind w:left="1593" w:right="0" w:hanging="599"/>
            <w:jc w:val="left"/>
          </w:pPr>
          <w:hyperlink w:history="true" w:anchor="_bookmark17">
            <w:r>
              <w:rPr/>
              <w:t>Staphylocuccus</w:t>
            </w:r>
            <w:r>
              <w:rPr>
                <w:spacing w:val="-8"/>
              </w:rPr>
              <w:t> </w:t>
            </w:r>
            <w:r>
              <w:rPr>
                <w:spacing w:val="-2"/>
              </w:rPr>
              <w:t>Aureus</w:t>
            </w:r>
            <w:r>
              <w:rPr/>
              <w:tab/>
            </w:r>
            <w:r>
              <w:rPr>
                <w:i w:val="0"/>
                <w:spacing w:val="-5"/>
              </w:rPr>
              <w:t>14</w:t>
            </w:r>
          </w:hyperlink>
        </w:p>
        <w:p>
          <w:pPr>
            <w:pStyle w:val="TOC3"/>
            <w:numPr>
              <w:ilvl w:val="2"/>
              <w:numId w:val="2"/>
            </w:numPr>
            <w:tabs>
              <w:tab w:pos="1714" w:val="left" w:leader="none"/>
              <w:tab w:pos="8920" w:val="right" w:leader="none"/>
            </w:tabs>
            <w:spacing w:line="240" w:lineRule="auto" w:before="277" w:after="0"/>
            <w:ind w:left="1714" w:right="0" w:hanging="720"/>
            <w:jc w:val="left"/>
          </w:pPr>
          <w:hyperlink w:history="true" w:anchor="_bookmark18">
            <w:r>
              <w:rPr/>
              <w:t>Resistencia</w:t>
            </w:r>
            <w:r>
              <w:rPr>
                <w:spacing w:val="1"/>
              </w:rPr>
              <w:t> </w:t>
            </w:r>
            <w:r>
              <w:rPr>
                <w:spacing w:val="-2"/>
              </w:rPr>
              <w:t>bacteriana</w:t>
            </w:r>
            <w:r>
              <w:rPr/>
              <w:tab/>
            </w:r>
            <w:r>
              <w:rPr>
                <w:spacing w:val="-5"/>
              </w:rPr>
              <w:t>14</w:t>
            </w:r>
          </w:hyperlink>
        </w:p>
        <w:p>
          <w:pPr>
            <w:pStyle w:val="TOC3"/>
            <w:numPr>
              <w:ilvl w:val="1"/>
              <w:numId w:val="2"/>
            </w:numPr>
            <w:tabs>
              <w:tab w:pos="1593" w:val="left" w:leader="none"/>
              <w:tab w:pos="8920" w:val="right" w:leader="none"/>
            </w:tabs>
            <w:spacing w:line="240" w:lineRule="auto" w:before="280" w:after="0"/>
            <w:ind w:left="1593" w:right="0" w:hanging="599"/>
            <w:jc w:val="left"/>
          </w:pPr>
          <w:hyperlink w:history="true" w:anchor="_bookmark20">
            <w:r>
              <w:rPr/>
              <w:t>Técnicas</w:t>
            </w:r>
            <w:r>
              <w:rPr>
                <w:spacing w:val="2"/>
              </w:rPr>
              <w:t> </w:t>
            </w:r>
            <w:r>
              <w:rPr>
                <w:spacing w:val="-2"/>
              </w:rPr>
              <w:t>Microbiológicas</w:t>
            </w:r>
            <w:r>
              <w:rPr/>
              <w:tab/>
            </w:r>
            <w:r>
              <w:rPr>
                <w:spacing w:val="-5"/>
              </w:rPr>
              <w:t>15</w:t>
            </w:r>
          </w:hyperlink>
        </w:p>
        <w:p>
          <w:pPr>
            <w:pStyle w:val="TOC3"/>
            <w:numPr>
              <w:ilvl w:val="1"/>
              <w:numId w:val="2"/>
            </w:numPr>
            <w:tabs>
              <w:tab w:pos="1593" w:val="left" w:leader="none"/>
              <w:tab w:pos="8920" w:val="right" w:leader="none"/>
            </w:tabs>
            <w:spacing w:line="240" w:lineRule="auto" w:before="276" w:after="0"/>
            <w:ind w:left="1593" w:right="0" w:hanging="599"/>
            <w:jc w:val="left"/>
          </w:pPr>
          <w:hyperlink w:history="true" w:anchor="_bookmark21">
            <w:r>
              <w:rPr/>
              <w:t>Antibiograma</w:t>
            </w:r>
            <w:r>
              <w:rPr>
                <w:spacing w:val="-1"/>
              </w:rPr>
              <w:t> </w:t>
            </w:r>
            <w:r>
              <w:rPr/>
              <w:t>Con</w:t>
            </w:r>
            <w:r>
              <w:rPr>
                <w:spacing w:val="-6"/>
              </w:rPr>
              <w:t> </w:t>
            </w:r>
            <w:r>
              <w:rPr/>
              <w:t>Discos</w:t>
            </w:r>
            <w:r>
              <w:rPr>
                <w:spacing w:val="-6"/>
              </w:rPr>
              <w:t> </w:t>
            </w:r>
            <w:r>
              <w:rPr/>
              <w:t>De</w:t>
            </w:r>
            <w:r>
              <w:rPr>
                <w:spacing w:val="-1"/>
              </w:rPr>
              <w:t> </w:t>
            </w:r>
            <w:r>
              <w:rPr>
                <w:spacing w:val="-2"/>
              </w:rPr>
              <w:t>Sensibilidad</w:t>
            </w:r>
            <w:r>
              <w:rPr/>
              <w:tab/>
            </w:r>
            <w:r>
              <w:rPr>
                <w:spacing w:val="-5"/>
              </w:rPr>
              <w:t>16</w:t>
            </w:r>
          </w:hyperlink>
        </w:p>
        <w:p>
          <w:pPr>
            <w:pStyle w:val="TOC3"/>
            <w:numPr>
              <w:ilvl w:val="1"/>
              <w:numId w:val="2"/>
            </w:numPr>
            <w:tabs>
              <w:tab w:pos="1593" w:val="left" w:leader="none"/>
              <w:tab w:pos="8920" w:val="right" w:leader="none"/>
            </w:tabs>
            <w:spacing w:line="240" w:lineRule="auto" w:before="276" w:after="0"/>
            <w:ind w:left="1593" w:right="0" w:hanging="599"/>
            <w:jc w:val="left"/>
          </w:pPr>
          <w:hyperlink w:history="true" w:anchor="_bookmark22">
            <w:r>
              <w:rPr/>
              <w:t>Concentracion</w:t>
            </w:r>
            <w:r>
              <w:rPr>
                <w:spacing w:val="-5"/>
              </w:rPr>
              <w:t> </w:t>
            </w:r>
            <w:r>
              <w:rPr/>
              <w:t>Minima Inhibitoria </w:t>
            </w:r>
            <w:r>
              <w:rPr>
                <w:spacing w:val="-4"/>
              </w:rPr>
              <w:t>(Cmi)</w:t>
            </w:r>
            <w:r>
              <w:rPr/>
              <w:tab/>
            </w:r>
            <w:r>
              <w:rPr>
                <w:spacing w:val="-5"/>
              </w:rPr>
              <w:t>17</w:t>
            </w:r>
          </w:hyperlink>
        </w:p>
        <w:p>
          <w:pPr>
            <w:pStyle w:val="TOC3"/>
            <w:numPr>
              <w:ilvl w:val="2"/>
              <w:numId w:val="2"/>
            </w:numPr>
            <w:tabs>
              <w:tab w:pos="1714" w:val="left" w:leader="none"/>
              <w:tab w:pos="8920" w:val="right" w:leader="none"/>
            </w:tabs>
            <w:spacing w:line="240" w:lineRule="auto" w:before="277" w:after="0"/>
            <w:ind w:left="1714" w:right="0" w:hanging="720"/>
            <w:jc w:val="left"/>
          </w:pPr>
          <w:hyperlink w:history="true" w:anchor="_bookmark23">
            <w:r>
              <w:rPr/>
              <w:t>Importancia</w:t>
            </w:r>
            <w:r>
              <w:rPr>
                <w:spacing w:val="-1"/>
              </w:rPr>
              <w:t> </w:t>
            </w:r>
            <w:r>
              <w:rPr/>
              <w:t>de</w:t>
            </w:r>
            <w:r>
              <w:rPr>
                <w:spacing w:val="-1"/>
              </w:rPr>
              <w:t> </w:t>
            </w:r>
            <w:r>
              <w:rPr/>
              <w:t>la</w:t>
            </w:r>
            <w:r>
              <w:rPr>
                <w:spacing w:val="-1"/>
              </w:rPr>
              <w:t> </w:t>
            </w:r>
            <w:r>
              <w:rPr/>
              <w:t>CMI</w:t>
            </w:r>
            <w:r>
              <w:rPr>
                <w:spacing w:val="2"/>
              </w:rPr>
              <w:t> </w:t>
            </w:r>
            <w:r>
              <w:rPr/>
              <w:t>en</w:t>
            </w:r>
            <w:r>
              <w:rPr>
                <w:spacing w:val="-10"/>
              </w:rPr>
              <w:t> </w:t>
            </w:r>
            <w:r>
              <w:rPr/>
              <w:t>estudios</w:t>
            </w:r>
            <w:r>
              <w:rPr>
                <w:spacing w:val="-5"/>
              </w:rPr>
              <w:t> </w:t>
            </w:r>
            <w:r>
              <w:rPr>
                <w:spacing w:val="-2"/>
              </w:rPr>
              <w:t>antimicrobianos</w:t>
            </w:r>
            <w:r>
              <w:rPr/>
              <w:tab/>
            </w:r>
            <w:r>
              <w:rPr>
                <w:spacing w:val="-5"/>
              </w:rPr>
              <w:t>17</w:t>
            </w:r>
          </w:hyperlink>
        </w:p>
      </w:sdtContent>
    </w:sdt>
    <w:p>
      <w:pPr>
        <w:pStyle w:val="TOC3"/>
        <w:spacing w:after="0" w:line="240" w:lineRule="auto"/>
        <w:jc w:val="left"/>
        <w:sectPr>
          <w:pgSz w:w="11900" w:h="16840"/>
          <w:pgMar w:top="1640" w:bottom="280" w:left="1275" w:right="992"/>
        </w:sectPr>
      </w:pPr>
    </w:p>
    <w:tbl>
      <w:tblPr>
        <w:tblW w:w="0" w:type="auto"/>
        <w:jc w:val="left"/>
        <w:tblInd w:w="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37"/>
        <w:gridCol w:w="718"/>
        <w:gridCol w:w="463"/>
      </w:tblGrid>
      <w:tr>
        <w:trPr>
          <w:trHeight w:val="408" w:hRule="atLeast"/>
        </w:trPr>
        <w:tc>
          <w:tcPr>
            <w:tcW w:w="6837" w:type="dxa"/>
          </w:tcPr>
          <w:p>
            <w:pPr>
              <w:pStyle w:val="TableParagraph"/>
              <w:spacing w:line="266" w:lineRule="exact"/>
              <w:ind w:left="50"/>
              <w:rPr>
                <w:sz w:val="24"/>
              </w:rPr>
            </w:pPr>
            <w:r>
              <w:rPr>
                <w:sz w:val="24"/>
              </w:rPr>
              <w:t>2.7.2.</w:t>
            </w:r>
            <w:r>
              <w:rPr>
                <w:spacing w:val="27"/>
                <w:sz w:val="24"/>
              </w:rPr>
              <w:t>  </w:t>
            </w:r>
            <w:hyperlink w:history="true" w:anchor="_bookmark24">
              <w:r>
                <w:rPr>
                  <w:sz w:val="24"/>
                </w:rPr>
                <w:t>Mecanismo</w:t>
              </w:r>
              <w:r>
                <w:rPr>
                  <w:spacing w:val="53"/>
                  <w:w w:val="150"/>
                  <w:sz w:val="24"/>
                </w:rPr>
                <w:t> </w:t>
              </w:r>
              <w:r>
                <w:rPr>
                  <w:sz w:val="24"/>
                </w:rPr>
                <w:t>de</w:t>
              </w:r>
              <w:r>
                <w:rPr>
                  <w:spacing w:val="76"/>
                  <w:sz w:val="24"/>
                </w:rPr>
                <w:t> </w:t>
              </w:r>
              <w:r>
                <w:rPr>
                  <w:sz w:val="24"/>
                </w:rPr>
                <w:t>acción</w:t>
              </w:r>
              <w:r>
                <w:rPr>
                  <w:spacing w:val="51"/>
                  <w:w w:val="150"/>
                  <w:sz w:val="24"/>
                </w:rPr>
                <w:t> </w:t>
              </w:r>
              <w:r>
                <w:rPr>
                  <w:sz w:val="24"/>
                </w:rPr>
                <w:t>del</w:t>
              </w:r>
              <w:r>
                <w:rPr>
                  <w:spacing w:val="51"/>
                  <w:w w:val="150"/>
                  <w:sz w:val="24"/>
                </w:rPr>
                <w:t> </w:t>
              </w:r>
              <w:r>
                <w:rPr>
                  <w:sz w:val="24"/>
                </w:rPr>
                <w:t>CMI:</w:t>
              </w:r>
              <w:r>
                <w:rPr>
                  <w:spacing w:val="50"/>
                  <w:w w:val="150"/>
                  <w:sz w:val="24"/>
                </w:rPr>
                <w:t> </w:t>
              </w:r>
              <w:r>
                <w:rPr>
                  <w:sz w:val="24"/>
                </w:rPr>
                <w:t>cómo</w:t>
              </w:r>
              <w:r>
                <w:rPr>
                  <w:spacing w:val="76"/>
                  <w:sz w:val="24"/>
                </w:rPr>
                <w:t> </w:t>
              </w:r>
              <w:r>
                <w:rPr>
                  <w:sz w:val="24"/>
                </w:rPr>
                <w:t>un</w:t>
              </w:r>
              <w:r>
                <w:rPr>
                  <w:spacing w:val="80"/>
                  <w:sz w:val="24"/>
                </w:rPr>
                <w:t> </w:t>
              </w:r>
              <w:r>
                <w:rPr>
                  <w:spacing w:val="-2"/>
                  <w:sz w:val="24"/>
                </w:rPr>
                <w:t>antimicrobiano</w:t>
              </w:r>
            </w:hyperlink>
          </w:p>
        </w:tc>
        <w:tc>
          <w:tcPr>
            <w:tcW w:w="718" w:type="dxa"/>
          </w:tcPr>
          <w:p>
            <w:pPr>
              <w:pStyle w:val="TableParagraph"/>
              <w:spacing w:line="266" w:lineRule="exact"/>
              <w:ind w:left="71"/>
              <w:rPr>
                <w:sz w:val="24"/>
              </w:rPr>
            </w:pPr>
            <w:hyperlink w:history="true" w:anchor="_bookmark24">
              <w:r>
                <w:rPr>
                  <w:spacing w:val="-2"/>
                  <w:sz w:val="24"/>
                </w:rPr>
                <w:t>inhibe</w:t>
              </w:r>
            </w:hyperlink>
          </w:p>
        </w:tc>
        <w:tc>
          <w:tcPr>
            <w:tcW w:w="463" w:type="dxa"/>
          </w:tcPr>
          <w:p>
            <w:pPr>
              <w:pStyle w:val="TableParagraph"/>
              <w:spacing w:line="266" w:lineRule="exact"/>
              <w:ind w:left="93"/>
              <w:rPr>
                <w:sz w:val="24"/>
              </w:rPr>
            </w:pPr>
            <w:hyperlink w:history="true" w:anchor="_bookmark24">
              <w:r>
                <w:rPr>
                  <w:spacing w:val="-5"/>
                  <w:sz w:val="24"/>
                </w:rPr>
                <w:t>el</w:t>
              </w:r>
            </w:hyperlink>
          </w:p>
        </w:tc>
      </w:tr>
      <w:tr>
        <w:trPr>
          <w:trHeight w:val="551" w:hRule="atLeast"/>
        </w:trPr>
        <w:tc>
          <w:tcPr>
            <w:tcW w:w="6837" w:type="dxa"/>
          </w:tcPr>
          <w:p>
            <w:pPr>
              <w:pStyle w:val="TableParagraph"/>
              <w:spacing w:before="133"/>
              <w:ind w:left="50"/>
              <w:rPr>
                <w:sz w:val="24"/>
              </w:rPr>
            </w:pPr>
            <w:hyperlink w:history="true" w:anchor="_bookmark24">
              <w:r>
                <w:rPr>
                  <w:sz w:val="24"/>
                </w:rPr>
                <w:t>crecimiento</w:t>
              </w:r>
              <w:r>
                <w:rPr>
                  <w:spacing w:val="1"/>
                  <w:sz w:val="24"/>
                </w:rPr>
                <w:t> </w:t>
              </w:r>
              <w:r>
                <w:rPr>
                  <w:spacing w:val="-2"/>
                  <w:sz w:val="24"/>
                </w:rPr>
                <w:t>bacteriano</w:t>
              </w:r>
            </w:hyperlink>
          </w:p>
        </w:tc>
        <w:tc>
          <w:tcPr>
            <w:tcW w:w="718" w:type="dxa"/>
          </w:tcPr>
          <w:p>
            <w:pPr>
              <w:pStyle w:val="TableParagraph"/>
              <w:rPr>
                <w:sz w:val="24"/>
              </w:rPr>
            </w:pPr>
          </w:p>
        </w:tc>
        <w:tc>
          <w:tcPr>
            <w:tcW w:w="463" w:type="dxa"/>
          </w:tcPr>
          <w:p>
            <w:pPr>
              <w:pStyle w:val="TableParagraph"/>
              <w:spacing w:before="133"/>
              <w:ind w:right="47"/>
              <w:jc w:val="right"/>
              <w:rPr>
                <w:sz w:val="24"/>
              </w:rPr>
            </w:pPr>
            <w:hyperlink w:history="true" w:anchor="_bookmark24">
              <w:r>
                <w:rPr>
                  <w:spacing w:val="-5"/>
                  <w:sz w:val="24"/>
                </w:rPr>
                <w:t>18</w:t>
              </w:r>
            </w:hyperlink>
          </w:p>
        </w:tc>
      </w:tr>
      <w:tr>
        <w:trPr>
          <w:trHeight w:val="552" w:hRule="atLeast"/>
        </w:trPr>
        <w:tc>
          <w:tcPr>
            <w:tcW w:w="6837" w:type="dxa"/>
          </w:tcPr>
          <w:p>
            <w:pPr>
              <w:pStyle w:val="TableParagraph"/>
              <w:spacing w:before="133"/>
              <w:ind w:left="50"/>
              <w:rPr>
                <w:sz w:val="24"/>
              </w:rPr>
            </w:pPr>
            <w:r>
              <w:rPr>
                <w:sz w:val="24"/>
              </w:rPr>
              <w:t>2.7.3.</w:t>
            </w:r>
            <w:r>
              <w:rPr>
                <w:spacing w:val="28"/>
                <w:sz w:val="24"/>
              </w:rPr>
              <w:t>  </w:t>
            </w:r>
            <w:hyperlink w:history="true" w:anchor="_bookmark25">
              <w:r>
                <w:rPr>
                  <w:sz w:val="24"/>
                </w:rPr>
                <w:t>Relevancia de la CMI</w:t>
              </w:r>
              <w:r>
                <w:rPr>
                  <w:spacing w:val="-5"/>
                  <w:sz w:val="24"/>
                </w:rPr>
                <w:t> </w:t>
              </w:r>
              <w:r>
                <w:rPr>
                  <w:sz w:val="24"/>
                </w:rPr>
                <w:t>en el</w:t>
              </w:r>
              <w:r>
                <w:rPr>
                  <w:spacing w:val="-8"/>
                  <w:sz w:val="24"/>
                </w:rPr>
                <w:t> </w:t>
              </w:r>
              <w:r>
                <w:rPr>
                  <w:sz w:val="24"/>
                </w:rPr>
                <w:t>estudio del</w:t>
              </w:r>
              <w:r>
                <w:rPr>
                  <w:spacing w:val="1"/>
                  <w:sz w:val="24"/>
                </w:rPr>
                <w:t> </w:t>
              </w:r>
              <w:r>
                <w:rPr>
                  <w:sz w:val="24"/>
                </w:rPr>
                <w:t>CBD</w:t>
              </w:r>
              <w:r>
                <w:rPr>
                  <w:spacing w:val="-7"/>
                  <w:sz w:val="24"/>
                </w:rPr>
                <w:t> </w:t>
              </w:r>
              <w:r>
                <w:rPr>
                  <w:sz w:val="24"/>
                </w:rPr>
                <w:t>frente a</w:t>
              </w:r>
              <w:r>
                <w:rPr>
                  <w:spacing w:val="2"/>
                  <w:sz w:val="24"/>
                </w:rPr>
                <w:t> </w:t>
              </w:r>
              <w:r>
                <w:rPr>
                  <w:spacing w:val="-4"/>
                  <w:sz w:val="24"/>
                </w:rPr>
                <w:t>MRSA</w:t>
              </w:r>
            </w:hyperlink>
          </w:p>
        </w:tc>
        <w:tc>
          <w:tcPr>
            <w:tcW w:w="718" w:type="dxa"/>
          </w:tcPr>
          <w:p>
            <w:pPr>
              <w:pStyle w:val="TableParagraph"/>
              <w:rPr>
                <w:sz w:val="24"/>
              </w:rPr>
            </w:pPr>
          </w:p>
        </w:tc>
        <w:tc>
          <w:tcPr>
            <w:tcW w:w="463" w:type="dxa"/>
          </w:tcPr>
          <w:p>
            <w:pPr>
              <w:pStyle w:val="TableParagraph"/>
              <w:spacing w:before="133"/>
              <w:ind w:right="47"/>
              <w:jc w:val="right"/>
              <w:rPr>
                <w:sz w:val="24"/>
              </w:rPr>
            </w:pPr>
            <w:hyperlink w:history="true" w:anchor="_bookmark25">
              <w:r>
                <w:rPr>
                  <w:spacing w:val="-5"/>
                  <w:sz w:val="24"/>
                </w:rPr>
                <w:t>19</w:t>
              </w:r>
            </w:hyperlink>
          </w:p>
        </w:tc>
      </w:tr>
      <w:tr>
        <w:trPr>
          <w:trHeight w:val="409" w:hRule="atLeast"/>
        </w:trPr>
        <w:tc>
          <w:tcPr>
            <w:tcW w:w="6837" w:type="dxa"/>
          </w:tcPr>
          <w:p>
            <w:pPr>
              <w:pStyle w:val="TableParagraph"/>
              <w:spacing w:line="256" w:lineRule="exact" w:before="133"/>
              <w:ind w:left="50"/>
              <w:rPr>
                <w:sz w:val="24"/>
              </w:rPr>
            </w:pPr>
            <w:hyperlink w:history="true" w:anchor="_bookmark26">
              <w:r>
                <w:rPr>
                  <w:sz w:val="24"/>
                </w:rPr>
                <w:t>CAPÍTULO</w:t>
              </w:r>
              <w:r>
                <w:rPr>
                  <w:spacing w:val="-16"/>
                  <w:sz w:val="24"/>
                </w:rPr>
                <w:t> </w:t>
              </w:r>
              <w:r>
                <w:rPr>
                  <w:spacing w:val="-5"/>
                  <w:sz w:val="24"/>
                </w:rPr>
                <w:t>III</w:t>
              </w:r>
            </w:hyperlink>
          </w:p>
        </w:tc>
        <w:tc>
          <w:tcPr>
            <w:tcW w:w="718" w:type="dxa"/>
          </w:tcPr>
          <w:p>
            <w:pPr>
              <w:pStyle w:val="TableParagraph"/>
              <w:rPr>
                <w:sz w:val="24"/>
              </w:rPr>
            </w:pPr>
          </w:p>
        </w:tc>
        <w:tc>
          <w:tcPr>
            <w:tcW w:w="463" w:type="dxa"/>
          </w:tcPr>
          <w:p>
            <w:pPr>
              <w:pStyle w:val="TableParagraph"/>
              <w:spacing w:line="256" w:lineRule="exact" w:before="133"/>
              <w:ind w:right="47"/>
              <w:jc w:val="right"/>
              <w:rPr>
                <w:sz w:val="24"/>
              </w:rPr>
            </w:pPr>
            <w:hyperlink w:history="true" w:anchor="_bookmark26">
              <w:r>
                <w:rPr>
                  <w:spacing w:val="-5"/>
                  <w:sz w:val="24"/>
                </w:rPr>
                <w:t>20</w:t>
              </w:r>
            </w:hyperlink>
          </w:p>
        </w:tc>
      </w:tr>
      <w:tr>
        <w:trPr>
          <w:trHeight w:val="695" w:hRule="atLeast"/>
        </w:trPr>
        <w:tc>
          <w:tcPr>
            <w:tcW w:w="7555" w:type="dxa"/>
            <w:gridSpan w:val="2"/>
          </w:tcPr>
          <w:p>
            <w:pPr>
              <w:pStyle w:val="TableParagraph"/>
              <w:rPr>
                <w:sz w:val="24"/>
              </w:rPr>
            </w:pPr>
          </w:p>
          <w:p>
            <w:pPr>
              <w:pStyle w:val="TableParagraph"/>
              <w:tabs>
                <w:tab w:pos="709" w:val="left" w:leader="none"/>
              </w:tabs>
              <w:ind w:left="50"/>
              <w:rPr>
                <w:sz w:val="24"/>
              </w:rPr>
            </w:pPr>
            <w:r>
              <w:rPr>
                <w:spacing w:val="-5"/>
                <w:sz w:val="24"/>
              </w:rPr>
              <w:t>3.</w:t>
            </w:r>
            <w:r>
              <w:rPr>
                <w:sz w:val="24"/>
              </w:rPr>
              <w:tab/>
            </w:r>
            <w:hyperlink w:history="true" w:anchor="_bookmark27">
              <w:r>
                <w:rPr>
                  <w:sz w:val="24"/>
                </w:rPr>
                <w:t>MARCO</w:t>
              </w:r>
              <w:r>
                <w:rPr>
                  <w:spacing w:val="-11"/>
                  <w:sz w:val="24"/>
                </w:rPr>
                <w:t> </w:t>
              </w:r>
              <w:r>
                <w:rPr>
                  <w:spacing w:val="-2"/>
                  <w:sz w:val="24"/>
                </w:rPr>
                <w:t>METODOLÓGICO</w:t>
              </w:r>
            </w:hyperlink>
          </w:p>
        </w:tc>
        <w:tc>
          <w:tcPr>
            <w:tcW w:w="463" w:type="dxa"/>
          </w:tcPr>
          <w:p>
            <w:pPr>
              <w:pStyle w:val="TableParagraph"/>
              <w:rPr>
                <w:sz w:val="24"/>
              </w:rPr>
            </w:pPr>
          </w:p>
          <w:p>
            <w:pPr>
              <w:pStyle w:val="TableParagraph"/>
              <w:ind w:right="47"/>
              <w:jc w:val="right"/>
              <w:rPr>
                <w:sz w:val="24"/>
              </w:rPr>
            </w:pPr>
            <w:hyperlink w:history="true" w:anchor="_bookmark27">
              <w:r>
                <w:rPr>
                  <w:spacing w:val="-5"/>
                  <w:sz w:val="24"/>
                </w:rPr>
                <w:t>20</w:t>
              </w:r>
            </w:hyperlink>
          </w:p>
        </w:tc>
      </w:tr>
      <w:tr>
        <w:trPr>
          <w:trHeight w:val="551" w:hRule="atLeast"/>
        </w:trPr>
        <w:tc>
          <w:tcPr>
            <w:tcW w:w="7555" w:type="dxa"/>
            <w:gridSpan w:val="2"/>
          </w:tcPr>
          <w:p>
            <w:pPr>
              <w:pStyle w:val="TableParagraph"/>
              <w:tabs>
                <w:tab w:pos="649" w:val="left" w:leader="none"/>
              </w:tabs>
              <w:spacing w:before="133"/>
              <w:ind w:left="50"/>
              <w:rPr>
                <w:sz w:val="24"/>
              </w:rPr>
            </w:pPr>
            <w:r>
              <w:rPr>
                <w:spacing w:val="-4"/>
                <w:sz w:val="24"/>
              </w:rPr>
              <w:t>3.1.</w:t>
            </w:r>
            <w:r>
              <w:rPr>
                <w:sz w:val="24"/>
              </w:rPr>
              <w:tab/>
            </w:r>
            <w:hyperlink w:history="true" w:anchor="_bookmark28">
              <w:r>
                <w:rPr>
                  <w:sz w:val="24"/>
                </w:rPr>
                <w:t>Ubicación</w:t>
              </w:r>
              <w:r>
                <w:rPr>
                  <w:spacing w:val="-1"/>
                  <w:sz w:val="24"/>
                </w:rPr>
                <w:t> </w:t>
              </w:r>
              <w:r>
                <w:rPr>
                  <w:sz w:val="24"/>
                </w:rPr>
                <w:t>De</w:t>
              </w:r>
              <w:r>
                <w:rPr>
                  <w:spacing w:val="-2"/>
                  <w:sz w:val="24"/>
                </w:rPr>
                <w:t> </w:t>
              </w:r>
              <w:r>
                <w:rPr>
                  <w:sz w:val="24"/>
                </w:rPr>
                <w:t>La</w:t>
              </w:r>
              <w:r>
                <w:rPr>
                  <w:spacing w:val="5"/>
                  <w:sz w:val="24"/>
                </w:rPr>
                <w:t> </w:t>
              </w:r>
              <w:r>
                <w:rPr>
                  <w:spacing w:val="-2"/>
                  <w:sz w:val="24"/>
                </w:rPr>
                <w:t>Investigación</w:t>
              </w:r>
            </w:hyperlink>
          </w:p>
        </w:tc>
        <w:tc>
          <w:tcPr>
            <w:tcW w:w="463" w:type="dxa"/>
          </w:tcPr>
          <w:p>
            <w:pPr>
              <w:pStyle w:val="TableParagraph"/>
              <w:spacing w:before="133"/>
              <w:ind w:right="47"/>
              <w:jc w:val="right"/>
              <w:rPr>
                <w:sz w:val="24"/>
              </w:rPr>
            </w:pPr>
            <w:hyperlink w:history="true" w:anchor="_bookmark28">
              <w:r>
                <w:rPr>
                  <w:spacing w:val="-5"/>
                  <w:sz w:val="24"/>
                </w:rPr>
                <w:t>20</w:t>
              </w:r>
            </w:hyperlink>
          </w:p>
        </w:tc>
      </w:tr>
      <w:tr>
        <w:trPr>
          <w:trHeight w:val="552" w:hRule="atLeast"/>
        </w:trPr>
        <w:tc>
          <w:tcPr>
            <w:tcW w:w="7555" w:type="dxa"/>
            <w:gridSpan w:val="2"/>
          </w:tcPr>
          <w:p>
            <w:pPr>
              <w:pStyle w:val="TableParagraph"/>
              <w:tabs>
                <w:tab w:pos="649" w:val="left" w:leader="none"/>
              </w:tabs>
              <w:spacing w:before="133"/>
              <w:ind w:left="50"/>
              <w:rPr>
                <w:sz w:val="24"/>
              </w:rPr>
            </w:pPr>
            <w:r>
              <w:rPr>
                <w:spacing w:val="-4"/>
                <w:sz w:val="24"/>
              </w:rPr>
              <w:t>3.2.</w:t>
            </w:r>
            <w:r>
              <w:rPr>
                <w:sz w:val="24"/>
              </w:rPr>
              <w:tab/>
            </w:r>
            <w:r>
              <w:rPr>
                <w:spacing w:val="-2"/>
                <w:sz w:val="24"/>
              </w:rPr>
              <w:t>Metodología</w:t>
            </w:r>
          </w:p>
        </w:tc>
        <w:tc>
          <w:tcPr>
            <w:tcW w:w="463" w:type="dxa"/>
          </w:tcPr>
          <w:p>
            <w:pPr>
              <w:pStyle w:val="TableParagraph"/>
              <w:spacing w:before="133"/>
              <w:ind w:right="47"/>
              <w:jc w:val="right"/>
              <w:rPr>
                <w:sz w:val="24"/>
              </w:rPr>
            </w:pPr>
            <w:r>
              <w:rPr>
                <w:spacing w:val="-5"/>
                <w:sz w:val="24"/>
              </w:rPr>
              <w:t>20</w:t>
            </w:r>
          </w:p>
        </w:tc>
      </w:tr>
      <w:tr>
        <w:trPr>
          <w:trHeight w:val="552" w:hRule="atLeast"/>
        </w:trPr>
        <w:tc>
          <w:tcPr>
            <w:tcW w:w="7555" w:type="dxa"/>
            <w:gridSpan w:val="2"/>
          </w:tcPr>
          <w:p>
            <w:pPr>
              <w:pStyle w:val="TableParagraph"/>
              <w:tabs>
                <w:tab w:pos="649" w:val="left" w:leader="none"/>
              </w:tabs>
              <w:spacing w:before="133"/>
              <w:ind w:left="50"/>
              <w:rPr>
                <w:sz w:val="24"/>
              </w:rPr>
            </w:pPr>
            <w:r>
              <w:rPr>
                <w:spacing w:val="-4"/>
                <w:sz w:val="24"/>
              </w:rPr>
              <w:t>3.3.</w:t>
            </w:r>
            <w:r>
              <w:rPr>
                <w:sz w:val="24"/>
              </w:rPr>
              <w:tab/>
            </w:r>
            <w:hyperlink w:history="true" w:anchor="_bookmark30">
              <w:r>
                <w:rPr>
                  <w:sz w:val="24"/>
                </w:rPr>
                <w:t>Material</w:t>
              </w:r>
              <w:r>
                <w:rPr>
                  <w:spacing w:val="2"/>
                  <w:sz w:val="24"/>
                </w:rPr>
                <w:t> </w:t>
              </w:r>
              <w:r>
                <w:rPr>
                  <w:sz w:val="24"/>
                </w:rPr>
                <w:t>En </w:t>
              </w:r>
              <w:r>
                <w:rPr>
                  <w:spacing w:val="-2"/>
                  <w:sz w:val="24"/>
                </w:rPr>
                <w:t>Estudio</w:t>
              </w:r>
            </w:hyperlink>
          </w:p>
        </w:tc>
        <w:tc>
          <w:tcPr>
            <w:tcW w:w="463" w:type="dxa"/>
          </w:tcPr>
          <w:p>
            <w:pPr>
              <w:pStyle w:val="TableParagraph"/>
              <w:spacing w:before="133"/>
              <w:ind w:right="55"/>
              <w:jc w:val="right"/>
              <w:rPr>
                <w:sz w:val="24"/>
              </w:rPr>
            </w:pPr>
            <w:hyperlink w:history="true" w:anchor="_bookmark30">
              <w:r>
                <w:rPr>
                  <w:spacing w:val="-5"/>
                  <w:sz w:val="24"/>
                </w:rPr>
                <w:t>21</w:t>
              </w:r>
            </w:hyperlink>
          </w:p>
        </w:tc>
      </w:tr>
      <w:tr>
        <w:trPr>
          <w:trHeight w:val="552" w:hRule="atLeast"/>
        </w:trPr>
        <w:tc>
          <w:tcPr>
            <w:tcW w:w="7555" w:type="dxa"/>
            <w:gridSpan w:val="2"/>
          </w:tcPr>
          <w:p>
            <w:pPr>
              <w:pStyle w:val="TableParagraph"/>
              <w:tabs>
                <w:tab w:pos="649" w:val="left" w:leader="none"/>
              </w:tabs>
              <w:spacing w:before="133"/>
              <w:ind w:left="50"/>
              <w:rPr>
                <w:sz w:val="24"/>
              </w:rPr>
            </w:pPr>
            <w:r>
              <w:rPr>
                <w:spacing w:val="-4"/>
                <w:sz w:val="24"/>
              </w:rPr>
              <w:t>3.4.</w:t>
            </w:r>
            <w:r>
              <w:rPr>
                <w:sz w:val="24"/>
              </w:rPr>
              <w:tab/>
              <w:t>Factores</w:t>
            </w:r>
            <w:r>
              <w:rPr>
                <w:spacing w:val="1"/>
                <w:sz w:val="24"/>
              </w:rPr>
              <w:t> </w:t>
            </w:r>
            <w:r>
              <w:rPr>
                <w:sz w:val="24"/>
              </w:rPr>
              <w:t>En</w:t>
            </w:r>
            <w:r>
              <w:rPr>
                <w:spacing w:val="2"/>
                <w:sz w:val="24"/>
              </w:rPr>
              <w:t> </w:t>
            </w:r>
            <w:r>
              <w:rPr>
                <w:spacing w:val="-2"/>
                <w:sz w:val="24"/>
              </w:rPr>
              <w:t>Estudio</w:t>
            </w:r>
          </w:p>
        </w:tc>
        <w:tc>
          <w:tcPr>
            <w:tcW w:w="463" w:type="dxa"/>
          </w:tcPr>
          <w:p>
            <w:pPr>
              <w:pStyle w:val="TableParagraph"/>
              <w:spacing w:before="133"/>
              <w:ind w:right="55"/>
              <w:jc w:val="right"/>
              <w:rPr>
                <w:sz w:val="24"/>
              </w:rPr>
            </w:pPr>
            <w:r>
              <w:rPr>
                <w:spacing w:val="-5"/>
                <w:sz w:val="24"/>
              </w:rPr>
              <w:t>21</w:t>
            </w:r>
          </w:p>
        </w:tc>
      </w:tr>
      <w:tr>
        <w:trPr>
          <w:trHeight w:val="552" w:hRule="atLeast"/>
        </w:trPr>
        <w:tc>
          <w:tcPr>
            <w:tcW w:w="7555" w:type="dxa"/>
            <w:gridSpan w:val="2"/>
          </w:tcPr>
          <w:p>
            <w:pPr>
              <w:pStyle w:val="TableParagraph"/>
              <w:tabs>
                <w:tab w:pos="649" w:val="left" w:leader="none"/>
              </w:tabs>
              <w:spacing w:before="133"/>
              <w:ind w:left="50"/>
              <w:rPr>
                <w:sz w:val="24"/>
              </w:rPr>
            </w:pPr>
            <w:r>
              <w:rPr>
                <w:spacing w:val="-4"/>
                <w:sz w:val="24"/>
              </w:rPr>
              <w:t>3.5.</w:t>
            </w:r>
            <w:r>
              <w:rPr>
                <w:sz w:val="24"/>
              </w:rPr>
              <w:tab/>
            </w:r>
            <w:hyperlink w:history="true" w:anchor="_bookmark31">
              <w:r>
                <w:rPr>
                  <w:spacing w:val="-2"/>
                  <w:sz w:val="24"/>
                </w:rPr>
                <w:t>Tratamientos</w:t>
              </w:r>
            </w:hyperlink>
          </w:p>
        </w:tc>
        <w:tc>
          <w:tcPr>
            <w:tcW w:w="463" w:type="dxa"/>
          </w:tcPr>
          <w:p>
            <w:pPr>
              <w:pStyle w:val="TableParagraph"/>
              <w:spacing w:before="133"/>
              <w:ind w:right="47"/>
              <w:jc w:val="right"/>
              <w:rPr>
                <w:sz w:val="24"/>
              </w:rPr>
            </w:pPr>
            <w:hyperlink w:history="true" w:anchor="_bookmark31">
              <w:r>
                <w:rPr>
                  <w:spacing w:val="-5"/>
                  <w:sz w:val="24"/>
                </w:rPr>
                <w:t>22</w:t>
              </w:r>
            </w:hyperlink>
          </w:p>
        </w:tc>
      </w:tr>
      <w:tr>
        <w:trPr>
          <w:trHeight w:val="552" w:hRule="atLeast"/>
        </w:trPr>
        <w:tc>
          <w:tcPr>
            <w:tcW w:w="7555" w:type="dxa"/>
            <w:gridSpan w:val="2"/>
          </w:tcPr>
          <w:p>
            <w:pPr>
              <w:pStyle w:val="TableParagraph"/>
              <w:tabs>
                <w:tab w:pos="649" w:val="left" w:leader="none"/>
              </w:tabs>
              <w:spacing w:before="133"/>
              <w:ind w:left="50"/>
              <w:rPr>
                <w:sz w:val="24"/>
              </w:rPr>
            </w:pPr>
            <w:r>
              <w:rPr>
                <w:spacing w:val="-4"/>
                <w:sz w:val="24"/>
              </w:rPr>
              <w:t>3.6.</w:t>
            </w:r>
            <w:r>
              <w:rPr>
                <w:sz w:val="24"/>
              </w:rPr>
              <w:tab/>
            </w:r>
            <w:hyperlink w:history="true" w:anchor="_bookmark32">
              <w:r>
                <w:rPr>
                  <w:sz w:val="24"/>
                </w:rPr>
                <w:t>Tipo</w:t>
              </w:r>
              <w:r>
                <w:rPr>
                  <w:spacing w:val="-1"/>
                  <w:sz w:val="24"/>
                </w:rPr>
                <w:t> </w:t>
              </w:r>
              <w:r>
                <w:rPr>
                  <w:sz w:val="24"/>
                </w:rPr>
                <w:t>De Diseño </w:t>
              </w:r>
              <w:r>
                <w:rPr>
                  <w:spacing w:val="-2"/>
                  <w:sz w:val="24"/>
                </w:rPr>
                <w:t>Experimental</w:t>
              </w:r>
            </w:hyperlink>
          </w:p>
        </w:tc>
        <w:tc>
          <w:tcPr>
            <w:tcW w:w="463" w:type="dxa"/>
          </w:tcPr>
          <w:p>
            <w:pPr>
              <w:pStyle w:val="TableParagraph"/>
              <w:spacing w:before="133"/>
              <w:ind w:right="47"/>
              <w:jc w:val="right"/>
              <w:rPr>
                <w:sz w:val="24"/>
              </w:rPr>
            </w:pPr>
            <w:hyperlink w:history="true" w:anchor="_bookmark32">
              <w:r>
                <w:rPr>
                  <w:spacing w:val="-5"/>
                  <w:sz w:val="24"/>
                </w:rPr>
                <w:t>22</w:t>
              </w:r>
            </w:hyperlink>
          </w:p>
        </w:tc>
      </w:tr>
      <w:tr>
        <w:trPr>
          <w:trHeight w:val="552" w:hRule="atLeast"/>
        </w:trPr>
        <w:tc>
          <w:tcPr>
            <w:tcW w:w="7555" w:type="dxa"/>
            <w:gridSpan w:val="2"/>
          </w:tcPr>
          <w:p>
            <w:pPr>
              <w:pStyle w:val="TableParagraph"/>
              <w:tabs>
                <w:tab w:pos="649" w:val="left" w:leader="none"/>
              </w:tabs>
              <w:spacing w:before="133"/>
              <w:ind w:left="50"/>
              <w:rPr>
                <w:sz w:val="24"/>
              </w:rPr>
            </w:pPr>
            <w:r>
              <w:rPr>
                <w:spacing w:val="-4"/>
                <w:sz w:val="24"/>
              </w:rPr>
              <w:t>3.7.</w:t>
            </w:r>
            <w:r>
              <w:rPr>
                <w:sz w:val="24"/>
              </w:rPr>
              <w:tab/>
              <w:t>Manejo De</w:t>
            </w:r>
            <w:r>
              <w:rPr>
                <w:spacing w:val="1"/>
                <w:sz w:val="24"/>
              </w:rPr>
              <w:t> </w:t>
            </w:r>
            <w:r>
              <w:rPr>
                <w:sz w:val="24"/>
              </w:rPr>
              <w:t>La</w:t>
            </w:r>
            <w:r>
              <w:rPr>
                <w:spacing w:val="1"/>
                <w:sz w:val="24"/>
              </w:rPr>
              <w:t> </w:t>
            </w:r>
            <w:r>
              <w:rPr>
                <w:spacing w:val="-2"/>
                <w:sz w:val="24"/>
              </w:rPr>
              <w:t>Investigación</w:t>
            </w:r>
          </w:p>
        </w:tc>
        <w:tc>
          <w:tcPr>
            <w:tcW w:w="463" w:type="dxa"/>
          </w:tcPr>
          <w:p>
            <w:pPr>
              <w:pStyle w:val="TableParagraph"/>
              <w:rPr>
                <w:sz w:val="24"/>
              </w:rPr>
            </w:pPr>
          </w:p>
        </w:tc>
      </w:tr>
      <w:tr>
        <w:trPr>
          <w:trHeight w:val="552" w:hRule="atLeast"/>
        </w:trPr>
        <w:tc>
          <w:tcPr>
            <w:tcW w:w="7555" w:type="dxa"/>
            <w:gridSpan w:val="2"/>
          </w:tcPr>
          <w:p>
            <w:pPr>
              <w:pStyle w:val="TableParagraph"/>
              <w:spacing w:before="133"/>
              <w:ind w:left="50"/>
              <w:rPr>
                <w:sz w:val="24"/>
              </w:rPr>
            </w:pPr>
            <w:r>
              <w:rPr>
                <w:sz w:val="24"/>
              </w:rPr>
              <w:t>3.7.1.</w:t>
            </w:r>
            <w:r>
              <w:rPr>
                <w:spacing w:val="27"/>
                <w:sz w:val="24"/>
              </w:rPr>
              <w:t>  </w:t>
            </w:r>
            <w:hyperlink w:history="true" w:anchor="_bookmark33">
              <w:r>
                <w:rPr>
                  <w:sz w:val="24"/>
                </w:rPr>
                <w:t>Prueba</w:t>
              </w:r>
              <w:r>
                <w:rPr>
                  <w:spacing w:val="2"/>
                  <w:sz w:val="24"/>
                </w:rPr>
                <w:t> </w:t>
              </w:r>
              <w:r>
                <w:rPr>
                  <w:sz w:val="24"/>
                </w:rPr>
                <w:t>de</w:t>
              </w:r>
              <w:r>
                <w:rPr>
                  <w:spacing w:val="1"/>
                  <w:sz w:val="24"/>
                </w:rPr>
                <w:t> </w:t>
              </w:r>
              <w:r>
                <w:rPr>
                  <w:sz w:val="24"/>
                </w:rPr>
                <w:t>sensibilidad</w:t>
              </w:r>
              <w:r>
                <w:rPr>
                  <w:spacing w:val="-3"/>
                  <w:sz w:val="24"/>
                </w:rPr>
                <w:t> </w:t>
              </w:r>
              <w:r>
                <w:rPr>
                  <w:sz w:val="24"/>
                </w:rPr>
                <w:t>por difusión</w:t>
              </w:r>
              <w:r>
                <w:rPr>
                  <w:spacing w:val="-7"/>
                  <w:sz w:val="24"/>
                </w:rPr>
                <w:t> </w:t>
              </w:r>
              <w:r>
                <w:rPr>
                  <w:sz w:val="24"/>
                </w:rPr>
                <w:t>en</w:t>
              </w:r>
              <w:r>
                <w:rPr>
                  <w:spacing w:val="-5"/>
                  <w:sz w:val="24"/>
                </w:rPr>
                <w:t> </w:t>
              </w:r>
              <w:r>
                <w:rPr>
                  <w:sz w:val="24"/>
                </w:rPr>
                <w:t>agar (método</w:t>
              </w:r>
              <w:r>
                <w:rPr>
                  <w:spacing w:val="-3"/>
                  <w:sz w:val="24"/>
                </w:rPr>
                <w:t> </w:t>
              </w:r>
              <w:r>
                <w:rPr>
                  <w:spacing w:val="-2"/>
                  <w:sz w:val="24"/>
                </w:rPr>
                <w:t>Kirby–Bauer)</w:t>
              </w:r>
            </w:hyperlink>
          </w:p>
        </w:tc>
        <w:tc>
          <w:tcPr>
            <w:tcW w:w="463" w:type="dxa"/>
          </w:tcPr>
          <w:p>
            <w:pPr>
              <w:pStyle w:val="TableParagraph"/>
              <w:spacing w:before="133"/>
              <w:ind w:right="47"/>
              <w:jc w:val="right"/>
              <w:rPr>
                <w:sz w:val="24"/>
              </w:rPr>
            </w:pPr>
            <w:hyperlink w:history="true" w:anchor="_bookmark33">
              <w:r>
                <w:rPr>
                  <w:spacing w:val="-5"/>
                  <w:sz w:val="24"/>
                </w:rPr>
                <w:t>22</w:t>
              </w:r>
            </w:hyperlink>
          </w:p>
        </w:tc>
      </w:tr>
      <w:tr>
        <w:trPr>
          <w:trHeight w:val="551" w:hRule="atLeast"/>
        </w:trPr>
        <w:tc>
          <w:tcPr>
            <w:tcW w:w="7555" w:type="dxa"/>
            <w:gridSpan w:val="2"/>
          </w:tcPr>
          <w:p>
            <w:pPr>
              <w:pStyle w:val="TableParagraph"/>
              <w:spacing w:before="133"/>
              <w:ind w:left="50"/>
              <w:rPr>
                <w:sz w:val="24"/>
              </w:rPr>
            </w:pPr>
            <w:r>
              <w:rPr>
                <w:sz w:val="24"/>
              </w:rPr>
              <w:t>3.7.2.</w:t>
            </w:r>
            <w:r>
              <w:rPr>
                <w:spacing w:val="28"/>
                <w:sz w:val="24"/>
              </w:rPr>
              <w:t>  </w:t>
            </w:r>
            <w:hyperlink w:history="true" w:anchor="_bookmark34">
              <w:r>
                <w:rPr>
                  <w:sz w:val="24"/>
                </w:rPr>
                <w:t>Fase</w:t>
              </w:r>
              <w:r>
                <w:rPr>
                  <w:spacing w:val="41"/>
                  <w:sz w:val="24"/>
                </w:rPr>
                <w:t> </w:t>
              </w:r>
              <w:r>
                <w:rPr>
                  <w:sz w:val="24"/>
                </w:rPr>
                <w:t>II:</w:t>
              </w:r>
              <w:r>
                <w:rPr>
                  <w:spacing w:val="40"/>
                  <w:sz w:val="24"/>
                </w:rPr>
                <w:t> </w:t>
              </w:r>
              <w:r>
                <w:rPr>
                  <w:sz w:val="24"/>
                </w:rPr>
                <w:t>Evaluación</w:t>
              </w:r>
              <w:r>
                <w:rPr>
                  <w:spacing w:val="39"/>
                  <w:sz w:val="24"/>
                </w:rPr>
                <w:t> </w:t>
              </w:r>
              <w:r>
                <w:rPr>
                  <w:sz w:val="24"/>
                </w:rPr>
                <w:t>de</w:t>
              </w:r>
              <w:r>
                <w:rPr>
                  <w:spacing w:val="40"/>
                  <w:sz w:val="24"/>
                </w:rPr>
                <w:t> </w:t>
              </w:r>
              <w:r>
                <w:rPr>
                  <w:sz w:val="24"/>
                </w:rPr>
                <w:t>la</w:t>
              </w:r>
              <w:r>
                <w:rPr>
                  <w:spacing w:val="39"/>
                  <w:sz w:val="24"/>
                </w:rPr>
                <w:t> </w:t>
              </w:r>
              <w:r>
                <w:rPr>
                  <w:sz w:val="24"/>
                </w:rPr>
                <w:t>Concentración</w:t>
              </w:r>
              <w:r>
                <w:rPr>
                  <w:spacing w:val="36"/>
                  <w:sz w:val="24"/>
                </w:rPr>
                <w:t> </w:t>
              </w:r>
              <w:r>
                <w:rPr>
                  <w:sz w:val="24"/>
                </w:rPr>
                <w:t>Mínima</w:t>
              </w:r>
              <w:r>
                <w:rPr>
                  <w:spacing w:val="40"/>
                  <w:sz w:val="24"/>
                </w:rPr>
                <w:t> </w:t>
              </w:r>
              <w:r>
                <w:rPr>
                  <w:sz w:val="24"/>
                </w:rPr>
                <w:t>Inhibitoria</w:t>
              </w:r>
              <w:r>
                <w:rPr>
                  <w:spacing w:val="42"/>
                  <w:sz w:val="24"/>
                </w:rPr>
                <w:t> </w:t>
              </w:r>
              <w:r>
                <w:rPr>
                  <w:spacing w:val="-2"/>
                  <w:sz w:val="24"/>
                </w:rPr>
                <w:t>(CMI)</w:t>
              </w:r>
            </w:hyperlink>
          </w:p>
        </w:tc>
        <w:tc>
          <w:tcPr>
            <w:tcW w:w="463" w:type="dxa"/>
          </w:tcPr>
          <w:p>
            <w:pPr>
              <w:pStyle w:val="TableParagraph"/>
              <w:spacing w:before="133"/>
              <w:ind w:left="49"/>
              <w:rPr>
                <w:sz w:val="24"/>
              </w:rPr>
            </w:pPr>
            <w:hyperlink w:history="true" w:anchor="_bookmark34">
              <w:r>
                <w:rPr>
                  <w:spacing w:val="-5"/>
                  <w:sz w:val="24"/>
                </w:rPr>
                <w:t>del</w:t>
              </w:r>
            </w:hyperlink>
          </w:p>
        </w:tc>
      </w:tr>
      <w:tr>
        <w:trPr>
          <w:trHeight w:val="552" w:hRule="atLeast"/>
        </w:trPr>
        <w:tc>
          <w:tcPr>
            <w:tcW w:w="7555" w:type="dxa"/>
            <w:gridSpan w:val="2"/>
          </w:tcPr>
          <w:p>
            <w:pPr>
              <w:pStyle w:val="TableParagraph"/>
              <w:spacing w:before="133"/>
              <w:ind w:left="50"/>
              <w:rPr>
                <w:sz w:val="24"/>
              </w:rPr>
            </w:pPr>
            <w:hyperlink w:history="true" w:anchor="_bookmark34">
              <w:r>
                <w:rPr>
                  <w:sz w:val="24"/>
                </w:rPr>
                <w:t>extracto</w:t>
              </w:r>
              <w:r>
                <w:rPr>
                  <w:spacing w:val="-7"/>
                  <w:sz w:val="24"/>
                </w:rPr>
                <w:t> </w:t>
              </w:r>
              <w:r>
                <w:rPr>
                  <w:sz w:val="24"/>
                </w:rPr>
                <w:t>de</w:t>
              </w:r>
              <w:r>
                <w:rPr>
                  <w:spacing w:val="-4"/>
                  <w:sz w:val="24"/>
                </w:rPr>
                <w:t> </w:t>
              </w:r>
              <w:r>
                <w:rPr>
                  <w:sz w:val="24"/>
                </w:rPr>
                <w:t>cannabidiol</w:t>
              </w:r>
              <w:r>
                <w:rPr>
                  <w:spacing w:val="1"/>
                  <w:sz w:val="24"/>
                </w:rPr>
                <w:t> </w:t>
              </w:r>
              <w:r>
                <w:rPr>
                  <w:sz w:val="24"/>
                </w:rPr>
                <w:t>(CBD)</w:t>
              </w:r>
              <w:r>
                <w:rPr>
                  <w:spacing w:val="-1"/>
                  <w:sz w:val="24"/>
                </w:rPr>
                <w:t> </w:t>
              </w:r>
              <w:r>
                <w:rPr>
                  <w:sz w:val="24"/>
                </w:rPr>
                <w:t>en</w:t>
              </w:r>
              <w:r>
                <w:rPr>
                  <w:spacing w:val="-5"/>
                  <w:sz w:val="24"/>
                </w:rPr>
                <w:t> </w:t>
              </w:r>
              <w:r>
                <w:rPr>
                  <w:sz w:val="24"/>
                </w:rPr>
                <w:t>combinación</w:t>
              </w:r>
              <w:r>
                <w:rPr>
                  <w:spacing w:val="-2"/>
                  <w:sz w:val="24"/>
                </w:rPr>
                <w:t> </w:t>
              </w:r>
              <w:r>
                <w:rPr>
                  <w:sz w:val="24"/>
                </w:rPr>
                <w:t>con</w:t>
              </w:r>
              <w:r>
                <w:rPr>
                  <w:spacing w:val="-7"/>
                  <w:sz w:val="24"/>
                </w:rPr>
                <w:t> </w:t>
              </w:r>
              <w:r>
                <w:rPr>
                  <w:sz w:val="24"/>
                </w:rPr>
                <w:t>los</w:t>
              </w:r>
              <w:r>
                <w:rPr>
                  <w:spacing w:val="-7"/>
                  <w:sz w:val="24"/>
                </w:rPr>
                <w:t> </w:t>
              </w:r>
              <w:r>
                <w:rPr>
                  <w:spacing w:val="-2"/>
                  <w:sz w:val="24"/>
                </w:rPr>
                <w:t>antibióticos</w:t>
              </w:r>
            </w:hyperlink>
          </w:p>
        </w:tc>
        <w:tc>
          <w:tcPr>
            <w:tcW w:w="463" w:type="dxa"/>
          </w:tcPr>
          <w:p>
            <w:pPr>
              <w:pStyle w:val="TableParagraph"/>
              <w:spacing w:before="133"/>
              <w:ind w:right="47"/>
              <w:jc w:val="right"/>
              <w:rPr>
                <w:sz w:val="24"/>
              </w:rPr>
            </w:pPr>
            <w:hyperlink w:history="true" w:anchor="_bookmark34">
              <w:r>
                <w:rPr>
                  <w:spacing w:val="-5"/>
                  <w:sz w:val="24"/>
                </w:rPr>
                <w:t>23</w:t>
              </w:r>
            </w:hyperlink>
          </w:p>
        </w:tc>
      </w:tr>
      <w:tr>
        <w:trPr>
          <w:trHeight w:val="554" w:hRule="atLeast"/>
        </w:trPr>
        <w:tc>
          <w:tcPr>
            <w:tcW w:w="7555" w:type="dxa"/>
            <w:gridSpan w:val="2"/>
          </w:tcPr>
          <w:p>
            <w:pPr>
              <w:pStyle w:val="TableParagraph"/>
              <w:tabs>
                <w:tab w:pos="649" w:val="left" w:leader="none"/>
              </w:tabs>
              <w:spacing w:before="133"/>
              <w:ind w:left="50"/>
              <w:rPr>
                <w:sz w:val="24"/>
              </w:rPr>
            </w:pPr>
            <w:r>
              <w:rPr>
                <w:spacing w:val="-4"/>
                <w:sz w:val="24"/>
              </w:rPr>
              <w:t>3.8.</w:t>
            </w:r>
            <w:r>
              <w:rPr>
                <w:sz w:val="24"/>
              </w:rPr>
              <w:tab/>
            </w:r>
            <w:hyperlink w:history="true" w:anchor="_bookmark35">
              <w:r>
                <w:rPr>
                  <w:sz w:val="24"/>
                </w:rPr>
                <w:t>Métodos</w:t>
              </w:r>
              <w:r>
                <w:rPr>
                  <w:spacing w:val="-3"/>
                  <w:sz w:val="24"/>
                </w:rPr>
                <w:t> </w:t>
              </w:r>
              <w:r>
                <w:rPr>
                  <w:sz w:val="24"/>
                </w:rPr>
                <w:t>de evaluación</w:t>
              </w:r>
              <w:r>
                <w:rPr>
                  <w:spacing w:val="-1"/>
                  <w:sz w:val="24"/>
                </w:rPr>
                <w:t> </w:t>
              </w:r>
              <w:r>
                <w:rPr>
                  <w:sz w:val="24"/>
                </w:rPr>
                <w:t>y</w:t>
              </w:r>
              <w:r>
                <w:rPr>
                  <w:spacing w:val="-1"/>
                  <w:sz w:val="24"/>
                </w:rPr>
                <w:t> </w:t>
              </w:r>
              <w:r>
                <w:rPr>
                  <w:sz w:val="24"/>
                </w:rPr>
                <w:t>datos</w:t>
              </w:r>
              <w:r>
                <w:rPr>
                  <w:spacing w:val="-3"/>
                  <w:sz w:val="24"/>
                </w:rPr>
                <w:t> </w:t>
              </w:r>
              <w:r>
                <w:rPr>
                  <w:sz w:val="24"/>
                </w:rPr>
                <w:t>a</w:t>
              </w:r>
              <w:r>
                <w:rPr>
                  <w:spacing w:val="-3"/>
                  <w:sz w:val="24"/>
                </w:rPr>
                <w:t> </w:t>
              </w:r>
              <w:r>
                <w:rPr>
                  <w:spacing w:val="-2"/>
                  <w:sz w:val="24"/>
                </w:rPr>
                <w:t>tomarse</w:t>
              </w:r>
            </w:hyperlink>
          </w:p>
        </w:tc>
        <w:tc>
          <w:tcPr>
            <w:tcW w:w="463" w:type="dxa"/>
          </w:tcPr>
          <w:p>
            <w:pPr>
              <w:pStyle w:val="TableParagraph"/>
              <w:spacing w:before="133"/>
              <w:ind w:right="47"/>
              <w:jc w:val="right"/>
              <w:rPr>
                <w:sz w:val="24"/>
              </w:rPr>
            </w:pPr>
            <w:hyperlink w:history="true" w:anchor="_bookmark35">
              <w:r>
                <w:rPr>
                  <w:spacing w:val="-5"/>
                  <w:sz w:val="24"/>
                </w:rPr>
                <w:t>23</w:t>
              </w:r>
            </w:hyperlink>
          </w:p>
        </w:tc>
      </w:tr>
      <w:tr>
        <w:trPr>
          <w:trHeight w:val="553" w:hRule="atLeast"/>
        </w:trPr>
        <w:tc>
          <w:tcPr>
            <w:tcW w:w="7555" w:type="dxa"/>
            <w:gridSpan w:val="2"/>
          </w:tcPr>
          <w:p>
            <w:pPr>
              <w:pStyle w:val="TableParagraph"/>
              <w:tabs>
                <w:tab w:pos="649" w:val="left" w:leader="none"/>
              </w:tabs>
              <w:spacing w:before="135"/>
              <w:ind w:left="50"/>
              <w:rPr>
                <w:sz w:val="24"/>
              </w:rPr>
            </w:pPr>
            <w:r>
              <w:rPr>
                <w:spacing w:val="-4"/>
                <w:sz w:val="24"/>
              </w:rPr>
              <w:t>3.9.</w:t>
            </w:r>
            <w:r>
              <w:rPr>
                <w:sz w:val="24"/>
              </w:rPr>
              <w:tab/>
            </w:r>
            <w:hyperlink w:history="true" w:anchor="_bookmark36">
              <w:r>
                <w:rPr>
                  <w:sz w:val="24"/>
                </w:rPr>
                <w:t>Analisis</w:t>
              </w:r>
              <w:r>
                <w:rPr>
                  <w:spacing w:val="-4"/>
                  <w:sz w:val="24"/>
                </w:rPr>
                <w:t> </w:t>
              </w:r>
              <w:r>
                <w:rPr>
                  <w:sz w:val="24"/>
                </w:rPr>
                <w:t>de</w:t>
              </w:r>
              <w:r>
                <w:rPr>
                  <w:spacing w:val="1"/>
                  <w:sz w:val="24"/>
                </w:rPr>
                <w:t> </w:t>
              </w:r>
              <w:r>
                <w:rPr>
                  <w:spacing w:val="-4"/>
                  <w:sz w:val="24"/>
                </w:rPr>
                <w:t>datos</w:t>
              </w:r>
            </w:hyperlink>
          </w:p>
        </w:tc>
        <w:tc>
          <w:tcPr>
            <w:tcW w:w="463" w:type="dxa"/>
          </w:tcPr>
          <w:p>
            <w:pPr>
              <w:pStyle w:val="TableParagraph"/>
              <w:spacing w:before="135"/>
              <w:ind w:right="47"/>
              <w:jc w:val="right"/>
              <w:rPr>
                <w:sz w:val="24"/>
              </w:rPr>
            </w:pPr>
            <w:hyperlink w:history="true" w:anchor="_bookmark36">
              <w:r>
                <w:rPr>
                  <w:spacing w:val="-5"/>
                  <w:sz w:val="24"/>
                </w:rPr>
                <w:t>24</w:t>
              </w:r>
            </w:hyperlink>
          </w:p>
        </w:tc>
      </w:tr>
      <w:tr>
        <w:trPr>
          <w:trHeight w:val="552" w:hRule="atLeast"/>
        </w:trPr>
        <w:tc>
          <w:tcPr>
            <w:tcW w:w="7555" w:type="dxa"/>
            <w:gridSpan w:val="2"/>
          </w:tcPr>
          <w:p>
            <w:pPr>
              <w:pStyle w:val="TableParagraph"/>
              <w:spacing w:before="133"/>
              <w:ind w:left="50"/>
              <w:rPr>
                <w:sz w:val="24"/>
              </w:rPr>
            </w:pPr>
            <w:hyperlink w:history="true" w:anchor="_bookmark37">
              <w:r>
                <w:rPr>
                  <w:sz w:val="24"/>
                </w:rPr>
                <w:t>CAPITULO</w:t>
              </w:r>
              <w:r>
                <w:rPr>
                  <w:spacing w:val="-16"/>
                  <w:sz w:val="24"/>
                </w:rPr>
                <w:t> </w:t>
              </w:r>
              <w:r>
                <w:rPr>
                  <w:spacing w:val="-5"/>
                  <w:sz w:val="24"/>
                </w:rPr>
                <w:t>IV</w:t>
              </w:r>
            </w:hyperlink>
          </w:p>
        </w:tc>
        <w:tc>
          <w:tcPr>
            <w:tcW w:w="463" w:type="dxa"/>
          </w:tcPr>
          <w:p>
            <w:pPr>
              <w:pStyle w:val="TableParagraph"/>
              <w:spacing w:before="133"/>
              <w:ind w:right="47"/>
              <w:jc w:val="right"/>
              <w:rPr>
                <w:sz w:val="24"/>
              </w:rPr>
            </w:pPr>
            <w:hyperlink w:history="true" w:anchor="_bookmark37">
              <w:r>
                <w:rPr>
                  <w:spacing w:val="-5"/>
                  <w:sz w:val="24"/>
                </w:rPr>
                <w:t>27</w:t>
              </w:r>
            </w:hyperlink>
          </w:p>
        </w:tc>
      </w:tr>
      <w:tr>
        <w:trPr>
          <w:trHeight w:val="552" w:hRule="atLeast"/>
        </w:trPr>
        <w:tc>
          <w:tcPr>
            <w:tcW w:w="7555" w:type="dxa"/>
            <w:gridSpan w:val="2"/>
          </w:tcPr>
          <w:p>
            <w:pPr>
              <w:pStyle w:val="TableParagraph"/>
              <w:tabs>
                <w:tab w:pos="709" w:val="left" w:leader="none"/>
              </w:tabs>
              <w:spacing w:before="133"/>
              <w:ind w:left="50"/>
              <w:rPr>
                <w:sz w:val="24"/>
              </w:rPr>
            </w:pPr>
            <w:r>
              <w:rPr>
                <w:spacing w:val="-5"/>
                <w:sz w:val="24"/>
              </w:rPr>
              <w:t>4.</w:t>
            </w:r>
            <w:r>
              <w:rPr>
                <w:sz w:val="24"/>
              </w:rPr>
              <w:tab/>
            </w:r>
            <w:hyperlink w:history="true" w:anchor="_bookmark38">
              <w:r>
                <w:rPr>
                  <w:spacing w:val="-6"/>
                  <w:sz w:val="24"/>
                </w:rPr>
                <w:t>RESULTADOS</w:t>
              </w:r>
              <w:r>
                <w:rPr>
                  <w:spacing w:val="-9"/>
                  <w:sz w:val="24"/>
                </w:rPr>
                <w:t> </w:t>
              </w:r>
              <w:r>
                <w:rPr>
                  <w:spacing w:val="-6"/>
                  <w:sz w:val="24"/>
                </w:rPr>
                <w:t>Y</w:t>
              </w:r>
              <w:r>
                <w:rPr>
                  <w:spacing w:val="-2"/>
                  <w:sz w:val="24"/>
                </w:rPr>
                <w:t> </w:t>
              </w:r>
              <w:r>
                <w:rPr>
                  <w:spacing w:val="-6"/>
                  <w:sz w:val="24"/>
                </w:rPr>
                <w:t>DISCUSION</w:t>
              </w:r>
            </w:hyperlink>
          </w:p>
        </w:tc>
        <w:tc>
          <w:tcPr>
            <w:tcW w:w="463" w:type="dxa"/>
          </w:tcPr>
          <w:p>
            <w:pPr>
              <w:pStyle w:val="TableParagraph"/>
              <w:spacing w:before="133"/>
              <w:ind w:right="47"/>
              <w:jc w:val="right"/>
              <w:rPr>
                <w:sz w:val="24"/>
              </w:rPr>
            </w:pPr>
            <w:hyperlink w:history="true" w:anchor="_bookmark38">
              <w:r>
                <w:rPr>
                  <w:spacing w:val="-5"/>
                  <w:sz w:val="24"/>
                </w:rPr>
                <w:t>27</w:t>
              </w:r>
            </w:hyperlink>
          </w:p>
        </w:tc>
      </w:tr>
      <w:tr>
        <w:trPr>
          <w:trHeight w:val="409" w:hRule="atLeast"/>
        </w:trPr>
        <w:tc>
          <w:tcPr>
            <w:tcW w:w="7555" w:type="dxa"/>
            <w:gridSpan w:val="2"/>
          </w:tcPr>
          <w:p>
            <w:pPr>
              <w:pStyle w:val="TableParagraph"/>
              <w:tabs>
                <w:tab w:pos="649" w:val="left" w:leader="none"/>
              </w:tabs>
              <w:spacing w:line="256" w:lineRule="exact" w:before="133"/>
              <w:ind w:left="50"/>
              <w:rPr>
                <w:sz w:val="24"/>
              </w:rPr>
            </w:pPr>
            <w:r>
              <w:rPr>
                <w:spacing w:val="-4"/>
                <w:sz w:val="24"/>
              </w:rPr>
              <w:t>4.1.</w:t>
            </w:r>
            <w:r>
              <w:rPr>
                <w:sz w:val="24"/>
              </w:rPr>
              <w:tab/>
            </w:r>
            <w:hyperlink w:history="true" w:anchor="_bookmark39">
              <w:r>
                <w:rPr>
                  <w:sz w:val="24"/>
                </w:rPr>
                <w:t>Interpretación</w:t>
              </w:r>
              <w:r>
                <w:rPr>
                  <w:spacing w:val="-5"/>
                  <w:sz w:val="24"/>
                </w:rPr>
                <w:t> </w:t>
              </w:r>
              <w:r>
                <w:rPr>
                  <w:sz w:val="24"/>
                </w:rPr>
                <w:t>De </w:t>
              </w:r>
              <w:r>
                <w:rPr>
                  <w:spacing w:val="-2"/>
                  <w:sz w:val="24"/>
                </w:rPr>
                <w:t>Resultados</w:t>
              </w:r>
            </w:hyperlink>
          </w:p>
        </w:tc>
        <w:tc>
          <w:tcPr>
            <w:tcW w:w="463" w:type="dxa"/>
          </w:tcPr>
          <w:p>
            <w:pPr>
              <w:pStyle w:val="TableParagraph"/>
              <w:spacing w:line="256" w:lineRule="exact" w:before="133"/>
              <w:ind w:right="47"/>
              <w:jc w:val="right"/>
              <w:rPr>
                <w:sz w:val="24"/>
              </w:rPr>
            </w:pPr>
            <w:hyperlink w:history="true" w:anchor="_bookmark39">
              <w:r>
                <w:rPr>
                  <w:spacing w:val="-5"/>
                  <w:sz w:val="24"/>
                </w:rPr>
                <w:t>27</w:t>
              </w:r>
            </w:hyperlink>
          </w:p>
        </w:tc>
      </w:tr>
    </w:tbl>
    <w:p>
      <w:pPr>
        <w:pStyle w:val="TableParagraph"/>
        <w:spacing w:after="0" w:line="256" w:lineRule="exact"/>
        <w:jc w:val="right"/>
        <w:rPr>
          <w:sz w:val="24"/>
        </w:rPr>
        <w:sectPr>
          <w:pgSz w:w="11900" w:h="16840"/>
          <w:pgMar w:top="1640" w:bottom="280" w:left="1275" w:right="992"/>
        </w:sectPr>
      </w:pPr>
    </w:p>
    <w:p>
      <w:pPr>
        <w:pStyle w:val="ListParagraph"/>
        <w:numPr>
          <w:ilvl w:val="1"/>
          <w:numId w:val="3"/>
        </w:numPr>
        <w:tabs>
          <w:tab w:pos="1601" w:val="left" w:leader="none"/>
          <w:tab w:pos="8932" w:val="right" w:leader="none"/>
        </w:tabs>
        <w:spacing w:line="240" w:lineRule="auto" w:before="72" w:after="0"/>
        <w:ind w:left="1601" w:right="0" w:hanging="595"/>
        <w:jc w:val="left"/>
        <w:rPr>
          <w:sz w:val="24"/>
        </w:rPr>
      </w:pPr>
      <w:r>
        <w:rPr>
          <w:sz w:val="24"/>
        </w:rPr>
        <w:t>Tratamiento</w:t>
      </w:r>
      <w:r>
        <w:rPr>
          <w:spacing w:val="-7"/>
          <w:sz w:val="24"/>
        </w:rPr>
        <w:t> </w:t>
      </w:r>
      <w:r>
        <w:rPr>
          <w:sz w:val="24"/>
        </w:rPr>
        <w:t>Combinado</w:t>
      </w:r>
      <w:r>
        <w:rPr>
          <w:spacing w:val="-5"/>
          <w:sz w:val="24"/>
        </w:rPr>
        <w:t> </w:t>
      </w:r>
      <w:r>
        <w:rPr>
          <w:sz w:val="24"/>
        </w:rPr>
        <w:t>Cannabidiol</w:t>
      </w:r>
      <w:r>
        <w:rPr>
          <w:spacing w:val="-4"/>
          <w:sz w:val="24"/>
        </w:rPr>
        <w:t> </w:t>
      </w:r>
      <w:r>
        <w:rPr>
          <w:sz w:val="24"/>
        </w:rPr>
        <w:t>+</w:t>
      </w:r>
      <w:r>
        <w:rPr>
          <w:spacing w:val="-16"/>
          <w:sz w:val="24"/>
        </w:rPr>
        <w:t> </w:t>
      </w:r>
      <w:r>
        <w:rPr>
          <w:spacing w:val="-2"/>
          <w:sz w:val="24"/>
        </w:rPr>
        <w:t>Antibióticos</w:t>
      </w:r>
      <w:r>
        <w:rPr>
          <w:sz w:val="24"/>
        </w:rPr>
        <w:tab/>
      </w:r>
      <w:r>
        <w:rPr>
          <w:spacing w:val="-5"/>
          <w:sz w:val="24"/>
        </w:rPr>
        <w:t>29</w:t>
      </w:r>
    </w:p>
    <w:p>
      <w:pPr>
        <w:pStyle w:val="ListParagraph"/>
        <w:numPr>
          <w:ilvl w:val="1"/>
          <w:numId w:val="3"/>
        </w:numPr>
        <w:tabs>
          <w:tab w:pos="1601" w:val="left" w:leader="none"/>
          <w:tab w:pos="8932" w:val="right" w:leader="none"/>
        </w:tabs>
        <w:spacing w:line="240" w:lineRule="auto" w:before="272" w:after="0"/>
        <w:ind w:left="1601" w:right="0" w:hanging="595"/>
        <w:jc w:val="left"/>
        <w:rPr>
          <w:sz w:val="24"/>
        </w:rPr>
      </w:pPr>
      <w:hyperlink w:history="true" w:anchor="_bookmark42">
        <w:r>
          <w:rPr>
            <w:sz w:val="24"/>
          </w:rPr>
          <w:t>Observación</w:t>
        </w:r>
        <w:r>
          <w:rPr>
            <w:spacing w:val="-9"/>
            <w:sz w:val="24"/>
          </w:rPr>
          <w:t> </w:t>
        </w:r>
        <w:r>
          <w:rPr>
            <w:sz w:val="24"/>
          </w:rPr>
          <w:t>Gráfica</w:t>
        </w:r>
        <w:r>
          <w:rPr>
            <w:spacing w:val="-4"/>
            <w:sz w:val="24"/>
          </w:rPr>
          <w:t> </w:t>
        </w:r>
        <w:r>
          <w:rPr>
            <w:sz w:val="24"/>
          </w:rPr>
          <w:t>De</w:t>
        </w:r>
        <w:r>
          <w:rPr>
            <w:spacing w:val="-5"/>
            <w:sz w:val="24"/>
          </w:rPr>
          <w:t> </w:t>
        </w:r>
        <w:r>
          <w:rPr>
            <w:sz w:val="24"/>
          </w:rPr>
          <w:t>Los</w:t>
        </w:r>
        <w:r>
          <w:rPr>
            <w:spacing w:val="-15"/>
            <w:sz w:val="24"/>
          </w:rPr>
          <w:t> </w:t>
        </w:r>
        <w:r>
          <w:rPr>
            <w:sz w:val="24"/>
          </w:rPr>
          <w:t>Tratamientos</w:t>
        </w:r>
        <w:r>
          <w:rPr>
            <w:spacing w:val="-9"/>
            <w:sz w:val="24"/>
          </w:rPr>
          <w:t> </w:t>
        </w:r>
        <w:r>
          <w:rPr>
            <w:spacing w:val="-2"/>
            <w:sz w:val="24"/>
          </w:rPr>
          <w:t>Individuales</w:t>
        </w:r>
      </w:hyperlink>
      <w:r>
        <w:rPr>
          <w:sz w:val="24"/>
        </w:rPr>
        <w:tab/>
      </w:r>
      <w:hyperlink w:history="true" w:anchor="_bookmark42">
        <w:r>
          <w:rPr>
            <w:spacing w:val="-5"/>
            <w:sz w:val="24"/>
          </w:rPr>
          <w:t>30</w:t>
        </w:r>
      </w:hyperlink>
    </w:p>
    <w:p>
      <w:pPr>
        <w:pStyle w:val="ListParagraph"/>
        <w:numPr>
          <w:ilvl w:val="2"/>
          <w:numId w:val="3"/>
        </w:numPr>
        <w:tabs>
          <w:tab w:pos="1722" w:val="left" w:leader="none"/>
          <w:tab w:pos="8932" w:val="right" w:leader="none"/>
        </w:tabs>
        <w:spacing w:line="240" w:lineRule="auto" w:before="276" w:after="0"/>
        <w:ind w:left="1722" w:right="0" w:hanging="716"/>
        <w:jc w:val="left"/>
        <w:rPr>
          <w:sz w:val="24"/>
        </w:rPr>
      </w:pPr>
      <w:hyperlink w:history="true" w:anchor="_bookmark44">
        <w:r>
          <w:rPr>
            <w:sz w:val="24"/>
          </w:rPr>
          <w:t>Comparación</w:t>
        </w:r>
        <w:r>
          <w:rPr>
            <w:spacing w:val="-4"/>
            <w:sz w:val="24"/>
          </w:rPr>
          <w:t> </w:t>
        </w:r>
        <w:r>
          <w:rPr>
            <w:sz w:val="24"/>
          </w:rPr>
          <w:t>de</w:t>
        </w:r>
        <w:r>
          <w:rPr>
            <w:spacing w:val="1"/>
            <w:sz w:val="24"/>
          </w:rPr>
          <w:t> </w:t>
        </w:r>
        <w:r>
          <w:rPr>
            <w:sz w:val="24"/>
          </w:rPr>
          <w:t>tratamientos</w:t>
        </w:r>
        <w:r>
          <w:rPr>
            <w:spacing w:val="-3"/>
            <w:sz w:val="24"/>
          </w:rPr>
          <w:t> </w:t>
        </w:r>
        <w:r>
          <w:rPr>
            <w:spacing w:val="-2"/>
            <w:sz w:val="24"/>
          </w:rPr>
          <w:t>antimicrobianos</w:t>
        </w:r>
      </w:hyperlink>
      <w:r>
        <w:rPr>
          <w:sz w:val="24"/>
        </w:rPr>
        <w:tab/>
      </w:r>
      <w:hyperlink w:history="true" w:anchor="_bookmark44">
        <w:r>
          <w:rPr>
            <w:spacing w:val="-5"/>
            <w:sz w:val="24"/>
          </w:rPr>
          <w:t>33</w:t>
        </w:r>
      </w:hyperlink>
    </w:p>
    <w:p>
      <w:pPr>
        <w:pStyle w:val="ListParagraph"/>
        <w:numPr>
          <w:ilvl w:val="1"/>
          <w:numId w:val="3"/>
        </w:numPr>
        <w:tabs>
          <w:tab w:pos="1601" w:val="left" w:leader="none"/>
          <w:tab w:pos="8932" w:val="right" w:leader="none"/>
        </w:tabs>
        <w:spacing w:line="240" w:lineRule="auto" w:before="277" w:after="0"/>
        <w:ind w:left="1601" w:right="0" w:hanging="595"/>
        <w:jc w:val="left"/>
        <w:rPr>
          <w:sz w:val="24"/>
        </w:rPr>
      </w:pPr>
      <w:hyperlink w:history="true" w:anchor="_bookmark46">
        <w:r>
          <w:rPr>
            <w:sz w:val="24"/>
          </w:rPr>
          <w:t>Observación</w:t>
        </w:r>
        <w:r>
          <w:rPr>
            <w:spacing w:val="-9"/>
            <w:sz w:val="24"/>
          </w:rPr>
          <w:t> </w:t>
        </w:r>
        <w:r>
          <w:rPr>
            <w:sz w:val="24"/>
          </w:rPr>
          <w:t>Gráfica</w:t>
        </w:r>
        <w:r>
          <w:rPr>
            <w:spacing w:val="-4"/>
            <w:sz w:val="24"/>
          </w:rPr>
          <w:t> </w:t>
        </w:r>
        <w:r>
          <w:rPr>
            <w:sz w:val="24"/>
          </w:rPr>
          <w:t>De</w:t>
        </w:r>
        <w:r>
          <w:rPr>
            <w:spacing w:val="-5"/>
            <w:sz w:val="24"/>
          </w:rPr>
          <w:t> </w:t>
        </w:r>
        <w:r>
          <w:rPr>
            <w:sz w:val="24"/>
          </w:rPr>
          <w:t>Los</w:t>
        </w:r>
        <w:r>
          <w:rPr>
            <w:spacing w:val="-15"/>
            <w:sz w:val="24"/>
          </w:rPr>
          <w:t> </w:t>
        </w:r>
        <w:r>
          <w:rPr>
            <w:sz w:val="24"/>
          </w:rPr>
          <w:t>Tratamientos</w:t>
        </w:r>
        <w:r>
          <w:rPr>
            <w:spacing w:val="-9"/>
            <w:sz w:val="24"/>
          </w:rPr>
          <w:t> </w:t>
        </w:r>
        <w:r>
          <w:rPr>
            <w:spacing w:val="-2"/>
            <w:sz w:val="24"/>
          </w:rPr>
          <w:t>Combinados</w:t>
        </w:r>
      </w:hyperlink>
      <w:r>
        <w:rPr>
          <w:sz w:val="24"/>
        </w:rPr>
        <w:tab/>
      </w:r>
      <w:hyperlink w:history="true" w:anchor="_bookmark46">
        <w:r>
          <w:rPr>
            <w:spacing w:val="-5"/>
            <w:sz w:val="24"/>
          </w:rPr>
          <w:t>35</w:t>
        </w:r>
      </w:hyperlink>
    </w:p>
    <w:p>
      <w:pPr>
        <w:pStyle w:val="ListParagraph"/>
        <w:numPr>
          <w:ilvl w:val="1"/>
          <w:numId w:val="3"/>
        </w:numPr>
        <w:tabs>
          <w:tab w:pos="1601" w:val="left" w:leader="none"/>
          <w:tab w:pos="8936" w:val="right" w:leader="none"/>
        </w:tabs>
        <w:spacing w:line="240" w:lineRule="auto" w:before="274" w:after="0"/>
        <w:ind w:left="1601" w:right="0" w:hanging="595"/>
        <w:jc w:val="left"/>
        <w:rPr>
          <w:position w:val="2"/>
          <w:sz w:val="22"/>
        </w:rPr>
      </w:pPr>
      <w:hyperlink w:history="true" w:anchor="_bookmark50">
        <w:r>
          <w:rPr>
            <w:sz w:val="24"/>
          </w:rPr>
          <w:t>Comprobación</w:t>
        </w:r>
        <w:r>
          <w:rPr>
            <w:spacing w:val="1"/>
            <w:sz w:val="24"/>
          </w:rPr>
          <w:t> </w:t>
        </w:r>
        <w:r>
          <w:rPr>
            <w:sz w:val="24"/>
          </w:rPr>
          <w:t>de</w:t>
        </w:r>
        <w:r>
          <w:rPr>
            <w:spacing w:val="1"/>
            <w:sz w:val="24"/>
          </w:rPr>
          <w:t> </w:t>
        </w:r>
        <w:r>
          <w:rPr>
            <w:sz w:val="24"/>
          </w:rPr>
          <w:t>la</w:t>
        </w:r>
        <w:r>
          <w:rPr>
            <w:spacing w:val="1"/>
            <w:sz w:val="24"/>
          </w:rPr>
          <w:t> </w:t>
        </w:r>
        <w:r>
          <w:rPr>
            <w:spacing w:val="-2"/>
            <w:sz w:val="24"/>
          </w:rPr>
          <w:t>hipótesis</w:t>
        </w:r>
      </w:hyperlink>
      <w:r>
        <w:rPr>
          <w:sz w:val="24"/>
        </w:rPr>
        <w:tab/>
      </w:r>
      <w:r>
        <w:rPr>
          <w:spacing w:val="-5"/>
          <w:position w:val="2"/>
          <w:sz w:val="22"/>
        </w:rPr>
        <w:t>39</w:t>
      </w:r>
    </w:p>
    <w:p>
      <w:pPr>
        <w:pStyle w:val="BodyText"/>
        <w:tabs>
          <w:tab w:pos="8936" w:val="right" w:leader="none"/>
        </w:tabs>
        <w:spacing w:before="275"/>
        <w:ind w:left="1006"/>
        <w:rPr>
          <w:position w:val="2"/>
          <w:sz w:val="22"/>
        </w:rPr>
      </w:pPr>
      <w:hyperlink w:history="true" w:anchor="_bookmark51">
        <w:r>
          <w:rPr/>
          <w:t>CAPITULO</w:t>
        </w:r>
        <w:r>
          <w:rPr>
            <w:spacing w:val="-16"/>
          </w:rPr>
          <w:t> </w:t>
        </w:r>
        <w:r>
          <w:rPr>
            <w:spacing w:val="-10"/>
          </w:rPr>
          <w:t>V</w:t>
        </w:r>
      </w:hyperlink>
      <w:r>
        <w:rPr/>
        <w:tab/>
      </w:r>
      <w:r>
        <w:rPr>
          <w:spacing w:val="-5"/>
          <w:position w:val="2"/>
          <w:sz w:val="22"/>
        </w:rPr>
        <w:t>40</w:t>
      </w:r>
    </w:p>
    <w:p>
      <w:pPr>
        <w:pStyle w:val="ListParagraph"/>
        <w:numPr>
          <w:ilvl w:val="0"/>
          <w:numId w:val="4"/>
        </w:numPr>
        <w:tabs>
          <w:tab w:pos="1661" w:val="left" w:leader="none"/>
          <w:tab w:pos="8932" w:val="right" w:leader="none"/>
        </w:tabs>
        <w:spacing w:line="240" w:lineRule="auto" w:before="276" w:after="0"/>
        <w:ind w:left="1661" w:right="0" w:hanging="655"/>
        <w:jc w:val="left"/>
        <w:rPr>
          <w:sz w:val="24"/>
        </w:rPr>
      </w:pPr>
      <w:hyperlink w:history="true" w:anchor="_bookmark52">
        <w:r>
          <w:rPr>
            <w:spacing w:val="-2"/>
            <w:sz w:val="24"/>
          </w:rPr>
          <w:t>CONCLUSIONES</w:t>
        </w:r>
        <w:r>
          <w:rPr>
            <w:spacing w:val="-4"/>
            <w:sz w:val="24"/>
          </w:rPr>
          <w:t> </w:t>
        </w:r>
        <w:r>
          <w:rPr>
            <w:spacing w:val="-2"/>
            <w:sz w:val="24"/>
          </w:rPr>
          <w:t>Y</w:t>
        </w:r>
        <w:r>
          <w:rPr>
            <w:spacing w:val="-4"/>
            <w:sz w:val="24"/>
          </w:rPr>
          <w:t> </w:t>
        </w:r>
        <w:r>
          <w:rPr>
            <w:spacing w:val="-2"/>
            <w:sz w:val="24"/>
          </w:rPr>
          <w:t>RECOMENDACIONES</w:t>
        </w:r>
      </w:hyperlink>
      <w:r>
        <w:rPr>
          <w:sz w:val="24"/>
        </w:rPr>
        <w:tab/>
      </w:r>
      <w:hyperlink w:history="true" w:anchor="_bookmark52">
        <w:r>
          <w:rPr>
            <w:spacing w:val="-5"/>
            <w:sz w:val="24"/>
          </w:rPr>
          <w:t>40</w:t>
        </w:r>
      </w:hyperlink>
    </w:p>
    <w:p>
      <w:pPr>
        <w:pStyle w:val="ListParagraph"/>
        <w:numPr>
          <w:ilvl w:val="1"/>
          <w:numId w:val="4"/>
        </w:numPr>
        <w:tabs>
          <w:tab w:pos="1601" w:val="left" w:leader="none"/>
          <w:tab w:pos="8932" w:val="right" w:leader="none"/>
        </w:tabs>
        <w:spacing w:line="240" w:lineRule="auto" w:before="277" w:after="0"/>
        <w:ind w:left="1601" w:right="0" w:hanging="595"/>
        <w:jc w:val="left"/>
        <w:rPr>
          <w:sz w:val="24"/>
        </w:rPr>
      </w:pPr>
      <w:hyperlink w:history="true" w:anchor="_bookmark53">
        <w:r>
          <w:rPr>
            <w:spacing w:val="-2"/>
            <w:sz w:val="24"/>
          </w:rPr>
          <w:t>Conclusiones</w:t>
        </w:r>
      </w:hyperlink>
      <w:r>
        <w:rPr>
          <w:sz w:val="24"/>
        </w:rPr>
        <w:tab/>
      </w:r>
      <w:hyperlink w:history="true" w:anchor="_bookmark53">
        <w:r>
          <w:rPr>
            <w:spacing w:val="-5"/>
            <w:sz w:val="24"/>
          </w:rPr>
          <w:t>40</w:t>
        </w:r>
      </w:hyperlink>
    </w:p>
    <w:p>
      <w:pPr>
        <w:pStyle w:val="ListParagraph"/>
        <w:numPr>
          <w:ilvl w:val="1"/>
          <w:numId w:val="4"/>
        </w:numPr>
        <w:tabs>
          <w:tab w:pos="1601" w:val="left" w:leader="none"/>
          <w:tab w:pos="8932" w:val="right" w:leader="none"/>
        </w:tabs>
        <w:spacing w:line="240" w:lineRule="auto" w:before="276" w:after="0"/>
        <w:ind w:left="1601" w:right="0" w:hanging="595"/>
        <w:jc w:val="left"/>
        <w:rPr>
          <w:sz w:val="24"/>
        </w:rPr>
      </w:pPr>
      <w:hyperlink w:history="true" w:anchor="_bookmark54">
        <w:r>
          <w:rPr>
            <w:spacing w:val="-2"/>
            <w:sz w:val="24"/>
          </w:rPr>
          <w:t>Recomendaciones</w:t>
        </w:r>
      </w:hyperlink>
      <w:r>
        <w:rPr>
          <w:sz w:val="24"/>
        </w:rPr>
        <w:tab/>
      </w:r>
      <w:hyperlink w:history="true" w:anchor="_bookmark54">
        <w:r>
          <w:rPr>
            <w:spacing w:val="-5"/>
            <w:sz w:val="24"/>
          </w:rPr>
          <w:t>41</w:t>
        </w:r>
      </w:hyperlink>
    </w:p>
    <w:p>
      <w:pPr>
        <w:pStyle w:val="BodyText"/>
        <w:tabs>
          <w:tab w:pos="8932" w:val="right" w:leader="none"/>
        </w:tabs>
        <w:spacing w:before="272"/>
        <w:ind w:left="1006"/>
      </w:pPr>
      <w:hyperlink w:history="true" w:anchor="_bookmark55">
        <w:r>
          <w:rPr>
            <w:spacing w:val="-2"/>
          </w:rPr>
          <w:t>BIBLIOGRAFIA</w:t>
        </w:r>
      </w:hyperlink>
      <w:r>
        <w:rPr/>
        <w:tab/>
      </w:r>
      <w:hyperlink w:history="true" w:anchor="_bookmark55">
        <w:r>
          <w:rPr>
            <w:spacing w:val="-5"/>
          </w:rPr>
          <w:t>42</w:t>
        </w:r>
      </w:hyperlink>
    </w:p>
    <w:p>
      <w:pPr>
        <w:pStyle w:val="BodyText"/>
        <w:spacing w:before="256"/>
        <w:ind w:left="1006"/>
      </w:pPr>
      <w:hyperlink w:history="true" w:anchor="_bookmark56">
        <w:r>
          <w:rPr>
            <w:spacing w:val="-2"/>
          </w:rPr>
          <w:t>ANEXOS</w:t>
        </w:r>
      </w:hyperlink>
    </w:p>
    <w:p>
      <w:pPr>
        <w:pStyle w:val="BodyText"/>
        <w:spacing w:after="0"/>
        <w:sectPr>
          <w:pgSz w:w="11900" w:h="16840"/>
          <w:pgMar w:top="1620" w:bottom="280" w:left="1275" w:right="992"/>
        </w:sectPr>
      </w:pPr>
    </w:p>
    <w:p>
      <w:pPr>
        <w:pStyle w:val="Heading1"/>
        <w:ind w:left="209"/>
      </w:pPr>
      <w:r>
        <w:rPr/>
        <w:t>ÍNDICE</w:t>
      </w:r>
      <w:r>
        <w:rPr>
          <w:spacing w:val="-2"/>
        </w:rPr>
        <w:t> </w:t>
      </w:r>
      <w:r>
        <w:rPr/>
        <w:t>DE</w:t>
      </w:r>
      <w:r>
        <w:rPr>
          <w:spacing w:val="2"/>
        </w:rPr>
        <w:t> </w:t>
      </w:r>
      <w:r>
        <w:rPr>
          <w:spacing w:val="-2"/>
        </w:rPr>
        <w:t>TABLAS</w:t>
      </w:r>
    </w:p>
    <w:p>
      <w:pPr>
        <w:pStyle w:val="Heading3"/>
        <w:tabs>
          <w:tab w:pos="3758" w:val="left" w:leader="none"/>
          <w:tab w:pos="7787" w:val="left" w:leader="none"/>
        </w:tabs>
        <w:spacing w:before="319"/>
        <w:ind w:left="297"/>
        <w:jc w:val="center"/>
      </w:pPr>
      <w:r>
        <w:rPr>
          <w:spacing w:val="-5"/>
        </w:rPr>
        <w:t>N°</w:t>
      </w:r>
      <w:r>
        <w:rPr/>
        <w:tab/>
      </w:r>
      <w:r>
        <w:rPr>
          <w:spacing w:val="-2"/>
        </w:rPr>
        <w:t>Detalle</w:t>
      </w:r>
      <w:r>
        <w:rPr/>
        <w:tab/>
      </w:r>
      <w:r>
        <w:rPr>
          <w:spacing w:val="-4"/>
        </w:rPr>
        <w:t>Pág.</w:t>
      </w:r>
    </w:p>
    <w:p>
      <w:pPr>
        <w:pStyle w:val="BodyText"/>
        <w:rPr>
          <w:b/>
        </w:rPr>
      </w:pPr>
    </w:p>
    <w:p>
      <w:pPr>
        <w:pStyle w:val="ListParagraph"/>
        <w:numPr>
          <w:ilvl w:val="0"/>
          <w:numId w:val="5"/>
        </w:numPr>
        <w:tabs>
          <w:tab w:pos="1234" w:val="left" w:leader="none"/>
          <w:tab w:pos="8808" w:val="left" w:leader="none"/>
        </w:tabs>
        <w:spacing w:line="240" w:lineRule="auto" w:before="0" w:after="0"/>
        <w:ind w:left="1234" w:right="0" w:hanging="240"/>
        <w:jc w:val="left"/>
        <w:rPr>
          <w:sz w:val="24"/>
        </w:rPr>
      </w:pPr>
      <w:hyperlink w:history="true" w:anchor="_bookmark11">
        <w:r>
          <w:rPr>
            <w:sz w:val="24"/>
          </w:rPr>
          <w:t>Propiedades</w:t>
        </w:r>
        <w:r>
          <w:rPr>
            <w:spacing w:val="-5"/>
            <w:sz w:val="24"/>
          </w:rPr>
          <w:t> </w:t>
        </w:r>
        <w:r>
          <w:rPr>
            <w:sz w:val="24"/>
          </w:rPr>
          <w:t>Terapéuticas</w:t>
        </w:r>
        <w:r>
          <w:rPr>
            <w:spacing w:val="-3"/>
            <w:sz w:val="24"/>
          </w:rPr>
          <w:t> </w:t>
        </w:r>
        <w:r>
          <w:rPr>
            <w:sz w:val="24"/>
          </w:rPr>
          <w:t>del</w:t>
        </w:r>
        <w:r>
          <w:rPr>
            <w:spacing w:val="2"/>
            <w:sz w:val="24"/>
          </w:rPr>
          <w:t> </w:t>
        </w:r>
        <w:r>
          <w:rPr>
            <w:sz w:val="24"/>
          </w:rPr>
          <w:t>CBD</w:t>
        </w:r>
        <w:r>
          <w:rPr>
            <w:spacing w:val="-6"/>
            <w:sz w:val="24"/>
          </w:rPr>
          <w:t> </w:t>
        </w:r>
        <w:r>
          <w:rPr>
            <w:sz w:val="24"/>
          </w:rPr>
          <w:t>en</w:t>
        </w:r>
        <w:r>
          <w:rPr>
            <w:spacing w:val="-3"/>
            <w:sz w:val="24"/>
          </w:rPr>
          <w:t> </w:t>
        </w:r>
        <w:r>
          <w:rPr>
            <w:sz w:val="24"/>
          </w:rPr>
          <w:t>Contexto</w:t>
        </w:r>
        <w:r>
          <w:rPr>
            <w:spacing w:val="2"/>
            <w:sz w:val="24"/>
          </w:rPr>
          <w:t> </w:t>
        </w:r>
        <w:r>
          <w:rPr>
            <w:spacing w:val="-2"/>
            <w:sz w:val="24"/>
          </w:rPr>
          <w:t>Antimicrobiano</w:t>
        </w:r>
        <w:r>
          <w:rPr>
            <w:sz w:val="24"/>
          </w:rPr>
          <w:tab/>
        </w:r>
        <w:r>
          <w:rPr>
            <w:spacing w:val="-10"/>
            <w:sz w:val="24"/>
          </w:rPr>
          <w:t>7</w:t>
        </w:r>
      </w:hyperlink>
    </w:p>
    <w:p>
      <w:pPr>
        <w:pStyle w:val="BodyText"/>
        <w:spacing w:before="1"/>
      </w:pPr>
    </w:p>
    <w:p>
      <w:pPr>
        <w:pStyle w:val="ListParagraph"/>
        <w:numPr>
          <w:ilvl w:val="0"/>
          <w:numId w:val="5"/>
        </w:numPr>
        <w:tabs>
          <w:tab w:pos="1234" w:val="left" w:leader="none"/>
          <w:tab w:pos="8688" w:val="left" w:leader="none"/>
        </w:tabs>
        <w:spacing w:line="240" w:lineRule="auto" w:before="0" w:after="0"/>
        <w:ind w:left="1234" w:right="0" w:hanging="240"/>
        <w:jc w:val="left"/>
        <w:rPr>
          <w:sz w:val="24"/>
        </w:rPr>
      </w:pPr>
      <w:hyperlink w:history="true" w:anchor="_bookmark19">
        <w:r>
          <w:rPr>
            <w:sz w:val="24"/>
          </w:rPr>
          <w:t>Mecanismos</w:t>
        </w:r>
        <w:r>
          <w:rPr>
            <w:spacing w:val="-5"/>
            <w:sz w:val="24"/>
          </w:rPr>
          <w:t> </w:t>
        </w:r>
        <w:r>
          <w:rPr>
            <w:sz w:val="24"/>
          </w:rPr>
          <w:t>de</w:t>
        </w:r>
        <w:r>
          <w:rPr>
            <w:spacing w:val="-3"/>
            <w:sz w:val="24"/>
          </w:rPr>
          <w:t> </w:t>
        </w:r>
        <w:r>
          <w:rPr>
            <w:sz w:val="24"/>
          </w:rPr>
          <w:t>Resistencia</w:t>
        </w:r>
        <w:r>
          <w:rPr>
            <w:spacing w:val="-2"/>
            <w:sz w:val="24"/>
          </w:rPr>
          <w:t> </w:t>
        </w:r>
        <w:r>
          <w:rPr>
            <w:sz w:val="24"/>
          </w:rPr>
          <w:t>del</w:t>
        </w:r>
        <w:r>
          <w:rPr>
            <w:spacing w:val="-3"/>
            <w:sz w:val="24"/>
          </w:rPr>
          <w:t> </w:t>
        </w:r>
        <w:r>
          <w:rPr>
            <w:spacing w:val="-4"/>
            <w:sz w:val="24"/>
          </w:rPr>
          <w:t>MRSA</w:t>
        </w:r>
        <w:r>
          <w:rPr>
            <w:sz w:val="24"/>
          </w:rPr>
          <w:tab/>
        </w:r>
        <w:r>
          <w:rPr>
            <w:spacing w:val="-5"/>
            <w:sz w:val="24"/>
          </w:rPr>
          <w:t>15</w:t>
        </w:r>
      </w:hyperlink>
    </w:p>
    <w:p>
      <w:pPr>
        <w:pStyle w:val="BodyText"/>
      </w:pPr>
    </w:p>
    <w:p>
      <w:pPr>
        <w:pStyle w:val="ListParagraph"/>
        <w:numPr>
          <w:ilvl w:val="0"/>
          <w:numId w:val="5"/>
        </w:numPr>
        <w:tabs>
          <w:tab w:pos="1234" w:val="left" w:leader="none"/>
          <w:tab w:pos="8688" w:val="left" w:leader="none"/>
        </w:tabs>
        <w:spacing w:line="240" w:lineRule="auto" w:before="0" w:after="0"/>
        <w:ind w:left="1234" w:right="0" w:hanging="240"/>
        <w:jc w:val="left"/>
        <w:rPr>
          <w:sz w:val="24"/>
        </w:rPr>
      </w:pPr>
      <w:hyperlink w:history="true" w:anchor="_bookmark29">
        <w:r>
          <w:rPr>
            <w:sz w:val="24"/>
          </w:rPr>
          <w:t>Situación</w:t>
        </w:r>
        <w:r>
          <w:rPr>
            <w:spacing w:val="5"/>
            <w:sz w:val="24"/>
          </w:rPr>
          <w:t> </w:t>
        </w:r>
        <w:r>
          <w:rPr>
            <w:spacing w:val="-2"/>
            <w:sz w:val="24"/>
          </w:rPr>
          <w:t>geográfica</w:t>
        </w:r>
        <w:r>
          <w:rPr>
            <w:sz w:val="24"/>
          </w:rPr>
          <w:tab/>
        </w:r>
        <w:r>
          <w:rPr>
            <w:spacing w:val="-5"/>
            <w:sz w:val="24"/>
          </w:rPr>
          <w:t>20</w:t>
        </w:r>
      </w:hyperlink>
    </w:p>
    <w:p>
      <w:pPr>
        <w:pStyle w:val="BodyText"/>
      </w:pPr>
    </w:p>
    <w:p>
      <w:pPr>
        <w:pStyle w:val="ListParagraph"/>
        <w:numPr>
          <w:ilvl w:val="0"/>
          <w:numId w:val="5"/>
        </w:numPr>
        <w:tabs>
          <w:tab w:pos="1234" w:val="left" w:leader="none"/>
          <w:tab w:pos="8688" w:val="left" w:leader="none"/>
        </w:tabs>
        <w:spacing w:line="240" w:lineRule="auto" w:before="0" w:after="0"/>
        <w:ind w:left="1234" w:right="0" w:hanging="240"/>
        <w:jc w:val="left"/>
        <w:rPr>
          <w:sz w:val="24"/>
        </w:rPr>
      </w:pPr>
      <w:hyperlink w:history="true" w:anchor="_bookmark40">
        <w:r>
          <w:rPr>
            <w:sz w:val="24"/>
          </w:rPr>
          <w:t>Pruebas</w:t>
        </w:r>
        <w:r>
          <w:rPr>
            <w:spacing w:val="-6"/>
            <w:sz w:val="24"/>
          </w:rPr>
          <w:t> </w:t>
        </w:r>
        <w:r>
          <w:rPr>
            <w:sz w:val="24"/>
          </w:rPr>
          <w:t>de</w:t>
        </w:r>
        <w:r>
          <w:rPr>
            <w:spacing w:val="-3"/>
            <w:sz w:val="24"/>
          </w:rPr>
          <w:t> </w:t>
        </w:r>
        <w:r>
          <w:rPr>
            <w:sz w:val="24"/>
          </w:rPr>
          <w:t>sensibilidad</w:t>
        </w:r>
        <w:r>
          <w:rPr>
            <w:spacing w:val="-4"/>
            <w:sz w:val="24"/>
          </w:rPr>
          <w:t> </w:t>
        </w:r>
        <w:r>
          <w:rPr>
            <w:sz w:val="24"/>
          </w:rPr>
          <w:t>antimicrobiana</w:t>
        </w:r>
        <w:r>
          <w:rPr>
            <w:spacing w:val="-1"/>
            <w:sz w:val="24"/>
          </w:rPr>
          <w:t> </w:t>
        </w:r>
        <w:r>
          <w:rPr>
            <w:spacing w:val="-2"/>
            <w:sz w:val="24"/>
          </w:rPr>
          <w:t>individuales</w:t>
        </w:r>
        <w:r>
          <w:rPr>
            <w:sz w:val="24"/>
          </w:rPr>
          <w:tab/>
        </w:r>
        <w:r>
          <w:rPr>
            <w:spacing w:val="-5"/>
            <w:sz w:val="24"/>
          </w:rPr>
          <w:t>27</w:t>
        </w:r>
      </w:hyperlink>
    </w:p>
    <w:p>
      <w:pPr>
        <w:pStyle w:val="BodyText"/>
      </w:pPr>
    </w:p>
    <w:p>
      <w:pPr>
        <w:pStyle w:val="ListParagraph"/>
        <w:numPr>
          <w:ilvl w:val="0"/>
          <w:numId w:val="5"/>
        </w:numPr>
        <w:tabs>
          <w:tab w:pos="1230" w:val="left" w:leader="none"/>
          <w:tab w:pos="8688" w:val="left" w:leader="none"/>
        </w:tabs>
        <w:spacing w:line="240" w:lineRule="auto" w:before="0" w:after="0"/>
        <w:ind w:left="1230" w:right="0" w:hanging="236"/>
        <w:jc w:val="left"/>
        <w:rPr>
          <w:sz w:val="24"/>
        </w:rPr>
      </w:pPr>
      <w:hyperlink w:history="true" w:anchor="_bookmark41">
        <w:r>
          <w:rPr>
            <w:sz w:val="24"/>
          </w:rPr>
          <w:t>Tratamiento</w:t>
        </w:r>
        <w:r>
          <w:rPr>
            <w:spacing w:val="-4"/>
            <w:sz w:val="24"/>
          </w:rPr>
          <w:t> </w:t>
        </w:r>
        <w:r>
          <w:rPr>
            <w:sz w:val="24"/>
          </w:rPr>
          <w:t>combinado</w:t>
        </w:r>
        <w:r>
          <w:rPr>
            <w:spacing w:val="-9"/>
            <w:sz w:val="24"/>
          </w:rPr>
          <w:t> </w:t>
        </w:r>
        <w:r>
          <w:rPr>
            <w:sz w:val="24"/>
          </w:rPr>
          <w:t>cannabidiol</w:t>
        </w:r>
        <w:r>
          <w:rPr>
            <w:spacing w:val="-7"/>
            <w:sz w:val="24"/>
          </w:rPr>
          <w:t> </w:t>
        </w:r>
        <w:r>
          <w:rPr>
            <w:sz w:val="24"/>
          </w:rPr>
          <w:t>+</w:t>
        </w:r>
        <w:r>
          <w:rPr>
            <w:spacing w:val="-5"/>
            <w:sz w:val="24"/>
          </w:rPr>
          <w:t> </w:t>
        </w:r>
        <w:r>
          <w:rPr>
            <w:spacing w:val="-2"/>
            <w:sz w:val="24"/>
          </w:rPr>
          <w:t>antibióticos</w:t>
        </w:r>
        <w:r>
          <w:rPr>
            <w:sz w:val="24"/>
          </w:rPr>
          <w:tab/>
        </w:r>
        <w:r>
          <w:rPr>
            <w:spacing w:val="-5"/>
            <w:sz w:val="24"/>
          </w:rPr>
          <w:t>29</w:t>
        </w:r>
      </w:hyperlink>
    </w:p>
    <w:p>
      <w:pPr>
        <w:pStyle w:val="BodyText"/>
      </w:pPr>
    </w:p>
    <w:p>
      <w:pPr>
        <w:pStyle w:val="ListParagraph"/>
        <w:numPr>
          <w:ilvl w:val="0"/>
          <w:numId w:val="5"/>
        </w:numPr>
        <w:tabs>
          <w:tab w:pos="1222" w:val="left" w:leader="none"/>
          <w:tab w:pos="8688" w:val="left" w:leader="none"/>
        </w:tabs>
        <w:spacing w:line="240" w:lineRule="auto" w:before="0" w:after="0"/>
        <w:ind w:left="1222" w:right="0" w:hanging="228"/>
        <w:jc w:val="left"/>
        <w:rPr>
          <w:sz w:val="24"/>
        </w:rPr>
      </w:pPr>
      <w:r>
        <w:rPr>
          <w:sz w:val="24"/>
        </w:rPr>
        <w:t>Análisis</w:t>
      </w:r>
      <w:r>
        <w:rPr>
          <w:spacing w:val="-12"/>
          <w:sz w:val="24"/>
        </w:rPr>
        <w:t> </w:t>
      </w:r>
      <w:r>
        <w:rPr>
          <w:sz w:val="24"/>
        </w:rPr>
        <w:t>de varianza</w:t>
      </w:r>
      <w:r>
        <w:rPr>
          <w:spacing w:val="-3"/>
          <w:sz w:val="24"/>
        </w:rPr>
        <w:t> </w:t>
      </w:r>
      <w:r>
        <w:rPr>
          <w:sz w:val="24"/>
        </w:rPr>
        <w:t>de una</w:t>
      </w:r>
      <w:r>
        <w:rPr>
          <w:spacing w:val="1"/>
          <w:sz w:val="24"/>
        </w:rPr>
        <w:t> </w:t>
      </w:r>
      <w:r>
        <w:rPr>
          <w:spacing w:val="-5"/>
          <w:sz w:val="24"/>
        </w:rPr>
        <w:t>vía</w:t>
      </w:r>
      <w:r>
        <w:rPr>
          <w:sz w:val="24"/>
        </w:rPr>
        <w:tab/>
      </w:r>
      <w:r>
        <w:rPr>
          <w:spacing w:val="-5"/>
          <w:sz w:val="24"/>
        </w:rPr>
        <w:t>32</w:t>
      </w:r>
    </w:p>
    <w:p>
      <w:pPr>
        <w:pStyle w:val="BodyText"/>
      </w:pPr>
    </w:p>
    <w:p>
      <w:pPr>
        <w:pStyle w:val="ListParagraph"/>
        <w:numPr>
          <w:ilvl w:val="0"/>
          <w:numId w:val="5"/>
        </w:numPr>
        <w:tabs>
          <w:tab w:pos="1234" w:val="left" w:leader="none"/>
          <w:tab w:pos="8688" w:val="left" w:leader="none"/>
        </w:tabs>
        <w:spacing w:line="240" w:lineRule="auto" w:before="0" w:after="0"/>
        <w:ind w:left="1234" w:right="0" w:hanging="240"/>
        <w:jc w:val="left"/>
        <w:rPr>
          <w:sz w:val="24"/>
        </w:rPr>
      </w:pPr>
      <w:hyperlink w:history="true" w:anchor="_bookmark48">
        <w:r>
          <w:rPr>
            <w:i/>
            <w:sz w:val="24"/>
          </w:rPr>
          <w:t>Análisis</w:t>
        </w:r>
        <w:r>
          <w:rPr>
            <w:i/>
            <w:spacing w:val="-6"/>
            <w:sz w:val="24"/>
          </w:rPr>
          <w:t> </w:t>
        </w:r>
        <w:r>
          <w:rPr>
            <w:i/>
            <w:sz w:val="24"/>
          </w:rPr>
          <w:t>de varianza</w:t>
        </w:r>
        <w:r>
          <w:rPr>
            <w:i/>
            <w:spacing w:val="-4"/>
            <w:sz w:val="24"/>
          </w:rPr>
          <w:t> </w:t>
        </w:r>
        <w:r>
          <w:rPr>
            <w:i/>
            <w:sz w:val="24"/>
          </w:rPr>
          <w:t>de</w:t>
        </w:r>
        <w:r>
          <w:rPr>
            <w:i/>
            <w:spacing w:val="-3"/>
            <w:sz w:val="24"/>
          </w:rPr>
          <w:t> </w:t>
        </w:r>
        <w:r>
          <w:rPr>
            <w:i/>
            <w:sz w:val="24"/>
          </w:rPr>
          <w:t>los</w:t>
        </w:r>
        <w:r>
          <w:rPr>
            <w:i/>
            <w:spacing w:val="-6"/>
            <w:sz w:val="24"/>
          </w:rPr>
          <w:t> </w:t>
        </w:r>
        <w:r>
          <w:rPr>
            <w:i/>
            <w:sz w:val="24"/>
          </w:rPr>
          <w:t>tratamientos</w:t>
        </w:r>
        <w:r>
          <w:rPr>
            <w:i/>
            <w:spacing w:val="-4"/>
            <w:sz w:val="24"/>
          </w:rPr>
          <w:t> </w:t>
        </w:r>
        <w:r>
          <w:rPr>
            <w:i/>
            <w:spacing w:val="-2"/>
            <w:sz w:val="24"/>
          </w:rPr>
          <w:t>combinados</w:t>
        </w:r>
        <w:r>
          <w:rPr>
            <w:i/>
            <w:sz w:val="24"/>
          </w:rPr>
          <w:tab/>
        </w:r>
        <w:r>
          <w:rPr>
            <w:spacing w:val="-7"/>
            <w:sz w:val="24"/>
          </w:rPr>
          <w:t>37</w:t>
        </w:r>
      </w:hyperlink>
    </w:p>
    <w:p>
      <w:pPr>
        <w:pStyle w:val="ListParagraph"/>
        <w:spacing w:after="0" w:line="240" w:lineRule="auto"/>
        <w:jc w:val="left"/>
        <w:rPr>
          <w:sz w:val="24"/>
        </w:rPr>
        <w:sectPr>
          <w:pgSz w:w="11900" w:h="16840"/>
          <w:pgMar w:top="1640" w:bottom="280" w:left="1275" w:right="992"/>
        </w:sectPr>
      </w:pPr>
    </w:p>
    <w:p>
      <w:pPr>
        <w:pStyle w:val="Heading1"/>
        <w:ind w:left="208"/>
      </w:pPr>
      <w:r>
        <w:rPr/>
        <w:t>ÍNDICE</w:t>
      </w:r>
      <w:r>
        <w:rPr>
          <w:spacing w:val="-5"/>
        </w:rPr>
        <w:t> </w:t>
      </w:r>
      <w:r>
        <w:rPr/>
        <w:t>DE</w:t>
      </w:r>
      <w:r>
        <w:rPr>
          <w:spacing w:val="5"/>
        </w:rPr>
        <w:t> </w:t>
      </w:r>
      <w:r>
        <w:rPr>
          <w:spacing w:val="-2"/>
        </w:rPr>
        <w:t>FIGURAS</w:t>
      </w:r>
    </w:p>
    <w:p>
      <w:pPr>
        <w:tabs>
          <w:tab w:pos="3758" w:val="left" w:leader="none"/>
          <w:tab w:pos="7787" w:val="left" w:leader="none"/>
        </w:tabs>
        <w:spacing w:before="319"/>
        <w:ind w:left="297" w:right="0" w:firstLine="0"/>
        <w:jc w:val="center"/>
        <w:rPr>
          <w:b/>
          <w:sz w:val="24"/>
        </w:rPr>
      </w:pPr>
      <w:r>
        <w:rPr>
          <w:b/>
          <w:spacing w:val="-5"/>
          <w:sz w:val="24"/>
        </w:rPr>
        <w:t>N°</w:t>
      </w:r>
      <w:r>
        <w:rPr>
          <w:b/>
          <w:sz w:val="24"/>
        </w:rPr>
        <w:tab/>
      </w:r>
      <w:r>
        <w:rPr>
          <w:b/>
          <w:spacing w:val="-2"/>
          <w:sz w:val="24"/>
        </w:rPr>
        <w:t>Detalle</w:t>
      </w:r>
      <w:r>
        <w:rPr>
          <w:b/>
          <w:sz w:val="24"/>
        </w:rPr>
        <w:tab/>
      </w:r>
      <w:r>
        <w:rPr>
          <w:b/>
          <w:spacing w:val="-4"/>
          <w:sz w:val="24"/>
        </w:rPr>
        <w:t>Pág.</w:t>
      </w:r>
    </w:p>
    <w:p>
      <w:pPr>
        <w:pStyle w:val="ListParagraph"/>
        <w:numPr>
          <w:ilvl w:val="0"/>
          <w:numId w:val="6"/>
        </w:numPr>
        <w:tabs>
          <w:tab w:pos="1234" w:val="left" w:leader="none"/>
          <w:tab w:pos="8912" w:val="right" w:leader="none"/>
        </w:tabs>
        <w:spacing w:line="240" w:lineRule="auto" w:before="276" w:after="0"/>
        <w:ind w:left="1234" w:right="0" w:hanging="240"/>
        <w:jc w:val="left"/>
        <w:rPr>
          <w:sz w:val="24"/>
        </w:rPr>
      </w:pPr>
      <w:hyperlink w:history="true" w:anchor="_bookmark43">
        <w:r>
          <w:rPr>
            <w:sz w:val="24"/>
          </w:rPr>
          <w:t>Promedio</w:t>
        </w:r>
        <w:r>
          <w:rPr>
            <w:spacing w:val="-6"/>
            <w:sz w:val="24"/>
          </w:rPr>
          <w:t> </w:t>
        </w:r>
        <w:r>
          <w:rPr>
            <w:sz w:val="24"/>
          </w:rPr>
          <w:t>de</w:t>
        </w:r>
        <w:r>
          <w:rPr>
            <w:spacing w:val="-1"/>
            <w:sz w:val="24"/>
          </w:rPr>
          <w:t> </w:t>
        </w:r>
        <w:r>
          <w:rPr>
            <w:sz w:val="24"/>
          </w:rPr>
          <w:t>halos</w:t>
        </w:r>
        <w:r>
          <w:rPr>
            <w:spacing w:val="-5"/>
            <w:sz w:val="24"/>
          </w:rPr>
          <w:t> </w:t>
        </w:r>
        <w:r>
          <w:rPr>
            <w:sz w:val="24"/>
          </w:rPr>
          <w:t>de</w:t>
        </w:r>
        <w:r>
          <w:rPr>
            <w:spacing w:val="-1"/>
            <w:sz w:val="24"/>
          </w:rPr>
          <w:t> </w:t>
        </w:r>
        <w:r>
          <w:rPr>
            <w:sz w:val="24"/>
          </w:rPr>
          <w:t>inhibición</w:t>
        </w:r>
        <w:r>
          <w:rPr>
            <w:spacing w:val="1"/>
            <w:sz w:val="24"/>
          </w:rPr>
          <w:t> </w:t>
        </w:r>
        <w:r>
          <w:rPr>
            <w:sz w:val="24"/>
          </w:rPr>
          <w:t>de los</w:t>
        </w:r>
        <w:r>
          <w:rPr>
            <w:spacing w:val="-10"/>
            <w:sz w:val="24"/>
          </w:rPr>
          <w:t> </w:t>
        </w:r>
        <w:r>
          <w:rPr>
            <w:sz w:val="24"/>
          </w:rPr>
          <w:t>tratamientos</w:t>
        </w:r>
        <w:r>
          <w:rPr>
            <w:spacing w:val="-4"/>
            <w:sz w:val="24"/>
          </w:rPr>
          <w:t> </w:t>
        </w:r>
        <w:r>
          <w:rPr>
            <w:spacing w:val="-2"/>
            <w:sz w:val="24"/>
          </w:rPr>
          <w:t>individuales</w:t>
        </w:r>
        <w:r>
          <w:rPr>
            <w:sz w:val="24"/>
          </w:rPr>
          <w:tab/>
        </w:r>
        <w:r>
          <w:rPr>
            <w:spacing w:val="-5"/>
            <w:sz w:val="24"/>
          </w:rPr>
          <w:t>30</w:t>
        </w:r>
      </w:hyperlink>
    </w:p>
    <w:p>
      <w:pPr>
        <w:pStyle w:val="ListParagraph"/>
        <w:numPr>
          <w:ilvl w:val="0"/>
          <w:numId w:val="6"/>
        </w:numPr>
        <w:tabs>
          <w:tab w:pos="1234" w:val="left" w:leader="none"/>
          <w:tab w:pos="8912" w:val="right" w:leader="none"/>
        </w:tabs>
        <w:spacing w:line="240" w:lineRule="auto" w:before="277" w:after="0"/>
        <w:ind w:left="1234" w:right="0" w:hanging="240"/>
        <w:jc w:val="left"/>
        <w:rPr>
          <w:sz w:val="24"/>
        </w:rPr>
      </w:pPr>
      <w:hyperlink w:history="true" w:anchor="_bookmark45">
        <w:r>
          <w:rPr>
            <w:sz w:val="24"/>
          </w:rPr>
          <w:t>Comparación</w:t>
        </w:r>
        <w:r>
          <w:rPr>
            <w:spacing w:val="-6"/>
            <w:sz w:val="24"/>
          </w:rPr>
          <w:t> </w:t>
        </w:r>
        <w:r>
          <w:rPr>
            <w:sz w:val="24"/>
          </w:rPr>
          <w:t>de</w:t>
        </w:r>
        <w:r>
          <w:rPr>
            <w:spacing w:val="-6"/>
            <w:sz w:val="24"/>
          </w:rPr>
          <w:t> </w:t>
        </w:r>
        <w:r>
          <w:rPr>
            <w:sz w:val="24"/>
          </w:rPr>
          <w:t>tratamientos</w:t>
        </w:r>
        <w:r>
          <w:rPr>
            <w:spacing w:val="-6"/>
            <w:sz w:val="24"/>
          </w:rPr>
          <w:t> </w:t>
        </w:r>
        <w:r>
          <w:rPr>
            <w:sz w:val="24"/>
          </w:rPr>
          <w:t>antimicrobianos</w:t>
        </w:r>
        <w:r>
          <w:rPr>
            <w:spacing w:val="-6"/>
            <w:sz w:val="24"/>
          </w:rPr>
          <w:t> </w:t>
        </w:r>
        <w:r>
          <w:rPr>
            <w:spacing w:val="-2"/>
            <w:sz w:val="24"/>
          </w:rPr>
          <w:t>(Boxplot)</w:t>
        </w:r>
        <w:r>
          <w:rPr>
            <w:sz w:val="24"/>
          </w:rPr>
          <w:tab/>
        </w:r>
        <w:r>
          <w:rPr>
            <w:spacing w:val="-5"/>
            <w:sz w:val="24"/>
          </w:rPr>
          <w:t>33</w:t>
        </w:r>
      </w:hyperlink>
    </w:p>
    <w:p>
      <w:pPr>
        <w:pStyle w:val="ListParagraph"/>
        <w:numPr>
          <w:ilvl w:val="0"/>
          <w:numId w:val="6"/>
        </w:numPr>
        <w:tabs>
          <w:tab w:pos="1234" w:val="left" w:leader="none"/>
          <w:tab w:pos="8912" w:val="right" w:leader="none"/>
        </w:tabs>
        <w:spacing w:line="240" w:lineRule="auto" w:before="276" w:after="0"/>
        <w:ind w:left="1234" w:right="0" w:hanging="240"/>
        <w:jc w:val="left"/>
        <w:rPr>
          <w:sz w:val="24"/>
        </w:rPr>
      </w:pPr>
      <w:hyperlink w:history="true" w:anchor="_bookmark47">
        <w:r>
          <w:rPr>
            <w:sz w:val="24"/>
          </w:rPr>
          <w:t>Promedio</w:t>
        </w:r>
        <w:r>
          <w:rPr>
            <w:spacing w:val="-4"/>
            <w:sz w:val="24"/>
          </w:rPr>
          <w:t> </w:t>
        </w:r>
        <w:r>
          <w:rPr>
            <w:sz w:val="24"/>
          </w:rPr>
          <w:t>de</w:t>
        </w:r>
        <w:r>
          <w:rPr>
            <w:spacing w:val="1"/>
            <w:sz w:val="24"/>
          </w:rPr>
          <w:t> </w:t>
        </w:r>
        <w:r>
          <w:rPr>
            <w:sz w:val="24"/>
          </w:rPr>
          <w:t>halos</w:t>
        </w:r>
        <w:r>
          <w:rPr>
            <w:spacing w:val="-5"/>
            <w:sz w:val="24"/>
          </w:rPr>
          <w:t> </w:t>
        </w:r>
        <w:r>
          <w:rPr>
            <w:sz w:val="24"/>
          </w:rPr>
          <w:t>de inhibición</w:t>
        </w:r>
        <w:r>
          <w:rPr>
            <w:spacing w:val="2"/>
            <w:sz w:val="24"/>
          </w:rPr>
          <w:t> </w:t>
        </w:r>
        <w:r>
          <w:rPr>
            <w:sz w:val="24"/>
          </w:rPr>
          <w:t>de</w:t>
        </w:r>
        <w:r>
          <w:rPr>
            <w:spacing w:val="-3"/>
            <w:sz w:val="24"/>
          </w:rPr>
          <w:t> </w:t>
        </w:r>
        <w:r>
          <w:rPr>
            <w:sz w:val="24"/>
          </w:rPr>
          <w:t>los</w:t>
        </w:r>
        <w:r>
          <w:rPr>
            <w:spacing w:val="-9"/>
            <w:sz w:val="24"/>
          </w:rPr>
          <w:t> </w:t>
        </w:r>
        <w:r>
          <w:rPr>
            <w:spacing w:val="-2"/>
            <w:sz w:val="24"/>
          </w:rPr>
          <w:t>tratamientos</w:t>
        </w:r>
        <w:r>
          <w:rPr>
            <w:sz w:val="24"/>
          </w:rPr>
          <w:tab/>
        </w:r>
        <w:r>
          <w:rPr>
            <w:spacing w:val="-5"/>
            <w:sz w:val="24"/>
          </w:rPr>
          <w:t>35</w:t>
        </w:r>
      </w:hyperlink>
    </w:p>
    <w:p>
      <w:pPr>
        <w:pStyle w:val="ListParagraph"/>
        <w:numPr>
          <w:ilvl w:val="0"/>
          <w:numId w:val="6"/>
        </w:numPr>
        <w:tabs>
          <w:tab w:pos="1234" w:val="left" w:leader="none"/>
          <w:tab w:pos="8912" w:val="right" w:leader="none"/>
        </w:tabs>
        <w:spacing w:line="240" w:lineRule="auto" w:before="276" w:after="0"/>
        <w:ind w:left="1234" w:right="0" w:hanging="240"/>
        <w:jc w:val="left"/>
        <w:rPr>
          <w:sz w:val="24"/>
        </w:rPr>
      </w:pPr>
      <w:hyperlink w:history="true" w:anchor="_bookmark49">
        <w:r>
          <w:rPr>
            <w:sz w:val="24"/>
          </w:rPr>
          <w:t>Distribución</w:t>
        </w:r>
        <w:r>
          <w:rPr>
            <w:spacing w:val="-2"/>
            <w:sz w:val="24"/>
          </w:rPr>
          <w:t> </w:t>
        </w:r>
        <w:r>
          <w:rPr>
            <w:sz w:val="24"/>
          </w:rPr>
          <w:t>del</w:t>
        </w:r>
        <w:r>
          <w:rPr>
            <w:spacing w:val="-1"/>
            <w:sz w:val="24"/>
          </w:rPr>
          <w:t> </w:t>
        </w:r>
        <w:r>
          <w:rPr>
            <w:sz w:val="24"/>
          </w:rPr>
          <w:t>diámetro del</w:t>
        </w:r>
        <w:r>
          <w:rPr>
            <w:spacing w:val="-1"/>
            <w:sz w:val="24"/>
          </w:rPr>
          <w:t> </w:t>
        </w:r>
        <w:r>
          <w:rPr>
            <w:spacing w:val="-4"/>
            <w:sz w:val="24"/>
          </w:rPr>
          <w:t>halo</w:t>
        </w:r>
        <w:r>
          <w:rPr>
            <w:sz w:val="24"/>
          </w:rPr>
          <w:tab/>
        </w:r>
        <w:r>
          <w:rPr>
            <w:spacing w:val="-5"/>
            <w:sz w:val="24"/>
          </w:rPr>
          <w:t>38</w:t>
        </w:r>
      </w:hyperlink>
    </w:p>
    <w:p>
      <w:pPr>
        <w:pStyle w:val="ListParagraph"/>
        <w:spacing w:after="0" w:line="240" w:lineRule="auto"/>
        <w:jc w:val="left"/>
        <w:rPr>
          <w:sz w:val="24"/>
        </w:rPr>
        <w:sectPr>
          <w:pgSz w:w="11900" w:h="16840"/>
          <w:pgMar w:top="1760" w:bottom="280" w:left="1275" w:right="992"/>
        </w:sectPr>
      </w:pPr>
    </w:p>
    <w:p>
      <w:pPr>
        <w:pStyle w:val="Heading1"/>
        <w:ind w:left="204"/>
      </w:pPr>
      <w:r>
        <w:rPr/>
        <w:t>ÍNDICE</w:t>
      </w:r>
      <w:r>
        <w:rPr>
          <w:spacing w:val="-2"/>
        </w:rPr>
        <w:t> </w:t>
      </w:r>
      <w:r>
        <w:rPr/>
        <w:t>DE</w:t>
      </w:r>
      <w:r>
        <w:rPr>
          <w:spacing w:val="2"/>
        </w:rPr>
        <w:t> </w:t>
      </w:r>
      <w:r>
        <w:rPr>
          <w:spacing w:val="-2"/>
        </w:rPr>
        <w:t>ANEXOS</w:t>
      </w:r>
    </w:p>
    <w:p>
      <w:pPr>
        <w:pStyle w:val="BodyText"/>
        <w:spacing w:before="249"/>
        <w:rPr>
          <w:b/>
          <w:sz w:val="28"/>
        </w:rPr>
      </w:pPr>
    </w:p>
    <w:p>
      <w:pPr>
        <w:pStyle w:val="Heading3"/>
        <w:tabs>
          <w:tab w:pos="3758" w:val="left" w:leader="none"/>
          <w:tab w:pos="7787" w:val="left" w:leader="none"/>
        </w:tabs>
        <w:ind w:left="301"/>
        <w:jc w:val="center"/>
      </w:pPr>
      <w:r>
        <w:rPr>
          <w:spacing w:val="-5"/>
        </w:rPr>
        <w:t>N°</w:t>
      </w:r>
      <w:r>
        <w:rPr/>
        <w:tab/>
      </w:r>
      <w:r>
        <w:rPr>
          <w:spacing w:val="-2"/>
        </w:rPr>
        <w:t>Detalle</w:t>
      </w:r>
      <w:r>
        <w:rPr/>
        <w:tab/>
      </w:r>
      <w:r>
        <w:rPr>
          <w:spacing w:val="-4"/>
        </w:rPr>
        <w:t>Pág.</w:t>
      </w:r>
    </w:p>
    <w:p>
      <w:pPr>
        <w:pStyle w:val="BodyText"/>
        <w:spacing w:before="1"/>
        <w:rPr>
          <w:b/>
        </w:rPr>
      </w:pPr>
    </w:p>
    <w:p>
      <w:pPr>
        <w:pStyle w:val="ListParagraph"/>
        <w:numPr>
          <w:ilvl w:val="0"/>
          <w:numId w:val="7"/>
        </w:numPr>
        <w:tabs>
          <w:tab w:pos="1234" w:val="left" w:leader="none"/>
          <w:tab w:pos="8808" w:val="left" w:leader="none"/>
        </w:tabs>
        <w:spacing w:line="240" w:lineRule="auto" w:before="0" w:after="0"/>
        <w:ind w:left="1234" w:right="0" w:hanging="240"/>
        <w:jc w:val="left"/>
        <w:rPr>
          <w:sz w:val="24"/>
        </w:rPr>
      </w:pPr>
      <w:hyperlink w:history="true" w:anchor="_bookmark57">
        <w:r>
          <w:rPr>
            <w:sz w:val="24"/>
          </w:rPr>
          <w:t>Mapa</w:t>
        </w:r>
        <w:r>
          <w:rPr>
            <w:spacing w:val="-1"/>
            <w:sz w:val="24"/>
          </w:rPr>
          <w:t> </w:t>
        </w:r>
        <w:r>
          <w:rPr>
            <w:sz w:val="24"/>
          </w:rPr>
          <w:t>De Ubicación</w:t>
        </w:r>
        <w:r>
          <w:rPr>
            <w:spacing w:val="-4"/>
            <w:sz w:val="24"/>
          </w:rPr>
          <w:t> </w:t>
        </w:r>
        <w:r>
          <w:rPr>
            <w:sz w:val="24"/>
          </w:rPr>
          <w:t>De</w:t>
        </w:r>
        <w:r>
          <w:rPr>
            <w:spacing w:val="-3"/>
            <w:sz w:val="24"/>
          </w:rPr>
          <w:t> </w:t>
        </w:r>
        <w:r>
          <w:rPr>
            <w:sz w:val="24"/>
          </w:rPr>
          <w:t>La </w:t>
        </w:r>
        <w:r>
          <w:rPr>
            <w:spacing w:val="-2"/>
            <w:sz w:val="24"/>
          </w:rPr>
          <w:t>Investigación</w:t>
        </w:r>
        <w:r>
          <w:rPr>
            <w:sz w:val="24"/>
          </w:rPr>
          <w:tab/>
        </w:r>
        <w:r>
          <w:rPr>
            <w:spacing w:val="-10"/>
            <w:sz w:val="24"/>
          </w:rPr>
          <w:t>1</w:t>
        </w:r>
      </w:hyperlink>
    </w:p>
    <w:p>
      <w:pPr>
        <w:pStyle w:val="BodyText"/>
      </w:pPr>
    </w:p>
    <w:p>
      <w:pPr>
        <w:pStyle w:val="ListParagraph"/>
        <w:numPr>
          <w:ilvl w:val="0"/>
          <w:numId w:val="7"/>
        </w:numPr>
        <w:tabs>
          <w:tab w:pos="1234" w:val="left" w:leader="none"/>
          <w:tab w:pos="8808" w:val="left" w:leader="none"/>
        </w:tabs>
        <w:spacing w:line="240" w:lineRule="auto" w:before="0" w:after="0"/>
        <w:ind w:left="1234" w:right="0" w:hanging="240"/>
        <w:jc w:val="left"/>
        <w:rPr>
          <w:sz w:val="24"/>
        </w:rPr>
      </w:pPr>
      <w:hyperlink w:history="true" w:anchor="_bookmark58">
        <w:r>
          <w:rPr>
            <w:sz w:val="24"/>
          </w:rPr>
          <w:t>Registro</w:t>
        </w:r>
        <w:r>
          <w:rPr>
            <w:spacing w:val="1"/>
            <w:sz w:val="24"/>
          </w:rPr>
          <w:t> </w:t>
        </w:r>
        <w:r>
          <w:rPr>
            <w:spacing w:val="-2"/>
            <w:sz w:val="24"/>
          </w:rPr>
          <w:t>Fotográfico</w:t>
        </w:r>
        <w:r>
          <w:rPr>
            <w:sz w:val="24"/>
          </w:rPr>
          <w:tab/>
        </w:r>
        <w:r>
          <w:rPr>
            <w:spacing w:val="-10"/>
            <w:sz w:val="24"/>
          </w:rPr>
          <w:t>1</w:t>
        </w:r>
      </w:hyperlink>
    </w:p>
    <w:p>
      <w:pPr>
        <w:pStyle w:val="BodyText"/>
      </w:pPr>
    </w:p>
    <w:p>
      <w:pPr>
        <w:pStyle w:val="ListParagraph"/>
        <w:numPr>
          <w:ilvl w:val="0"/>
          <w:numId w:val="7"/>
        </w:numPr>
        <w:tabs>
          <w:tab w:pos="1234" w:val="left" w:leader="none"/>
          <w:tab w:pos="8808" w:val="left" w:leader="none"/>
        </w:tabs>
        <w:spacing w:line="240" w:lineRule="auto" w:before="0" w:after="0"/>
        <w:ind w:left="1234" w:right="0" w:hanging="240"/>
        <w:jc w:val="left"/>
        <w:rPr>
          <w:sz w:val="24"/>
        </w:rPr>
      </w:pPr>
      <w:r>
        <w:rPr>
          <w:sz w:val="24"/>
        </w:rPr>
        <w:t>Informe</w:t>
      </w:r>
      <w:r>
        <w:rPr>
          <w:spacing w:val="-2"/>
          <w:sz w:val="24"/>
        </w:rPr>
        <w:t> </w:t>
      </w:r>
      <w:r>
        <w:rPr>
          <w:sz w:val="24"/>
        </w:rPr>
        <w:t>De Resultados</w:t>
      </w:r>
      <w:r>
        <w:rPr>
          <w:spacing w:val="-7"/>
          <w:sz w:val="24"/>
        </w:rPr>
        <w:t> </w:t>
      </w:r>
      <w:r>
        <w:rPr>
          <w:sz w:val="24"/>
        </w:rPr>
        <w:t>De</w:t>
      </w:r>
      <w:r>
        <w:rPr>
          <w:spacing w:val="-4"/>
          <w:sz w:val="24"/>
        </w:rPr>
        <w:t> Tesis</w:t>
      </w:r>
      <w:r>
        <w:rPr>
          <w:sz w:val="24"/>
        </w:rPr>
        <w:tab/>
      </w:r>
      <w:r>
        <w:rPr>
          <w:spacing w:val="-10"/>
          <w:sz w:val="24"/>
        </w:rPr>
        <w:t>8</w:t>
      </w:r>
    </w:p>
    <w:p>
      <w:pPr>
        <w:pStyle w:val="BodyText"/>
      </w:pPr>
    </w:p>
    <w:p>
      <w:pPr>
        <w:pStyle w:val="ListParagraph"/>
        <w:numPr>
          <w:ilvl w:val="0"/>
          <w:numId w:val="7"/>
        </w:numPr>
        <w:tabs>
          <w:tab w:pos="1234" w:val="left" w:leader="none"/>
          <w:tab w:pos="8680" w:val="left" w:leader="none"/>
        </w:tabs>
        <w:spacing w:line="240" w:lineRule="auto" w:before="0" w:after="0"/>
        <w:ind w:left="1234" w:right="0" w:hanging="240"/>
        <w:jc w:val="left"/>
        <w:rPr>
          <w:sz w:val="24"/>
        </w:rPr>
      </w:pPr>
      <w:r>
        <w:rPr>
          <w:sz w:val="24"/>
        </w:rPr>
        <w:t>Informe</w:t>
      </w:r>
      <w:r>
        <w:rPr>
          <w:spacing w:val="-2"/>
          <w:sz w:val="24"/>
        </w:rPr>
        <w:t> </w:t>
      </w:r>
      <w:r>
        <w:rPr>
          <w:sz w:val="24"/>
        </w:rPr>
        <w:t>De</w:t>
      </w:r>
      <w:r>
        <w:rPr>
          <w:spacing w:val="-1"/>
          <w:sz w:val="24"/>
        </w:rPr>
        <w:t> </w:t>
      </w:r>
      <w:r>
        <w:rPr>
          <w:sz w:val="24"/>
        </w:rPr>
        <w:t>Control</w:t>
      </w:r>
      <w:r>
        <w:rPr>
          <w:spacing w:val="-1"/>
          <w:sz w:val="24"/>
        </w:rPr>
        <w:t> </w:t>
      </w:r>
      <w:r>
        <w:rPr>
          <w:sz w:val="24"/>
        </w:rPr>
        <w:t>De</w:t>
      </w:r>
      <w:r>
        <w:rPr>
          <w:spacing w:val="-1"/>
          <w:sz w:val="24"/>
        </w:rPr>
        <w:t> </w:t>
      </w:r>
      <w:r>
        <w:rPr>
          <w:sz w:val="24"/>
        </w:rPr>
        <w:t>Calidad</w:t>
      </w:r>
      <w:r>
        <w:rPr>
          <w:spacing w:val="-1"/>
          <w:sz w:val="24"/>
        </w:rPr>
        <w:t> </w:t>
      </w:r>
      <w:r>
        <w:rPr>
          <w:sz w:val="24"/>
        </w:rPr>
        <w:t>De</w:t>
      </w:r>
      <w:r>
        <w:rPr>
          <w:spacing w:val="-1"/>
          <w:sz w:val="24"/>
        </w:rPr>
        <w:t> </w:t>
      </w:r>
      <w:r>
        <w:rPr>
          <w:spacing w:val="-4"/>
          <w:sz w:val="24"/>
        </w:rPr>
        <w:t>Datos</w:t>
      </w:r>
      <w:r>
        <w:rPr>
          <w:sz w:val="24"/>
        </w:rPr>
        <w:tab/>
      </w:r>
      <w:r>
        <w:rPr>
          <w:spacing w:val="-5"/>
          <w:sz w:val="24"/>
        </w:rPr>
        <w:t>11</w:t>
      </w:r>
    </w:p>
    <w:p>
      <w:pPr>
        <w:pStyle w:val="BodyText"/>
      </w:pPr>
    </w:p>
    <w:p>
      <w:pPr>
        <w:pStyle w:val="ListParagraph"/>
        <w:numPr>
          <w:ilvl w:val="0"/>
          <w:numId w:val="7"/>
        </w:numPr>
        <w:tabs>
          <w:tab w:pos="1234" w:val="left" w:leader="none"/>
          <w:tab w:pos="8688" w:val="left" w:leader="none"/>
        </w:tabs>
        <w:spacing w:line="240" w:lineRule="auto" w:before="1" w:after="0"/>
        <w:ind w:left="1234" w:right="0" w:hanging="240"/>
        <w:jc w:val="left"/>
        <w:rPr>
          <w:sz w:val="24"/>
        </w:rPr>
      </w:pPr>
      <w:r>
        <w:rPr>
          <w:sz w:val="24"/>
        </w:rPr>
        <w:t>Especificaciones</w:t>
      </w:r>
      <w:r>
        <w:rPr>
          <w:spacing w:val="-5"/>
          <w:sz w:val="24"/>
        </w:rPr>
        <w:t> </w:t>
      </w:r>
      <w:r>
        <w:rPr>
          <w:sz w:val="24"/>
        </w:rPr>
        <w:t>de Producto</w:t>
      </w:r>
      <w:r>
        <w:rPr>
          <w:spacing w:val="-1"/>
          <w:sz w:val="24"/>
        </w:rPr>
        <w:t> </w:t>
      </w:r>
      <w:r>
        <w:rPr>
          <w:spacing w:val="-2"/>
          <w:sz w:val="24"/>
        </w:rPr>
        <w:t>terminado</w:t>
      </w:r>
      <w:r>
        <w:rPr>
          <w:sz w:val="24"/>
        </w:rPr>
        <w:tab/>
      </w:r>
      <w:r>
        <w:rPr>
          <w:spacing w:val="-5"/>
          <w:sz w:val="24"/>
        </w:rPr>
        <w:t>13</w:t>
      </w:r>
    </w:p>
    <w:p>
      <w:pPr>
        <w:pStyle w:val="ListParagraph"/>
        <w:numPr>
          <w:ilvl w:val="0"/>
          <w:numId w:val="7"/>
        </w:numPr>
        <w:tabs>
          <w:tab w:pos="1234" w:val="left" w:leader="none"/>
          <w:tab w:pos="8688" w:val="left" w:leader="none"/>
        </w:tabs>
        <w:spacing w:line="240" w:lineRule="auto" w:before="276" w:after="0"/>
        <w:ind w:left="1234" w:right="0" w:hanging="240"/>
        <w:jc w:val="left"/>
        <w:rPr>
          <w:sz w:val="24"/>
        </w:rPr>
      </w:pPr>
      <w:hyperlink w:history="true" w:anchor="_bookmark59">
        <w:r>
          <w:rPr>
            <w:sz w:val="24"/>
          </w:rPr>
          <w:t>Glosario</w:t>
        </w:r>
        <w:r>
          <w:rPr>
            <w:spacing w:val="-7"/>
            <w:sz w:val="24"/>
          </w:rPr>
          <w:t> </w:t>
        </w:r>
        <w:r>
          <w:rPr>
            <w:sz w:val="24"/>
          </w:rPr>
          <w:t>De</w:t>
        </w:r>
        <w:r>
          <w:rPr>
            <w:spacing w:val="-4"/>
            <w:sz w:val="24"/>
          </w:rPr>
          <w:t> </w:t>
        </w:r>
        <w:r>
          <w:rPr>
            <w:sz w:val="24"/>
          </w:rPr>
          <w:t>Términos</w:t>
        </w:r>
        <w:r>
          <w:rPr>
            <w:spacing w:val="-10"/>
            <w:sz w:val="24"/>
          </w:rPr>
          <w:t> </w:t>
        </w:r>
        <w:r>
          <w:rPr>
            <w:spacing w:val="-2"/>
            <w:sz w:val="24"/>
          </w:rPr>
          <w:t>Técnicos</w:t>
        </w:r>
        <w:r>
          <w:rPr>
            <w:sz w:val="24"/>
          </w:rPr>
          <w:tab/>
        </w:r>
        <w:r>
          <w:rPr>
            <w:spacing w:val="-5"/>
            <w:sz w:val="24"/>
          </w:rPr>
          <w:t>15</w:t>
        </w:r>
      </w:hyperlink>
    </w:p>
    <w:p>
      <w:pPr>
        <w:pStyle w:val="ListParagraph"/>
        <w:spacing w:after="0" w:line="240" w:lineRule="auto"/>
        <w:jc w:val="left"/>
        <w:rPr>
          <w:sz w:val="24"/>
        </w:rPr>
        <w:sectPr>
          <w:pgSz w:w="11900" w:h="16840"/>
          <w:pgMar w:top="1640" w:bottom="280" w:left="1275" w:right="992"/>
        </w:sectPr>
      </w:pPr>
    </w:p>
    <w:p>
      <w:pPr>
        <w:pStyle w:val="Heading1"/>
        <w:ind w:left="206"/>
      </w:pPr>
      <w:r>
        <w:rPr>
          <w:spacing w:val="-2"/>
        </w:rPr>
        <w:t>RESUMEN</w:t>
      </w:r>
    </w:p>
    <w:p>
      <w:pPr>
        <w:pStyle w:val="BodyText"/>
        <w:spacing w:line="360" w:lineRule="auto" w:before="319"/>
        <w:ind w:left="994" w:right="696"/>
        <w:jc w:val="both"/>
      </w:pPr>
      <w:r>
        <w:rPr/>
        <w:t>Las</w:t>
      </w:r>
      <w:r>
        <w:rPr>
          <w:spacing w:val="-1"/>
        </w:rPr>
        <w:t> </w:t>
      </w:r>
      <w:r>
        <w:rPr/>
        <w:t>piodermas</w:t>
      </w:r>
      <w:r>
        <w:rPr>
          <w:spacing w:val="-5"/>
        </w:rPr>
        <w:t> </w:t>
      </w:r>
      <w:r>
        <w:rPr/>
        <w:t>en perros</w:t>
      </w:r>
      <w:r>
        <w:rPr>
          <w:spacing w:val="-1"/>
        </w:rPr>
        <w:t> </w:t>
      </w:r>
      <w:r>
        <w:rPr/>
        <w:t>se</w:t>
      </w:r>
      <w:r>
        <w:rPr>
          <w:spacing w:val="-2"/>
        </w:rPr>
        <w:t> </w:t>
      </w:r>
      <w:r>
        <w:rPr/>
        <w:t>reconocen</w:t>
      </w:r>
      <w:r>
        <w:rPr>
          <w:spacing w:val="-4"/>
        </w:rPr>
        <w:t> </w:t>
      </w:r>
      <w:r>
        <w:rPr/>
        <w:t>como una de</w:t>
      </w:r>
      <w:r>
        <w:rPr>
          <w:spacing w:val="-2"/>
        </w:rPr>
        <w:t> </w:t>
      </w:r>
      <w:r>
        <w:rPr/>
        <w:t>las</w:t>
      </w:r>
      <w:r>
        <w:rPr>
          <w:spacing w:val="-1"/>
        </w:rPr>
        <w:t> </w:t>
      </w:r>
      <w:r>
        <w:rPr/>
        <w:t>afecciones</w:t>
      </w:r>
      <w:r>
        <w:rPr>
          <w:spacing w:val="-1"/>
        </w:rPr>
        <w:t> </w:t>
      </w:r>
      <w:r>
        <w:rPr/>
        <w:t>de piel que más se</w:t>
      </w:r>
      <w:r>
        <w:rPr>
          <w:spacing w:val="-13"/>
        </w:rPr>
        <w:t> </w:t>
      </w:r>
      <w:r>
        <w:rPr/>
        <w:t>observan</w:t>
      </w:r>
      <w:r>
        <w:rPr>
          <w:spacing w:val="-14"/>
        </w:rPr>
        <w:t> </w:t>
      </w:r>
      <w:r>
        <w:rPr/>
        <w:t>en</w:t>
      </w:r>
      <w:r>
        <w:rPr>
          <w:spacing w:val="-14"/>
        </w:rPr>
        <w:t> </w:t>
      </w:r>
      <w:r>
        <w:rPr/>
        <w:t>la</w:t>
      </w:r>
      <w:r>
        <w:rPr>
          <w:spacing w:val="-13"/>
        </w:rPr>
        <w:t> </w:t>
      </w:r>
      <w:r>
        <w:rPr/>
        <w:t>práctica</w:t>
      </w:r>
      <w:r>
        <w:rPr>
          <w:spacing w:val="-13"/>
        </w:rPr>
        <w:t> </w:t>
      </w:r>
      <w:r>
        <w:rPr/>
        <w:t>veterinaria.</w:t>
      </w:r>
      <w:r>
        <w:rPr>
          <w:spacing w:val="-14"/>
        </w:rPr>
        <w:t> </w:t>
      </w:r>
      <w:r>
        <w:rPr/>
        <w:t>En</w:t>
      </w:r>
      <w:r>
        <w:rPr>
          <w:spacing w:val="-14"/>
        </w:rPr>
        <w:t> </w:t>
      </w:r>
      <w:r>
        <w:rPr/>
        <w:t>algunos</w:t>
      </w:r>
      <w:r>
        <w:rPr>
          <w:spacing w:val="-15"/>
        </w:rPr>
        <w:t> </w:t>
      </w:r>
      <w:r>
        <w:rPr/>
        <w:t>casos,</w:t>
      </w:r>
      <w:r>
        <w:rPr>
          <w:spacing w:val="-14"/>
        </w:rPr>
        <w:t> </w:t>
      </w:r>
      <w:r>
        <w:rPr/>
        <w:t>estas</w:t>
      </w:r>
      <w:r>
        <w:rPr>
          <w:spacing w:val="-15"/>
        </w:rPr>
        <w:t> </w:t>
      </w:r>
      <w:r>
        <w:rPr/>
        <w:t>lesiones</w:t>
      </w:r>
      <w:r>
        <w:rPr>
          <w:spacing w:val="-15"/>
        </w:rPr>
        <w:t> </w:t>
      </w:r>
      <w:r>
        <w:rPr/>
        <w:t>se</w:t>
      </w:r>
      <w:r>
        <w:rPr>
          <w:spacing w:val="-13"/>
        </w:rPr>
        <w:t> </w:t>
      </w:r>
      <w:r>
        <w:rPr/>
        <w:t>relacionan con bacterias que ya no responden de forma adecuada a los tratamientos de uso común.</w:t>
      </w:r>
      <w:r>
        <w:rPr>
          <w:spacing w:val="-15"/>
        </w:rPr>
        <w:t> </w:t>
      </w:r>
      <w:r>
        <w:rPr/>
        <w:t>Entre</w:t>
      </w:r>
      <w:r>
        <w:rPr>
          <w:spacing w:val="-15"/>
        </w:rPr>
        <w:t> </w:t>
      </w:r>
      <w:r>
        <w:rPr/>
        <w:t>los</w:t>
      </w:r>
      <w:r>
        <w:rPr>
          <w:spacing w:val="-15"/>
        </w:rPr>
        <w:t> </w:t>
      </w:r>
      <w:r>
        <w:rPr/>
        <w:t>agentes</w:t>
      </w:r>
      <w:r>
        <w:rPr>
          <w:spacing w:val="-15"/>
        </w:rPr>
        <w:t> </w:t>
      </w:r>
      <w:r>
        <w:rPr/>
        <w:t>de</w:t>
      </w:r>
      <w:r>
        <w:rPr>
          <w:spacing w:val="-15"/>
        </w:rPr>
        <w:t> </w:t>
      </w:r>
      <w:r>
        <w:rPr/>
        <w:t>mayor</w:t>
      </w:r>
      <w:r>
        <w:rPr>
          <w:spacing w:val="-15"/>
        </w:rPr>
        <w:t> </w:t>
      </w:r>
      <w:r>
        <w:rPr/>
        <w:t>relevancia</w:t>
      </w:r>
      <w:r>
        <w:rPr>
          <w:spacing w:val="-15"/>
        </w:rPr>
        <w:t> </w:t>
      </w:r>
      <w:r>
        <w:rPr/>
        <w:t>está</w:t>
      </w:r>
      <w:r>
        <w:rPr>
          <w:spacing w:val="-15"/>
        </w:rPr>
        <w:t> </w:t>
      </w:r>
      <w:r>
        <w:rPr/>
        <w:t>Staphylococcus</w:t>
      </w:r>
      <w:r>
        <w:rPr>
          <w:spacing w:val="-15"/>
        </w:rPr>
        <w:t> </w:t>
      </w:r>
      <w:r>
        <w:rPr/>
        <w:t>aureus</w:t>
      </w:r>
      <w:r>
        <w:rPr>
          <w:spacing w:val="-15"/>
        </w:rPr>
        <w:t> </w:t>
      </w:r>
      <w:r>
        <w:rPr/>
        <w:t>resistente a meticilina (MRSA), debido a que su resistencia frente a varios antimicrobianos complica</w:t>
      </w:r>
      <w:r>
        <w:rPr>
          <w:spacing w:val="-14"/>
        </w:rPr>
        <w:t> </w:t>
      </w:r>
      <w:r>
        <w:rPr/>
        <w:t>el</w:t>
      </w:r>
      <w:r>
        <w:rPr>
          <w:spacing w:val="-14"/>
        </w:rPr>
        <w:t> </w:t>
      </w:r>
      <w:r>
        <w:rPr/>
        <w:t>manejo</w:t>
      </w:r>
      <w:r>
        <w:rPr>
          <w:spacing w:val="-15"/>
        </w:rPr>
        <w:t> </w:t>
      </w:r>
      <w:r>
        <w:rPr/>
        <w:t>clínico.</w:t>
      </w:r>
      <w:r>
        <w:rPr>
          <w:spacing w:val="-11"/>
        </w:rPr>
        <w:t> </w:t>
      </w:r>
      <w:r>
        <w:rPr/>
        <w:t>En</w:t>
      </w:r>
      <w:r>
        <w:rPr>
          <w:spacing w:val="-15"/>
        </w:rPr>
        <w:t> </w:t>
      </w:r>
      <w:r>
        <w:rPr/>
        <w:t>este</w:t>
      </w:r>
      <w:r>
        <w:rPr>
          <w:spacing w:val="-14"/>
        </w:rPr>
        <w:t> </w:t>
      </w:r>
      <w:r>
        <w:rPr/>
        <w:t>contexto,</w:t>
      </w:r>
      <w:r>
        <w:rPr>
          <w:spacing w:val="-11"/>
        </w:rPr>
        <w:t> </w:t>
      </w:r>
      <w:r>
        <w:rPr/>
        <w:t>el</w:t>
      </w:r>
      <w:r>
        <w:rPr>
          <w:spacing w:val="-14"/>
        </w:rPr>
        <w:t> </w:t>
      </w:r>
      <w:r>
        <w:rPr/>
        <w:t>cannabidiol,</w:t>
      </w:r>
      <w:r>
        <w:rPr>
          <w:spacing w:val="-15"/>
        </w:rPr>
        <w:t> </w:t>
      </w:r>
      <w:r>
        <w:rPr/>
        <w:t>abreviado</w:t>
      </w:r>
      <w:r>
        <w:rPr>
          <w:spacing w:val="-15"/>
        </w:rPr>
        <w:t> </w:t>
      </w:r>
      <w:r>
        <w:rPr/>
        <w:t>como</w:t>
      </w:r>
      <w:r>
        <w:rPr>
          <w:spacing w:val="-11"/>
        </w:rPr>
        <w:t> </w:t>
      </w:r>
      <w:r>
        <w:rPr/>
        <w:t>CBD, ha suscitado gran interés dada su posible capacidad antimicrobiana y desinflamatoria. La investigación evaluó la efectividad del CBD como agente antibacteriano frente a cepas de MRSA aisladas de caninos afectados por piodermas. Fueron realizados ensayos de laboratorio in vitro, empleando técnicas de difusión en agar y la determinación de la Concentración Mínima Inhibitoria (CMI). De forma complementaria, se examinaron combinaciones de CBD con fármacos tales como amoxicilina, cefalexina y enrofloxacina. Los hallazgos apuntaron a una inhibición del crecimiento bacteriano, manifestándose de manera distinta</w:t>
      </w:r>
      <w:r>
        <w:rPr>
          <w:spacing w:val="-1"/>
        </w:rPr>
        <w:t> </w:t>
      </w:r>
      <w:r>
        <w:rPr/>
        <w:t>conforme</w:t>
      </w:r>
      <w:r>
        <w:rPr>
          <w:spacing w:val="-1"/>
        </w:rPr>
        <w:t> </w:t>
      </w:r>
      <w:r>
        <w:rPr/>
        <w:t>a</w:t>
      </w:r>
      <w:r>
        <w:rPr>
          <w:spacing w:val="-1"/>
        </w:rPr>
        <w:t> </w:t>
      </w:r>
      <w:r>
        <w:rPr/>
        <w:t>la</w:t>
      </w:r>
      <w:r>
        <w:rPr>
          <w:spacing w:val="-1"/>
        </w:rPr>
        <w:t> </w:t>
      </w:r>
      <w:r>
        <w:rPr/>
        <w:t>dosis</w:t>
      </w:r>
      <w:r>
        <w:rPr>
          <w:spacing w:val="-4"/>
        </w:rPr>
        <w:t> </w:t>
      </w:r>
      <w:r>
        <w:rPr/>
        <w:t>y</w:t>
      </w:r>
      <w:r>
        <w:rPr>
          <w:spacing w:val="-2"/>
        </w:rPr>
        <w:t> </w:t>
      </w:r>
      <w:r>
        <w:rPr/>
        <w:t>al</w:t>
      </w:r>
      <w:r>
        <w:rPr>
          <w:spacing w:val="-1"/>
        </w:rPr>
        <w:t> </w:t>
      </w:r>
      <w:r>
        <w:rPr/>
        <w:t>principio</w:t>
      </w:r>
      <w:r>
        <w:rPr>
          <w:spacing w:val="-2"/>
        </w:rPr>
        <w:t> </w:t>
      </w:r>
      <w:r>
        <w:rPr/>
        <w:t>activo</w:t>
      </w:r>
      <w:r>
        <w:rPr>
          <w:spacing w:val="-2"/>
        </w:rPr>
        <w:t> </w:t>
      </w:r>
      <w:r>
        <w:rPr/>
        <w:t>utilizado.</w:t>
      </w:r>
      <w:r>
        <w:rPr>
          <w:spacing w:val="-2"/>
        </w:rPr>
        <w:t> </w:t>
      </w:r>
      <w:r>
        <w:rPr/>
        <w:t>Las</w:t>
      </w:r>
      <w:r>
        <w:rPr>
          <w:spacing w:val="-4"/>
        </w:rPr>
        <w:t> </w:t>
      </w:r>
      <w:r>
        <w:rPr/>
        <w:t>alianzas</w:t>
      </w:r>
      <w:r>
        <w:rPr>
          <w:spacing w:val="-4"/>
        </w:rPr>
        <w:t> </w:t>
      </w:r>
      <w:r>
        <w:rPr/>
        <w:t>entre</w:t>
      </w:r>
      <w:r>
        <w:rPr>
          <w:spacing w:val="-1"/>
        </w:rPr>
        <w:t> </w:t>
      </w:r>
      <w:r>
        <w:rPr/>
        <w:t>CBD y antibióticos también resultaron en una disminución de los valores de CMI, insinuando una sinergia provechosa entre los compuestos. Por lo tanto, el cannabidiol podría funcionar como un coadyuvante en la terapia de infecciones dérmicas</w:t>
      </w:r>
      <w:r>
        <w:rPr>
          <w:spacing w:val="-4"/>
        </w:rPr>
        <w:t> </w:t>
      </w:r>
      <w:r>
        <w:rPr/>
        <w:t>por</w:t>
      </w:r>
      <w:r>
        <w:rPr>
          <w:spacing w:val="-2"/>
        </w:rPr>
        <w:t> </w:t>
      </w:r>
      <w:r>
        <w:rPr/>
        <w:t>MRSA</w:t>
      </w:r>
      <w:r>
        <w:rPr>
          <w:spacing w:val="-4"/>
        </w:rPr>
        <w:t> </w:t>
      </w:r>
      <w:r>
        <w:rPr/>
        <w:t>en</w:t>
      </w:r>
      <w:r>
        <w:rPr>
          <w:spacing w:val="-2"/>
        </w:rPr>
        <w:t> </w:t>
      </w:r>
      <w:r>
        <w:rPr/>
        <w:t>perros,</w:t>
      </w:r>
      <w:r>
        <w:rPr>
          <w:spacing w:val="-2"/>
        </w:rPr>
        <w:t> </w:t>
      </w:r>
      <w:r>
        <w:rPr/>
        <w:t>condicionando</w:t>
      </w:r>
      <w:r>
        <w:rPr>
          <w:spacing w:val="-2"/>
        </w:rPr>
        <w:t> </w:t>
      </w:r>
      <w:r>
        <w:rPr/>
        <w:t>su</w:t>
      </w:r>
      <w:r>
        <w:rPr>
          <w:spacing w:val="-2"/>
        </w:rPr>
        <w:t> </w:t>
      </w:r>
      <w:r>
        <w:rPr/>
        <w:t>aplicación</w:t>
      </w:r>
      <w:r>
        <w:rPr>
          <w:spacing w:val="-2"/>
        </w:rPr>
        <w:t> </w:t>
      </w:r>
      <w:r>
        <w:rPr/>
        <w:t>a</w:t>
      </w:r>
      <w:r>
        <w:rPr>
          <w:spacing w:val="-1"/>
        </w:rPr>
        <w:t> </w:t>
      </w:r>
      <w:r>
        <w:rPr/>
        <w:t>un</w:t>
      </w:r>
      <w:r>
        <w:rPr>
          <w:spacing w:val="-2"/>
        </w:rPr>
        <w:t> </w:t>
      </w:r>
      <w:r>
        <w:rPr/>
        <w:t>manejo</w:t>
      </w:r>
      <w:r>
        <w:rPr>
          <w:spacing w:val="-2"/>
        </w:rPr>
        <w:t> </w:t>
      </w:r>
      <w:r>
        <w:rPr/>
        <w:t>prudente y sustentado en evidencia científica sólida.</w:t>
      </w:r>
    </w:p>
    <w:p>
      <w:pPr>
        <w:spacing w:line="360" w:lineRule="auto" w:before="167"/>
        <w:ind w:left="994" w:right="697" w:firstLine="0"/>
        <w:jc w:val="both"/>
        <w:rPr>
          <w:sz w:val="24"/>
        </w:rPr>
      </w:pPr>
      <w:r>
        <w:rPr>
          <w:b/>
          <w:sz w:val="24"/>
        </w:rPr>
        <w:t>Palabras clave: </w:t>
      </w:r>
      <w:r>
        <w:rPr>
          <w:sz w:val="24"/>
        </w:rPr>
        <w:t>Cannabidiol CBD, </w:t>
      </w:r>
      <w:r>
        <w:rPr>
          <w:i/>
          <w:sz w:val="24"/>
        </w:rPr>
        <w:t>Staphylococcus aureus</w:t>
      </w:r>
      <w:r>
        <w:rPr>
          <w:sz w:val="24"/>
        </w:rPr>
        <w:t>, pioderma canina, efecto antibacterial, concentracion minima inhibitoria CMI, terapia combinada, </w:t>
      </w:r>
      <w:r>
        <w:rPr>
          <w:spacing w:val="-2"/>
          <w:sz w:val="24"/>
        </w:rPr>
        <w:t>meticilina.</w:t>
      </w:r>
    </w:p>
    <w:p>
      <w:pPr>
        <w:spacing w:after="0" w:line="360" w:lineRule="auto"/>
        <w:jc w:val="both"/>
        <w:rPr>
          <w:sz w:val="24"/>
        </w:rPr>
        <w:sectPr>
          <w:pgSz w:w="11900" w:h="16840"/>
          <w:pgMar w:top="1640" w:bottom="280" w:left="1275" w:right="992"/>
        </w:sectPr>
      </w:pPr>
    </w:p>
    <w:p>
      <w:pPr>
        <w:pStyle w:val="Heading2"/>
        <w:ind w:left="206" w:firstLine="0"/>
        <w:jc w:val="center"/>
      </w:pPr>
      <w:r>
        <w:rPr>
          <w:spacing w:val="-2"/>
        </w:rPr>
        <w:t>SUMMARY</w:t>
      </w:r>
    </w:p>
    <w:p>
      <w:pPr>
        <w:pStyle w:val="BodyText"/>
        <w:rPr>
          <w:b/>
        </w:rPr>
      </w:pPr>
    </w:p>
    <w:p>
      <w:pPr>
        <w:pStyle w:val="BodyText"/>
        <w:spacing w:line="360" w:lineRule="auto"/>
        <w:ind w:left="994" w:right="695"/>
        <w:jc w:val="both"/>
      </w:pPr>
      <w:r>
        <w:rPr/>
        <w:t>Canine pyoderma, a common ailment vets</w:t>
      </w:r>
      <w:r>
        <w:rPr>
          <w:spacing w:val="-4"/>
        </w:rPr>
        <w:t> </w:t>
      </w:r>
      <w:r>
        <w:rPr/>
        <w:t>see frequent, involves multiple bacteria sometimes. Methicillin resistant Staphylococcus aureus (MRSA), it's extra tricky cause</w:t>
      </w:r>
      <w:r>
        <w:rPr>
          <w:spacing w:val="-11"/>
        </w:rPr>
        <w:t> </w:t>
      </w:r>
      <w:r>
        <w:rPr/>
        <w:t>treatment</w:t>
      </w:r>
      <w:r>
        <w:rPr>
          <w:spacing w:val="-11"/>
        </w:rPr>
        <w:t> </w:t>
      </w:r>
      <w:r>
        <w:rPr/>
        <w:t>gets</w:t>
      </w:r>
      <w:r>
        <w:rPr>
          <w:spacing w:val="-14"/>
        </w:rPr>
        <w:t> </w:t>
      </w:r>
      <w:r>
        <w:rPr/>
        <w:t>tougher.</w:t>
      </w:r>
      <w:r>
        <w:rPr>
          <w:spacing w:val="-12"/>
        </w:rPr>
        <w:t> </w:t>
      </w:r>
      <w:r>
        <w:rPr/>
        <w:t>Thus,</w:t>
      </w:r>
      <w:r>
        <w:rPr>
          <w:spacing w:val="-12"/>
        </w:rPr>
        <w:t> </w:t>
      </w:r>
      <w:r>
        <w:rPr/>
        <w:t>we</w:t>
      </w:r>
      <w:r>
        <w:rPr>
          <w:spacing w:val="-15"/>
        </w:rPr>
        <w:t> </w:t>
      </w:r>
      <w:r>
        <w:rPr/>
        <w:t>must</w:t>
      </w:r>
      <w:r>
        <w:rPr>
          <w:spacing w:val="-11"/>
        </w:rPr>
        <w:t> </w:t>
      </w:r>
      <w:r>
        <w:rPr/>
        <w:t>investigate</w:t>
      </w:r>
      <w:r>
        <w:rPr>
          <w:spacing w:val="-15"/>
        </w:rPr>
        <w:t> </w:t>
      </w:r>
      <w:r>
        <w:rPr/>
        <w:t>therapeutic</w:t>
      </w:r>
      <w:r>
        <w:rPr>
          <w:spacing w:val="-15"/>
        </w:rPr>
        <w:t> </w:t>
      </w:r>
      <w:r>
        <w:rPr/>
        <w:t>avenues</w:t>
      </w:r>
      <w:r>
        <w:rPr>
          <w:spacing w:val="-14"/>
        </w:rPr>
        <w:t> </w:t>
      </w:r>
      <w:r>
        <w:rPr/>
        <w:t>to</w:t>
      </w:r>
      <w:r>
        <w:rPr>
          <w:spacing w:val="-15"/>
        </w:rPr>
        <w:t> </w:t>
      </w:r>
      <w:r>
        <w:rPr/>
        <w:t>help tame these microbial invasions. This research looked at cannabidiol (CBD) for its germ</w:t>
      </w:r>
      <w:r>
        <w:rPr>
          <w:spacing w:val="-10"/>
        </w:rPr>
        <w:t> </w:t>
      </w:r>
      <w:r>
        <w:rPr/>
        <w:t>fighting</w:t>
      </w:r>
      <w:r>
        <w:rPr>
          <w:spacing w:val="-15"/>
        </w:rPr>
        <w:t> </w:t>
      </w:r>
      <w:r>
        <w:rPr/>
        <w:t>ability</w:t>
      </w:r>
      <w:r>
        <w:rPr>
          <w:spacing w:val="-15"/>
        </w:rPr>
        <w:t> </w:t>
      </w:r>
      <w:r>
        <w:rPr/>
        <w:t>against</w:t>
      </w:r>
      <w:r>
        <w:rPr>
          <w:spacing w:val="-10"/>
        </w:rPr>
        <w:t> </w:t>
      </w:r>
      <w:r>
        <w:rPr/>
        <w:t>MRSA</w:t>
      </w:r>
      <w:r>
        <w:rPr>
          <w:spacing w:val="-13"/>
        </w:rPr>
        <w:t> </w:t>
      </w:r>
      <w:r>
        <w:rPr/>
        <w:t>in</w:t>
      </w:r>
      <w:r>
        <w:rPr>
          <w:spacing w:val="-11"/>
        </w:rPr>
        <w:t> </w:t>
      </w:r>
      <w:r>
        <w:rPr/>
        <w:t>dogs</w:t>
      </w:r>
      <w:r>
        <w:rPr>
          <w:spacing w:val="-13"/>
        </w:rPr>
        <w:t> </w:t>
      </w:r>
      <w:r>
        <w:rPr/>
        <w:t>who</w:t>
      </w:r>
      <w:r>
        <w:rPr>
          <w:spacing w:val="-11"/>
        </w:rPr>
        <w:t> </w:t>
      </w:r>
      <w:r>
        <w:rPr/>
        <w:t>have</w:t>
      </w:r>
      <w:r>
        <w:rPr>
          <w:spacing w:val="-10"/>
        </w:rPr>
        <w:t> </w:t>
      </w:r>
      <w:r>
        <w:rPr/>
        <w:t>pyoderma.</w:t>
      </w:r>
      <w:r>
        <w:rPr>
          <w:spacing w:val="-11"/>
        </w:rPr>
        <w:t> </w:t>
      </w:r>
      <w:r>
        <w:rPr/>
        <w:t>From</w:t>
      </w:r>
      <w:r>
        <w:rPr>
          <w:spacing w:val="-10"/>
        </w:rPr>
        <w:t> </w:t>
      </w:r>
      <w:r>
        <w:rPr/>
        <w:t>skin</w:t>
      </w:r>
      <w:r>
        <w:rPr>
          <w:spacing w:val="-15"/>
        </w:rPr>
        <w:t> </w:t>
      </w:r>
      <w:r>
        <w:rPr/>
        <w:t>wound swabs, bacterial</w:t>
      </w:r>
      <w:r>
        <w:rPr>
          <w:spacing w:val="-2"/>
        </w:rPr>
        <w:t> </w:t>
      </w:r>
      <w:r>
        <w:rPr/>
        <w:t>specimens</w:t>
      </w:r>
      <w:r>
        <w:rPr>
          <w:spacing w:val="-1"/>
        </w:rPr>
        <w:t> </w:t>
      </w:r>
      <w:r>
        <w:rPr/>
        <w:t>where</w:t>
      </w:r>
      <w:r>
        <w:rPr>
          <w:spacing w:val="-2"/>
        </w:rPr>
        <w:t> </w:t>
      </w:r>
      <w:r>
        <w:rPr/>
        <w:t>gathered then, separated</w:t>
      </w:r>
      <w:r>
        <w:rPr>
          <w:spacing w:val="-3"/>
        </w:rPr>
        <w:t> </w:t>
      </w:r>
      <w:r>
        <w:rPr/>
        <w:t>and scrutinized in</w:t>
      </w:r>
      <w:r>
        <w:rPr>
          <w:spacing w:val="-4"/>
        </w:rPr>
        <w:t> </w:t>
      </w:r>
      <w:r>
        <w:rPr/>
        <w:t>a</w:t>
      </w:r>
      <w:r>
        <w:rPr>
          <w:spacing w:val="-2"/>
        </w:rPr>
        <w:t> </w:t>
      </w:r>
      <w:r>
        <w:rPr/>
        <w:t>lab setting. The antibacterial prowess of CBD was explored in vitro using agar diffusion. Moreover, the Minimum Inhibitory Concentration (MIC) was assessed when CBD mingled with enrofloxacin, amoxicillin, and cephalexin. Evidence revealed</w:t>
      </w:r>
      <w:r>
        <w:rPr>
          <w:spacing w:val="-15"/>
        </w:rPr>
        <w:t> </w:t>
      </w:r>
      <w:r>
        <w:rPr/>
        <w:t>cannabidiol</w:t>
      </w:r>
      <w:r>
        <w:rPr>
          <w:spacing w:val="-15"/>
        </w:rPr>
        <w:t> </w:t>
      </w:r>
      <w:r>
        <w:rPr/>
        <w:t>possesses</w:t>
      </w:r>
      <w:r>
        <w:rPr>
          <w:spacing w:val="-15"/>
        </w:rPr>
        <w:t> </w:t>
      </w:r>
      <w:r>
        <w:rPr/>
        <w:t>antibacterial</w:t>
      </w:r>
      <w:r>
        <w:rPr>
          <w:spacing w:val="-15"/>
        </w:rPr>
        <w:t> </w:t>
      </w:r>
      <w:r>
        <w:rPr/>
        <w:t>properties;</w:t>
      </w:r>
      <w:r>
        <w:rPr>
          <w:spacing w:val="-15"/>
        </w:rPr>
        <w:t> </w:t>
      </w:r>
      <w:r>
        <w:rPr/>
        <w:t>its</w:t>
      </w:r>
      <w:r>
        <w:rPr>
          <w:spacing w:val="-15"/>
        </w:rPr>
        <w:t> </w:t>
      </w:r>
      <w:r>
        <w:rPr/>
        <w:t>inhibition</w:t>
      </w:r>
      <w:r>
        <w:rPr>
          <w:spacing w:val="-15"/>
        </w:rPr>
        <w:t> </w:t>
      </w:r>
      <w:r>
        <w:rPr/>
        <w:t>zones</w:t>
      </w:r>
      <w:r>
        <w:rPr>
          <w:spacing w:val="-15"/>
        </w:rPr>
        <w:t> </w:t>
      </w:r>
      <w:r>
        <w:rPr/>
        <w:t>changed depending on how much was tried. When CBD was given alongside antibiotics, MIC values dropped compared to just using one medicine alone. This implies a potential collaborative action. Therefore, cannabidiol could be considered a supplementary choice for handling canine pyoderma, and it might aid in lowering excessive antibiotic use.</w:t>
      </w:r>
    </w:p>
    <w:p>
      <w:pPr>
        <w:pStyle w:val="BodyText"/>
        <w:spacing w:line="360" w:lineRule="auto" w:before="164"/>
        <w:ind w:left="994" w:right="702"/>
        <w:jc w:val="both"/>
      </w:pPr>
      <w:r>
        <w:rPr>
          <w:b/>
        </w:rPr>
        <w:t>Keywords: </w:t>
      </w:r>
      <w:r>
        <w:rPr/>
        <w:t>Cannabidiol (CBD), Staphylococcus aureus, canine pyoderma, antibacterial activity, minimum inhibitory concentration (MIC), combined treatment, methicillin.</w:t>
      </w:r>
    </w:p>
    <w:p>
      <w:pPr>
        <w:pStyle w:val="BodyText"/>
        <w:spacing w:after="0" w:line="360" w:lineRule="auto"/>
        <w:jc w:val="both"/>
        <w:sectPr>
          <w:pgSz w:w="11900" w:h="16840"/>
          <w:pgMar w:top="1640" w:bottom="280" w:left="1275" w:right="992"/>
        </w:sectPr>
      </w:pPr>
    </w:p>
    <w:p>
      <w:pPr>
        <w:pStyle w:val="Heading1"/>
        <w:ind w:left="442"/>
      </w:pPr>
      <w:bookmarkStart w:name="_bookmark0" w:id="1"/>
      <w:bookmarkEnd w:id="1"/>
      <w:r>
        <w:rPr>
          <w:b w:val="0"/>
        </w:rPr>
      </w:r>
      <w:r>
        <w:rPr/>
        <w:t>CAPÍTULO</w:t>
      </w:r>
      <w:r>
        <w:rPr>
          <w:spacing w:val="1"/>
        </w:rPr>
        <w:t> </w:t>
      </w:r>
      <w:r>
        <w:rPr>
          <w:spacing w:val="-10"/>
        </w:rPr>
        <w:t>I</w:t>
      </w:r>
    </w:p>
    <w:p>
      <w:pPr>
        <w:pStyle w:val="BodyText"/>
        <w:spacing w:before="43"/>
        <w:rPr>
          <w:b/>
        </w:rPr>
      </w:pPr>
    </w:p>
    <w:p>
      <w:pPr>
        <w:pStyle w:val="Heading2"/>
        <w:numPr>
          <w:ilvl w:val="1"/>
          <w:numId w:val="8"/>
        </w:numPr>
        <w:tabs>
          <w:tab w:pos="1426" w:val="left" w:leader="none"/>
        </w:tabs>
        <w:spacing w:line="240" w:lineRule="auto" w:before="0" w:after="0"/>
        <w:ind w:left="1426" w:right="0" w:hanging="432"/>
        <w:jc w:val="left"/>
      </w:pPr>
      <w:bookmarkStart w:name="_bookmark1" w:id="2"/>
      <w:bookmarkEnd w:id="2"/>
      <w:r>
        <w:rPr>
          <w:b w:val="0"/>
        </w:rPr>
      </w:r>
      <w:r>
        <w:rPr>
          <w:spacing w:val="-2"/>
        </w:rPr>
        <w:t>INTRODUCCIÓN</w:t>
      </w:r>
    </w:p>
    <w:p>
      <w:pPr>
        <w:pStyle w:val="BodyText"/>
        <w:spacing w:before="104"/>
        <w:rPr>
          <w:b/>
        </w:rPr>
      </w:pPr>
    </w:p>
    <w:p>
      <w:pPr>
        <w:pStyle w:val="BodyText"/>
        <w:spacing w:line="360" w:lineRule="auto"/>
        <w:ind w:left="994" w:right="699"/>
        <w:jc w:val="both"/>
      </w:pPr>
      <w:r>
        <w:rPr/>
        <w:t>Las infecciones bacterianas de la piel en caninos, conocidas de manera habitual como</w:t>
      </w:r>
      <w:r>
        <w:rPr>
          <w:spacing w:val="-4"/>
        </w:rPr>
        <w:t> </w:t>
      </w:r>
      <w:r>
        <w:rPr/>
        <w:t>piodermas,</w:t>
      </w:r>
      <w:r>
        <w:rPr>
          <w:spacing w:val="-4"/>
        </w:rPr>
        <w:t> </w:t>
      </w:r>
      <w:r>
        <w:rPr/>
        <w:t>representan</w:t>
      </w:r>
      <w:r>
        <w:rPr>
          <w:spacing w:val="-4"/>
        </w:rPr>
        <w:t> </w:t>
      </w:r>
      <w:r>
        <w:rPr/>
        <w:t>una</w:t>
      </w:r>
      <w:r>
        <w:rPr>
          <w:spacing w:val="-3"/>
        </w:rPr>
        <w:t> </w:t>
      </w:r>
      <w:r>
        <w:rPr/>
        <w:t>causa</w:t>
      </w:r>
      <w:r>
        <w:rPr>
          <w:spacing w:val="-3"/>
        </w:rPr>
        <w:t> </w:t>
      </w:r>
      <w:r>
        <w:rPr/>
        <w:t>común</w:t>
      </w:r>
      <w:r>
        <w:rPr>
          <w:spacing w:val="-4"/>
        </w:rPr>
        <w:t> </w:t>
      </w:r>
      <w:r>
        <w:rPr/>
        <w:t>de</w:t>
      </w:r>
      <w:r>
        <w:rPr>
          <w:spacing w:val="-3"/>
        </w:rPr>
        <w:t> </w:t>
      </w:r>
      <w:r>
        <w:rPr/>
        <w:t>consulta</w:t>
      </w:r>
      <w:r>
        <w:rPr>
          <w:spacing w:val="-3"/>
        </w:rPr>
        <w:t> </w:t>
      </w:r>
      <w:r>
        <w:rPr/>
        <w:t>veterinaria</w:t>
      </w:r>
      <w:r>
        <w:rPr>
          <w:spacing w:val="-3"/>
        </w:rPr>
        <w:t> </w:t>
      </w:r>
      <w:r>
        <w:rPr/>
        <w:t>y</w:t>
      </w:r>
      <w:r>
        <w:rPr>
          <w:spacing w:val="-4"/>
        </w:rPr>
        <w:t> </w:t>
      </w:r>
      <w:r>
        <w:rPr/>
        <w:t>afectan</w:t>
      </w:r>
      <w:r>
        <w:rPr>
          <w:spacing w:val="-4"/>
        </w:rPr>
        <w:t> </w:t>
      </w:r>
      <w:r>
        <w:rPr/>
        <w:t>el bienestar</w:t>
      </w:r>
      <w:r>
        <w:rPr>
          <w:spacing w:val="-5"/>
        </w:rPr>
        <w:t> </w:t>
      </w:r>
      <w:r>
        <w:rPr/>
        <w:t>del</w:t>
      </w:r>
      <w:r>
        <w:rPr>
          <w:spacing w:val="-5"/>
        </w:rPr>
        <w:t> </w:t>
      </w:r>
      <w:r>
        <w:rPr/>
        <w:t>animal</w:t>
      </w:r>
      <w:r>
        <w:rPr>
          <w:spacing w:val="-5"/>
        </w:rPr>
        <w:t> </w:t>
      </w:r>
      <w:r>
        <w:rPr/>
        <w:t>(Pereira</w:t>
      </w:r>
      <w:r>
        <w:rPr>
          <w:spacing w:val="-4"/>
        </w:rPr>
        <w:t> </w:t>
      </w:r>
      <w:r>
        <w:rPr/>
        <w:t>et</w:t>
      </w:r>
      <w:r>
        <w:rPr>
          <w:spacing w:val="-5"/>
        </w:rPr>
        <w:t> </w:t>
      </w:r>
      <w:r>
        <w:rPr/>
        <w:t>al.,</w:t>
      </w:r>
      <w:r>
        <w:rPr>
          <w:spacing w:val="-6"/>
        </w:rPr>
        <w:t> </w:t>
      </w:r>
      <w:r>
        <w:rPr/>
        <w:t>2021).</w:t>
      </w:r>
      <w:r>
        <w:rPr>
          <w:spacing w:val="-5"/>
        </w:rPr>
        <w:t> </w:t>
      </w:r>
      <w:r>
        <w:rPr/>
        <w:t>Estas</w:t>
      </w:r>
      <w:r>
        <w:rPr>
          <w:spacing w:val="-7"/>
        </w:rPr>
        <w:t> </w:t>
      </w:r>
      <w:r>
        <w:rPr/>
        <w:t>lesiones</w:t>
      </w:r>
      <w:r>
        <w:rPr>
          <w:spacing w:val="-7"/>
        </w:rPr>
        <w:t> </w:t>
      </w:r>
      <w:r>
        <w:rPr/>
        <w:t>pueden</w:t>
      </w:r>
      <w:r>
        <w:rPr>
          <w:spacing w:val="-6"/>
        </w:rPr>
        <w:t> </w:t>
      </w:r>
      <w:r>
        <w:rPr/>
        <w:t>aparecer</w:t>
      </w:r>
      <w:r>
        <w:rPr>
          <w:spacing w:val="-5"/>
        </w:rPr>
        <w:t> </w:t>
      </w:r>
      <w:r>
        <w:rPr/>
        <w:t>en</w:t>
      </w:r>
      <w:r>
        <w:rPr>
          <w:spacing w:val="-6"/>
        </w:rPr>
        <w:t> </w:t>
      </w:r>
      <w:r>
        <w:rPr/>
        <w:t>forma superficial, profunda o mucocutánea, con signos como pústulas, collaretes epidérmicos, nódulos o pérdida constante de pelo. Durante años, el tratamiento se ha apoyado en antibióticos de amplio espectro. A pesar de ello, su aplicación desprovista de una adecuada supervisión propició la proliferación de microbios resistentes. Entre ellos destaca el Staphylococcus aureus resistente a meticilina (MRSA), un dilema que concierne a la salud de las bestias y al bienestar humano (Vuong et al., 2020; OMS, 2021).</w:t>
      </w:r>
    </w:p>
    <w:p>
      <w:pPr>
        <w:pStyle w:val="BodyText"/>
        <w:spacing w:line="360" w:lineRule="auto" w:before="162"/>
        <w:ind w:left="994" w:right="697"/>
        <w:jc w:val="both"/>
      </w:pPr>
      <w:r>
        <w:rPr/>
        <w:t>La Organización Mundial de la Salud ha categorizado la resistencia a los antimicrobianos como una de las aflicciones sanitarias de mayor trascendencia en el presente siglo. Los informes más recientes revelan que numerosas infecciones que aquejan a individuos y bestias vinculan anualmente con agentes patógenos inmunes a los antibióticos, elevando de este modo los gastos, extendiendo los periodos</w:t>
      </w:r>
      <w:r>
        <w:rPr>
          <w:spacing w:val="-3"/>
        </w:rPr>
        <w:t> </w:t>
      </w:r>
      <w:r>
        <w:rPr/>
        <w:t>de</w:t>
      </w:r>
      <w:r>
        <w:rPr>
          <w:spacing w:val="-1"/>
        </w:rPr>
        <w:t> </w:t>
      </w:r>
      <w:r>
        <w:rPr/>
        <w:t>cuidado</w:t>
      </w:r>
      <w:r>
        <w:rPr>
          <w:spacing w:val="-1"/>
        </w:rPr>
        <w:t> </w:t>
      </w:r>
      <w:r>
        <w:rPr/>
        <w:t>médico</w:t>
      </w:r>
      <w:r>
        <w:rPr>
          <w:spacing w:val="-1"/>
        </w:rPr>
        <w:t> </w:t>
      </w:r>
      <w:r>
        <w:rPr/>
        <w:t>y</w:t>
      </w:r>
      <w:r>
        <w:rPr>
          <w:spacing w:val="-1"/>
        </w:rPr>
        <w:t> </w:t>
      </w:r>
      <w:r>
        <w:rPr/>
        <w:t>agudizando</w:t>
      </w:r>
      <w:r>
        <w:rPr>
          <w:spacing w:val="-6"/>
        </w:rPr>
        <w:t> </w:t>
      </w:r>
      <w:r>
        <w:rPr/>
        <w:t>el</w:t>
      </w:r>
      <w:r>
        <w:rPr>
          <w:spacing w:val="-1"/>
        </w:rPr>
        <w:t> </w:t>
      </w:r>
      <w:r>
        <w:rPr/>
        <w:t>peligro</w:t>
      </w:r>
      <w:r>
        <w:rPr>
          <w:spacing w:val="-1"/>
        </w:rPr>
        <w:t> </w:t>
      </w:r>
      <w:r>
        <w:rPr/>
        <w:t>de</w:t>
      </w:r>
      <w:r>
        <w:rPr>
          <w:spacing w:val="-1"/>
        </w:rPr>
        <w:t> </w:t>
      </w:r>
      <w:r>
        <w:rPr/>
        <w:t>fatalidad</w:t>
      </w:r>
      <w:r>
        <w:rPr>
          <w:spacing w:val="-1"/>
        </w:rPr>
        <w:t> </w:t>
      </w:r>
      <w:r>
        <w:rPr/>
        <w:t>(OMS,</w:t>
      </w:r>
      <w:r>
        <w:rPr>
          <w:spacing w:val="-1"/>
        </w:rPr>
        <w:t> </w:t>
      </w:r>
      <w:r>
        <w:rPr/>
        <w:t>2021).</w:t>
      </w:r>
      <w:r>
        <w:rPr>
          <w:spacing w:val="-1"/>
        </w:rPr>
        <w:t> </w:t>
      </w:r>
      <w:r>
        <w:rPr/>
        <w:t>La convivencia cercana entre animales de compañía y seres humanos también puede facilitar</w:t>
      </w:r>
      <w:r>
        <w:rPr>
          <w:spacing w:val="-7"/>
        </w:rPr>
        <w:t> </w:t>
      </w:r>
      <w:r>
        <w:rPr/>
        <w:t>la</w:t>
      </w:r>
      <w:r>
        <w:rPr>
          <w:spacing w:val="-6"/>
        </w:rPr>
        <w:t> </w:t>
      </w:r>
      <w:r>
        <w:rPr/>
        <w:t>transmisión</w:t>
      </w:r>
      <w:r>
        <w:rPr>
          <w:spacing w:val="-8"/>
        </w:rPr>
        <w:t> </w:t>
      </w:r>
      <w:r>
        <w:rPr/>
        <w:t>zoonótica</w:t>
      </w:r>
      <w:r>
        <w:rPr>
          <w:spacing w:val="-2"/>
        </w:rPr>
        <w:t> </w:t>
      </w:r>
      <w:r>
        <w:rPr/>
        <w:t>de</w:t>
      </w:r>
      <w:r>
        <w:rPr>
          <w:spacing w:val="-2"/>
        </w:rPr>
        <w:t> </w:t>
      </w:r>
      <w:r>
        <w:rPr/>
        <w:t>cepas</w:t>
      </w:r>
      <w:r>
        <w:rPr>
          <w:spacing w:val="-5"/>
        </w:rPr>
        <w:t> </w:t>
      </w:r>
      <w:r>
        <w:rPr/>
        <w:t>multirresistentes</w:t>
      </w:r>
      <w:r>
        <w:rPr>
          <w:spacing w:val="-5"/>
        </w:rPr>
        <w:t> </w:t>
      </w:r>
      <w:r>
        <w:rPr/>
        <w:t>como</w:t>
      </w:r>
      <w:r>
        <w:rPr>
          <w:spacing w:val="-3"/>
        </w:rPr>
        <w:t> </w:t>
      </w:r>
      <w:r>
        <w:rPr/>
        <w:t>MRSA</w:t>
      </w:r>
      <w:r>
        <w:rPr>
          <w:spacing w:val="-5"/>
        </w:rPr>
        <w:t> </w:t>
      </w:r>
      <w:r>
        <w:rPr/>
        <w:t>(Loeffler &amp; Lloyd, 2022). Por ello, a nivel mundial se impulsan alternativas para reducir el uso excesivo de antibióticos en animales, siguiendo el enfoque de Una sola salud, donde se conectan la salud humana, animal y ambiental (WHO, 2021).</w:t>
      </w:r>
    </w:p>
    <w:p>
      <w:pPr>
        <w:pStyle w:val="BodyText"/>
        <w:spacing w:line="360" w:lineRule="auto" w:before="163"/>
        <w:ind w:left="994" w:right="711"/>
        <w:jc w:val="both"/>
      </w:pPr>
      <w:r>
        <w:rPr/>
        <w:t>En</w:t>
      </w:r>
      <w:r>
        <w:rPr>
          <w:spacing w:val="-15"/>
        </w:rPr>
        <w:t> </w:t>
      </w:r>
      <w:r>
        <w:rPr/>
        <w:t>América</w:t>
      </w:r>
      <w:r>
        <w:rPr>
          <w:spacing w:val="-15"/>
        </w:rPr>
        <w:t> </w:t>
      </w:r>
      <w:r>
        <w:rPr/>
        <w:t>Latina,</w:t>
      </w:r>
      <w:r>
        <w:rPr>
          <w:spacing w:val="-15"/>
        </w:rPr>
        <w:t> </w:t>
      </w:r>
      <w:r>
        <w:rPr/>
        <w:t>los</w:t>
      </w:r>
      <w:r>
        <w:rPr>
          <w:spacing w:val="-15"/>
        </w:rPr>
        <w:t> </w:t>
      </w:r>
      <w:r>
        <w:rPr/>
        <w:t>datos</w:t>
      </w:r>
      <w:r>
        <w:rPr>
          <w:spacing w:val="-15"/>
        </w:rPr>
        <w:t> </w:t>
      </w:r>
      <w:r>
        <w:rPr/>
        <w:t>sobre</w:t>
      </w:r>
      <w:r>
        <w:rPr>
          <w:spacing w:val="-15"/>
        </w:rPr>
        <w:t> </w:t>
      </w:r>
      <w:r>
        <w:rPr/>
        <w:t>la</w:t>
      </w:r>
      <w:r>
        <w:rPr>
          <w:spacing w:val="-15"/>
        </w:rPr>
        <w:t> </w:t>
      </w:r>
      <w:r>
        <w:rPr/>
        <w:t>presencia</w:t>
      </w:r>
      <w:r>
        <w:rPr>
          <w:spacing w:val="-14"/>
        </w:rPr>
        <w:t> </w:t>
      </w:r>
      <w:r>
        <w:rPr/>
        <w:t>de</w:t>
      </w:r>
      <w:r>
        <w:rPr>
          <w:spacing w:val="-14"/>
        </w:rPr>
        <w:t> </w:t>
      </w:r>
      <w:r>
        <w:rPr/>
        <w:t>MRSA</w:t>
      </w:r>
      <w:r>
        <w:rPr>
          <w:spacing w:val="-15"/>
        </w:rPr>
        <w:t> </w:t>
      </w:r>
      <w:r>
        <w:rPr/>
        <w:t>en</w:t>
      </w:r>
      <w:r>
        <w:rPr>
          <w:spacing w:val="-14"/>
        </w:rPr>
        <w:t> </w:t>
      </w:r>
      <w:r>
        <w:rPr/>
        <w:t>animales</w:t>
      </w:r>
      <w:r>
        <w:rPr>
          <w:spacing w:val="-15"/>
        </w:rPr>
        <w:t> </w:t>
      </w:r>
      <w:r>
        <w:rPr/>
        <w:t>de</w:t>
      </w:r>
      <w:r>
        <w:rPr>
          <w:spacing w:val="-14"/>
        </w:rPr>
        <w:t> </w:t>
      </w:r>
      <w:r>
        <w:rPr/>
        <w:t>compañía todavía son reducidos. Aun así, la información disponible permite observar un aumento de infecciones cutáneas resistentes. Este problema se vincula con el uso inadecuado</w:t>
      </w:r>
      <w:r>
        <w:rPr>
          <w:spacing w:val="-15"/>
        </w:rPr>
        <w:t> </w:t>
      </w:r>
      <w:r>
        <w:rPr/>
        <w:t>de</w:t>
      </w:r>
      <w:r>
        <w:rPr>
          <w:spacing w:val="-13"/>
        </w:rPr>
        <w:t> </w:t>
      </w:r>
      <w:r>
        <w:rPr/>
        <w:t>antibióticos</w:t>
      </w:r>
      <w:r>
        <w:rPr>
          <w:spacing w:val="-15"/>
        </w:rPr>
        <w:t> </w:t>
      </w:r>
      <w:r>
        <w:rPr/>
        <w:t>y</w:t>
      </w:r>
      <w:r>
        <w:rPr>
          <w:spacing w:val="-14"/>
        </w:rPr>
        <w:t> </w:t>
      </w:r>
      <w:r>
        <w:rPr/>
        <w:t>con</w:t>
      </w:r>
      <w:r>
        <w:rPr>
          <w:spacing w:val="-14"/>
        </w:rPr>
        <w:t> </w:t>
      </w:r>
      <w:r>
        <w:rPr/>
        <w:t>la</w:t>
      </w:r>
      <w:r>
        <w:rPr>
          <w:spacing w:val="-13"/>
        </w:rPr>
        <w:t> </w:t>
      </w:r>
      <w:r>
        <w:rPr/>
        <w:t>falta</w:t>
      </w:r>
      <w:r>
        <w:rPr>
          <w:spacing w:val="-13"/>
        </w:rPr>
        <w:t> </w:t>
      </w:r>
      <w:r>
        <w:rPr/>
        <w:t>de</w:t>
      </w:r>
      <w:r>
        <w:rPr>
          <w:spacing w:val="-15"/>
        </w:rPr>
        <w:t> </w:t>
      </w:r>
      <w:r>
        <w:rPr/>
        <w:t>protocolos</w:t>
      </w:r>
      <w:r>
        <w:rPr>
          <w:spacing w:val="-15"/>
        </w:rPr>
        <w:t> </w:t>
      </w:r>
      <w:r>
        <w:rPr/>
        <w:t>definidos</w:t>
      </w:r>
      <w:r>
        <w:rPr>
          <w:spacing w:val="-15"/>
        </w:rPr>
        <w:t> </w:t>
      </w:r>
      <w:r>
        <w:rPr/>
        <w:t>para</w:t>
      </w:r>
      <w:r>
        <w:rPr>
          <w:spacing w:val="-13"/>
        </w:rPr>
        <w:t> </w:t>
      </w:r>
      <w:r>
        <w:rPr/>
        <w:t>el</w:t>
      </w:r>
      <w:r>
        <w:rPr>
          <w:spacing w:val="-13"/>
        </w:rPr>
        <w:t> </w:t>
      </w:r>
      <w:r>
        <w:rPr/>
        <w:t>diagnóstico y el tratamiento oportuno (Andrade et al., 2022).</w:t>
      </w:r>
    </w:p>
    <w:p>
      <w:pPr>
        <w:pStyle w:val="BodyText"/>
        <w:spacing w:after="0" w:line="360" w:lineRule="auto"/>
        <w:jc w:val="both"/>
        <w:sectPr>
          <w:pgSz w:w="11900" w:h="16840"/>
          <w:pgMar w:top="1640" w:bottom="280" w:left="1275" w:right="992"/>
        </w:sectPr>
      </w:pPr>
    </w:p>
    <w:p>
      <w:pPr>
        <w:pStyle w:val="BodyText"/>
        <w:spacing w:line="360" w:lineRule="auto" w:before="60"/>
        <w:ind w:left="994" w:right="708"/>
        <w:jc w:val="both"/>
      </w:pPr>
      <w:r>
        <w:rPr/>
        <w:t>En las clínicas veterinarias del Ecuador se observan casos de piodermas que reaparecen</w:t>
      </w:r>
      <w:r>
        <w:rPr>
          <w:spacing w:val="-13"/>
        </w:rPr>
        <w:t> </w:t>
      </w:r>
      <w:r>
        <w:rPr/>
        <w:t>o</w:t>
      </w:r>
      <w:r>
        <w:rPr>
          <w:spacing w:val="-11"/>
        </w:rPr>
        <w:t> </w:t>
      </w:r>
      <w:r>
        <w:rPr/>
        <w:t>que</w:t>
      </w:r>
      <w:r>
        <w:rPr>
          <w:spacing w:val="-10"/>
        </w:rPr>
        <w:t> </w:t>
      </w:r>
      <w:r>
        <w:rPr/>
        <w:t>no</w:t>
      </w:r>
      <w:r>
        <w:rPr>
          <w:spacing w:val="-11"/>
        </w:rPr>
        <w:t> </w:t>
      </w:r>
      <w:r>
        <w:rPr/>
        <w:t>responden</w:t>
      </w:r>
      <w:r>
        <w:rPr>
          <w:spacing w:val="-11"/>
        </w:rPr>
        <w:t> </w:t>
      </w:r>
      <w:r>
        <w:rPr/>
        <w:t>bien</w:t>
      </w:r>
      <w:r>
        <w:rPr>
          <w:spacing w:val="-15"/>
        </w:rPr>
        <w:t> </w:t>
      </w:r>
      <w:r>
        <w:rPr/>
        <w:t>a</w:t>
      </w:r>
      <w:r>
        <w:rPr>
          <w:spacing w:val="-10"/>
        </w:rPr>
        <w:t> </w:t>
      </w:r>
      <w:r>
        <w:rPr/>
        <w:t>los</w:t>
      </w:r>
      <w:r>
        <w:rPr>
          <w:spacing w:val="-13"/>
        </w:rPr>
        <w:t> </w:t>
      </w:r>
      <w:r>
        <w:rPr/>
        <w:t>tratamientos</w:t>
      </w:r>
      <w:r>
        <w:rPr>
          <w:spacing w:val="-15"/>
        </w:rPr>
        <w:t> </w:t>
      </w:r>
      <w:r>
        <w:rPr/>
        <w:t>comunes.</w:t>
      </w:r>
      <w:r>
        <w:rPr>
          <w:spacing w:val="-11"/>
        </w:rPr>
        <w:t> </w:t>
      </w:r>
      <w:r>
        <w:rPr/>
        <w:t>Esta</w:t>
      </w:r>
      <w:r>
        <w:rPr>
          <w:spacing w:val="-10"/>
        </w:rPr>
        <w:t> </w:t>
      </w:r>
      <w:r>
        <w:rPr/>
        <w:t>situación</w:t>
      </w:r>
      <w:r>
        <w:rPr>
          <w:spacing w:val="-11"/>
        </w:rPr>
        <w:t> </w:t>
      </w:r>
      <w:r>
        <w:rPr/>
        <w:t>deja ver la necesidad de revisar las pautas terapéuticas usadas en la práctica diaria. También muestra la importancia de estudiar nuevos compuestos, siempre que presenten seguridad y una acción antibacteriana comprobable.</w:t>
      </w:r>
    </w:p>
    <w:p>
      <w:pPr>
        <w:pStyle w:val="BodyText"/>
        <w:spacing w:line="360" w:lineRule="auto" w:before="163"/>
        <w:ind w:left="994" w:right="698"/>
        <w:jc w:val="both"/>
      </w:pPr>
      <w:r>
        <w:rPr/>
        <w:t>Cuando no se cuenta con pruebas microbiológicas y el tratamiento se decide solo por</w:t>
      </w:r>
      <w:r>
        <w:rPr>
          <w:spacing w:val="-1"/>
        </w:rPr>
        <w:t> </w:t>
      </w:r>
      <w:r>
        <w:rPr/>
        <w:t>criterio</w:t>
      </w:r>
      <w:r>
        <w:rPr>
          <w:spacing w:val="-1"/>
        </w:rPr>
        <w:t> </w:t>
      </w:r>
      <w:r>
        <w:rPr/>
        <w:t>empírico,</w:t>
      </w:r>
      <w:r>
        <w:rPr>
          <w:spacing w:val="-1"/>
        </w:rPr>
        <w:t> </w:t>
      </w:r>
      <w:r>
        <w:rPr/>
        <w:t>aumenta el</w:t>
      </w:r>
      <w:r>
        <w:rPr>
          <w:spacing w:val="-3"/>
        </w:rPr>
        <w:t> </w:t>
      </w:r>
      <w:r>
        <w:rPr/>
        <w:t>riesgo</w:t>
      </w:r>
      <w:r>
        <w:rPr>
          <w:spacing w:val="-1"/>
        </w:rPr>
        <w:t> </w:t>
      </w:r>
      <w:r>
        <w:rPr/>
        <w:t>de fallos</w:t>
      </w:r>
      <w:r>
        <w:rPr>
          <w:spacing w:val="-2"/>
        </w:rPr>
        <w:t> </w:t>
      </w:r>
      <w:r>
        <w:rPr/>
        <w:t>terapéuticos</w:t>
      </w:r>
      <w:r>
        <w:rPr>
          <w:spacing w:val="-2"/>
        </w:rPr>
        <w:t> </w:t>
      </w:r>
      <w:r>
        <w:rPr/>
        <w:t>y</w:t>
      </w:r>
      <w:r>
        <w:rPr>
          <w:spacing w:val="-1"/>
        </w:rPr>
        <w:t> </w:t>
      </w:r>
      <w:r>
        <w:rPr/>
        <w:t>de resistencia. Por consiguiente el entorno cercano precisa soluciones asequibles prácticas y que se alinean con la legislación vigente. Bajo ese panorama emergen</w:t>
      </w:r>
      <w:r>
        <w:rPr>
          <w:spacing w:val="-3"/>
        </w:rPr>
        <w:t> </w:t>
      </w:r>
      <w:r>
        <w:rPr/>
        <w:t>la falta de estudios con fundamentos científicos sólidos para sopesar diferentes vías en la práctica veterinaria de la región.</w:t>
      </w:r>
    </w:p>
    <w:p>
      <w:pPr>
        <w:pStyle w:val="BodyText"/>
        <w:spacing w:line="360" w:lineRule="auto" w:before="165"/>
        <w:ind w:left="994" w:right="701"/>
        <w:jc w:val="both"/>
      </w:pPr>
      <w:r>
        <w:rPr/>
        <w:t>El</w:t>
      </w:r>
      <w:r>
        <w:rPr>
          <w:spacing w:val="-7"/>
        </w:rPr>
        <w:t> </w:t>
      </w:r>
      <w:r>
        <w:rPr/>
        <w:t>cannabidiol</w:t>
      </w:r>
      <w:r>
        <w:rPr>
          <w:spacing w:val="-7"/>
        </w:rPr>
        <w:t> </w:t>
      </w:r>
      <w:r>
        <w:rPr/>
        <w:t>(CBD)</w:t>
      </w:r>
      <w:r>
        <w:rPr>
          <w:spacing w:val="-7"/>
        </w:rPr>
        <w:t> </w:t>
      </w:r>
      <w:r>
        <w:rPr/>
        <w:t>derivado</w:t>
      </w:r>
      <w:r>
        <w:rPr>
          <w:spacing w:val="-8"/>
        </w:rPr>
        <w:t> </w:t>
      </w:r>
      <w:r>
        <w:rPr/>
        <w:t>de</w:t>
      </w:r>
      <w:r>
        <w:rPr>
          <w:spacing w:val="-6"/>
        </w:rPr>
        <w:t> </w:t>
      </w:r>
      <w:r>
        <w:rPr/>
        <w:t>la</w:t>
      </w:r>
      <w:r>
        <w:rPr>
          <w:spacing w:val="-6"/>
        </w:rPr>
        <w:t> </w:t>
      </w:r>
      <w:r>
        <w:rPr/>
        <w:t>planta</w:t>
      </w:r>
      <w:r>
        <w:rPr>
          <w:spacing w:val="-6"/>
        </w:rPr>
        <w:t> </w:t>
      </w:r>
      <w:r>
        <w:rPr/>
        <w:t>Cannabis</w:t>
      </w:r>
      <w:r>
        <w:rPr>
          <w:spacing w:val="-9"/>
        </w:rPr>
        <w:t> </w:t>
      </w:r>
      <w:r>
        <w:rPr/>
        <w:t>sativa</w:t>
      </w:r>
      <w:r>
        <w:rPr>
          <w:spacing w:val="-6"/>
        </w:rPr>
        <w:t> </w:t>
      </w:r>
      <w:r>
        <w:rPr/>
        <w:t>ha</w:t>
      </w:r>
      <w:r>
        <w:rPr>
          <w:spacing w:val="-6"/>
        </w:rPr>
        <w:t> </w:t>
      </w:r>
      <w:r>
        <w:rPr/>
        <w:t>llamado</w:t>
      </w:r>
      <w:r>
        <w:rPr>
          <w:spacing w:val="-8"/>
        </w:rPr>
        <w:t> </w:t>
      </w:r>
      <w:r>
        <w:rPr/>
        <w:t>la</w:t>
      </w:r>
      <w:r>
        <w:rPr>
          <w:spacing w:val="-6"/>
        </w:rPr>
        <w:t> </w:t>
      </w:r>
      <w:r>
        <w:rPr/>
        <w:t>atención para</w:t>
      </w:r>
      <w:r>
        <w:rPr>
          <w:spacing w:val="-15"/>
        </w:rPr>
        <w:t> </w:t>
      </w:r>
      <w:r>
        <w:rPr/>
        <w:t>terapias</w:t>
      </w:r>
      <w:r>
        <w:rPr>
          <w:spacing w:val="-15"/>
        </w:rPr>
        <w:t> </w:t>
      </w:r>
      <w:r>
        <w:rPr/>
        <w:t>que</w:t>
      </w:r>
      <w:r>
        <w:rPr>
          <w:spacing w:val="-15"/>
        </w:rPr>
        <w:t> </w:t>
      </w:r>
      <w:r>
        <w:rPr/>
        <w:t>combaten</w:t>
      </w:r>
      <w:r>
        <w:rPr>
          <w:spacing w:val="-15"/>
        </w:rPr>
        <w:t> </w:t>
      </w:r>
      <w:r>
        <w:rPr/>
        <w:t>microorganismos.</w:t>
      </w:r>
      <w:r>
        <w:rPr>
          <w:spacing w:val="-15"/>
        </w:rPr>
        <w:t> </w:t>
      </w:r>
      <w:r>
        <w:rPr/>
        <w:t>Al</w:t>
      </w:r>
      <w:r>
        <w:rPr>
          <w:spacing w:val="-15"/>
        </w:rPr>
        <w:t> </w:t>
      </w:r>
      <w:r>
        <w:rPr/>
        <w:t>contrario</w:t>
      </w:r>
      <w:r>
        <w:rPr>
          <w:spacing w:val="-15"/>
        </w:rPr>
        <w:t> </w:t>
      </w:r>
      <w:r>
        <w:rPr/>
        <w:t>del</w:t>
      </w:r>
      <w:r>
        <w:rPr>
          <w:spacing w:val="-15"/>
        </w:rPr>
        <w:t> </w:t>
      </w:r>
      <w:r>
        <w:rPr/>
        <w:t>tetrahidrocannabinol (THC)</w:t>
      </w:r>
      <w:r>
        <w:rPr>
          <w:spacing w:val="-4"/>
        </w:rPr>
        <w:t> </w:t>
      </w:r>
      <w:r>
        <w:rPr/>
        <w:t>no</w:t>
      </w:r>
      <w:r>
        <w:rPr>
          <w:spacing w:val="-4"/>
        </w:rPr>
        <w:t> </w:t>
      </w:r>
      <w:r>
        <w:rPr/>
        <w:t>genera</w:t>
      </w:r>
      <w:r>
        <w:rPr>
          <w:spacing w:val="-6"/>
        </w:rPr>
        <w:t> </w:t>
      </w:r>
      <w:r>
        <w:rPr/>
        <w:t>efectos</w:t>
      </w:r>
      <w:r>
        <w:rPr>
          <w:spacing w:val="-5"/>
        </w:rPr>
        <w:t> </w:t>
      </w:r>
      <w:r>
        <w:rPr/>
        <w:t>alterados</w:t>
      </w:r>
      <w:r>
        <w:rPr>
          <w:spacing w:val="-5"/>
        </w:rPr>
        <w:t> </w:t>
      </w:r>
      <w:r>
        <w:rPr/>
        <w:t>sobre</w:t>
      </w:r>
      <w:r>
        <w:rPr>
          <w:spacing w:val="-6"/>
        </w:rPr>
        <w:t> </w:t>
      </w:r>
      <w:r>
        <w:rPr/>
        <w:t>la</w:t>
      </w:r>
      <w:r>
        <w:rPr>
          <w:spacing w:val="-3"/>
        </w:rPr>
        <w:t> </w:t>
      </w:r>
      <w:r>
        <w:rPr/>
        <w:t>conciencia</w:t>
      </w:r>
      <w:r>
        <w:rPr>
          <w:spacing w:val="-6"/>
        </w:rPr>
        <w:t> </w:t>
      </w:r>
      <w:r>
        <w:rPr/>
        <w:t>y</w:t>
      </w:r>
      <w:r>
        <w:rPr>
          <w:spacing w:val="-4"/>
        </w:rPr>
        <w:t> </w:t>
      </w:r>
      <w:r>
        <w:rPr/>
        <w:t>se</w:t>
      </w:r>
      <w:r>
        <w:rPr>
          <w:spacing w:val="-6"/>
        </w:rPr>
        <w:t> </w:t>
      </w:r>
      <w:r>
        <w:rPr/>
        <w:t>le</w:t>
      </w:r>
      <w:r>
        <w:rPr>
          <w:spacing w:val="-6"/>
        </w:rPr>
        <w:t> </w:t>
      </w:r>
      <w:r>
        <w:rPr/>
        <w:t>relaciona</w:t>
      </w:r>
      <w:r>
        <w:rPr>
          <w:spacing w:val="-6"/>
        </w:rPr>
        <w:t> </w:t>
      </w:r>
      <w:r>
        <w:rPr/>
        <w:t>con</w:t>
      </w:r>
      <w:r>
        <w:rPr>
          <w:spacing w:val="-8"/>
        </w:rPr>
        <w:t> </w:t>
      </w:r>
      <w:r>
        <w:rPr/>
        <w:t>efectos reductores de inflamación, reguladores del sistema inmune y contra bacterias (Blaskovich et al., 2021). La evidencia reciente indica que el CBD puede actuar contra bacterias</w:t>
      </w:r>
      <w:r>
        <w:rPr>
          <w:spacing w:val="-1"/>
        </w:rPr>
        <w:t> </w:t>
      </w:r>
      <w:r>
        <w:rPr/>
        <w:t>Gram positivas,</w:t>
      </w:r>
      <w:r>
        <w:rPr>
          <w:spacing w:val="-3"/>
        </w:rPr>
        <w:t> </w:t>
      </w:r>
      <w:r>
        <w:rPr/>
        <w:t>incluidas</w:t>
      </w:r>
      <w:r>
        <w:rPr>
          <w:spacing w:val="-5"/>
        </w:rPr>
        <w:t> </w:t>
      </w:r>
      <w:r>
        <w:rPr/>
        <w:t>cepas</w:t>
      </w:r>
      <w:r>
        <w:rPr>
          <w:spacing w:val="-1"/>
        </w:rPr>
        <w:t> </w:t>
      </w:r>
      <w:r>
        <w:rPr/>
        <w:t>de</w:t>
      </w:r>
      <w:r>
        <w:rPr>
          <w:spacing w:val="-2"/>
        </w:rPr>
        <w:t> </w:t>
      </w:r>
      <w:r>
        <w:rPr/>
        <w:t>MRSA, al</w:t>
      </w:r>
      <w:r>
        <w:rPr>
          <w:spacing w:val="-2"/>
        </w:rPr>
        <w:t> </w:t>
      </w:r>
      <w:r>
        <w:rPr/>
        <w:t>alterar</w:t>
      </w:r>
      <w:r>
        <w:rPr>
          <w:spacing w:val="-3"/>
        </w:rPr>
        <w:t> </w:t>
      </w:r>
      <w:r>
        <w:rPr/>
        <w:t>la</w:t>
      </w:r>
      <w:r>
        <w:rPr>
          <w:spacing w:val="-2"/>
        </w:rPr>
        <w:t> </w:t>
      </w:r>
      <w:r>
        <w:rPr/>
        <w:t>membrana bacteriana, disminuir biopelículas y modular la respuesta inmune (Pisanu et al., 2020; Wassmann et al., 2020). Además, su baja toxicidad y su posible aplicación tópica o sistémica lo convierten en una alternativa que merece ser estudiada en infecciones cutáneas de animales de compañía (Kogan et al., 2021).</w:t>
      </w:r>
    </w:p>
    <w:p>
      <w:pPr>
        <w:pStyle w:val="BodyText"/>
        <w:spacing w:line="357" w:lineRule="auto" w:before="161"/>
        <w:ind w:left="994" w:right="715"/>
        <w:jc w:val="both"/>
      </w:pPr>
      <w:r>
        <w:rPr/>
        <w:t>El estudio analiza la eficacia del CBD como agente antibacteriano frente a piodermas caninas causadas por MRSA, con la finalidad de aportar evidencia que ayude a valorar su posible uso clínico.</w:t>
      </w:r>
    </w:p>
    <w:p>
      <w:pPr>
        <w:pStyle w:val="BodyText"/>
        <w:spacing w:after="0" w:line="357" w:lineRule="auto"/>
        <w:jc w:val="both"/>
        <w:sectPr>
          <w:pgSz w:w="11900" w:h="16840"/>
          <w:pgMar w:top="1640" w:bottom="280" w:left="1275" w:right="992"/>
        </w:sectPr>
      </w:pPr>
    </w:p>
    <w:p>
      <w:pPr>
        <w:pStyle w:val="Heading2"/>
        <w:numPr>
          <w:ilvl w:val="1"/>
          <w:numId w:val="8"/>
        </w:numPr>
        <w:tabs>
          <w:tab w:pos="1426" w:val="left" w:leader="none"/>
        </w:tabs>
        <w:spacing w:line="240" w:lineRule="auto" w:before="60" w:after="0"/>
        <w:ind w:left="1426" w:right="0" w:hanging="432"/>
        <w:jc w:val="left"/>
      </w:pPr>
      <w:bookmarkStart w:name="_bookmark2" w:id="3"/>
      <w:bookmarkEnd w:id="3"/>
      <w:r>
        <w:rPr>
          <w:b w:val="0"/>
        </w:rPr>
      </w:r>
      <w:r>
        <w:rPr>
          <w:spacing w:val="-2"/>
        </w:rPr>
        <w:t>PROBLEMA</w:t>
      </w:r>
    </w:p>
    <w:p>
      <w:pPr>
        <w:pStyle w:val="BodyText"/>
        <w:spacing w:before="104"/>
        <w:rPr>
          <w:b/>
        </w:rPr>
      </w:pPr>
    </w:p>
    <w:p>
      <w:pPr>
        <w:pStyle w:val="BodyText"/>
        <w:spacing w:line="360" w:lineRule="auto"/>
        <w:ind w:left="994" w:right="690"/>
        <w:jc w:val="both"/>
      </w:pPr>
      <w:r>
        <w:rPr/>
        <w:t>Las piodermas caninas son infecciones bacterianas de la piel que se presentan con frecuencia</w:t>
      </w:r>
      <w:r>
        <w:rPr>
          <w:spacing w:val="-1"/>
        </w:rPr>
        <w:t> </w:t>
      </w:r>
      <w:r>
        <w:rPr/>
        <w:t>en</w:t>
      </w:r>
      <w:r>
        <w:rPr>
          <w:spacing w:val="-2"/>
        </w:rPr>
        <w:t> </w:t>
      </w:r>
      <w:r>
        <w:rPr/>
        <w:t>la</w:t>
      </w:r>
      <w:r>
        <w:rPr>
          <w:spacing w:val="-1"/>
        </w:rPr>
        <w:t> </w:t>
      </w:r>
      <w:r>
        <w:rPr/>
        <w:t>práctica</w:t>
      </w:r>
      <w:r>
        <w:rPr>
          <w:spacing w:val="-1"/>
        </w:rPr>
        <w:t> </w:t>
      </w:r>
      <w:r>
        <w:rPr/>
        <w:t>veterinaria.</w:t>
      </w:r>
      <w:r>
        <w:rPr>
          <w:spacing w:val="-2"/>
        </w:rPr>
        <w:t> </w:t>
      </w:r>
      <w:r>
        <w:rPr/>
        <w:t>Suelen</w:t>
      </w:r>
      <w:r>
        <w:rPr>
          <w:spacing w:val="-2"/>
        </w:rPr>
        <w:t> </w:t>
      </w:r>
      <w:r>
        <w:rPr/>
        <w:t>relacionarse,</w:t>
      </w:r>
      <w:r>
        <w:rPr>
          <w:spacing w:val="-2"/>
        </w:rPr>
        <w:t> </w:t>
      </w:r>
      <w:r>
        <w:rPr/>
        <w:t>sobre</w:t>
      </w:r>
      <w:r>
        <w:rPr>
          <w:spacing w:val="-1"/>
        </w:rPr>
        <w:t> </w:t>
      </w:r>
      <w:r>
        <w:rPr/>
        <w:t>todo,</w:t>
      </w:r>
      <w:r>
        <w:rPr>
          <w:spacing w:val="-2"/>
        </w:rPr>
        <w:t> </w:t>
      </w:r>
      <w:r>
        <w:rPr/>
        <w:t>con</w:t>
      </w:r>
      <w:r>
        <w:rPr>
          <w:spacing w:val="-2"/>
        </w:rPr>
        <w:t> </w:t>
      </w:r>
      <w:r>
        <w:rPr/>
        <w:t>bacterias del</w:t>
      </w:r>
      <w:r>
        <w:rPr>
          <w:spacing w:val="-7"/>
        </w:rPr>
        <w:t> </w:t>
      </w:r>
      <w:r>
        <w:rPr/>
        <w:t>género</w:t>
      </w:r>
      <w:r>
        <w:rPr>
          <w:spacing w:val="-7"/>
        </w:rPr>
        <w:t> </w:t>
      </w:r>
      <w:r>
        <w:rPr/>
        <w:t>Staphylococcus,</w:t>
      </w:r>
      <w:r>
        <w:rPr>
          <w:spacing w:val="-8"/>
        </w:rPr>
        <w:t> </w:t>
      </w:r>
      <w:r>
        <w:rPr/>
        <w:t>entre</w:t>
      </w:r>
      <w:r>
        <w:rPr>
          <w:spacing w:val="-6"/>
        </w:rPr>
        <w:t> </w:t>
      </w:r>
      <w:r>
        <w:rPr/>
        <w:t>ellas</w:t>
      </w:r>
      <w:r>
        <w:rPr>
          <w:spacing w:val="-9"/>
        </w:rPr>
        <w:t> </w:t>
      </w:r>
      <w:r>
        <w:rPr/>
        <w:t>Staphylococcus</w:t>
      </w:r>
      <w:r>
        <w:rPr>
          <w:spacing w:val="-12"/>
        </w:rPr>
        <w:t> </w:t>
      </w:r>
      <w:r>
        <w:rPr/>
        <w:t>aureus.</w:t>
      </w:r>
      <w:r>
        <w:rPr>
          <w:spacing w:val="-8"/>
        </w:rPr>
        <w:t> </w:t>
      </w:r>
      <w:r>
        <w:rPr/>
        <w:t>En</w:t>
      </w:r>
      <w:r>
        <w:rPr>
          <w:spacing w:val="-11"/>
        </w:rPr>
        <w:t> </w:t>
      </w:r>
      <w:r>
        <w:rPr/>
        <w:t>los</w:t>
      </w:r>
      <w:r>
        <w:rPr>
          <w:spacing w:val="-9"/>
        </w:rPr>
        <w:t> </w:t>
      </w:r>
      <w:r>
        <w:rPr/>
        <w:t>últimos</w:t>
      </w:r>
      <w:r>
        <w:rPr>
          <w:spacing w:val="-12"/>
        </w:rPr>
        <w:t> </w:t>
      </w:r>
      <w:r>
        <w:rPr/>
        <w:t>años, esta bacteria ha mostrado resistencia a la meticilina y a otros antibióticos beta- lactámicos, dando origen a cepas multirresistentes conocidas como MRSA. La presencia</w:t>
      </w:r>
      <w:r>
        <w:rPr>
          <w:spacing w:val="-5"/>
        </w:rPr>
        <w:t> </w:t>
      </w:r>
      <w:r>
        <w:rPr/>
        <w:t>de</w:t>
      </w:r>
      <w:r>
        <w:rPr>
          <w:spacing w:val="-5"/>
        </w:rPr>
        <w:t> </w:t>
      </w:r>
      <w:r>
        <w:rPr/>
        <w:t>estas</w:t>
      </w:r>
      <w:r>
        <w:rPr>
          <w:spacing w:val="-8"/>
        </w:rPr>
        <w:t> </w:t>
      </w:r>
      <w:r>
        <w:rPr/>
        <w:t>cepas</w:t>
      </w:r>
      <w:r>
        <w:rPr>
          <w:spacing w:val="-8"/>
        </w:rPr>
        <w:t> </w:t>
      </w:r>
      <w:r>
        <w:rPr/>
        <w:t>dificulta</w:t>
      </w:r>
      <w:r>
        <w:rPr>
          <w:spacing w:val="-5"/>
        </w:rPr>
        <w:t> </w:t>
      </w:r>
      <w:r>
        <w:rPr/>
        <w:t>el</w:t>
      </w:r>
      <w:r>
        <w:rPr>
          <w:spacing w:val="-6"/>
        </w:rPr>
        <w:t> </w:t>
      </w:r>
      <w:r>
        <w:rPr/>
        <w:t>tratamiento</w:t>
      </w:r>
      <w:r>
        <w:rPr>
          <w:spacing w:val="-7"/>
        </w:rPr>
        <w:t> </w:t>
      </w:r>
      <w:r>
        <w:rPr/>
        <w:t>de</w:t>
      </w:r>
      <w:r>
        <w:rPr>
          <w:spacing w:val="-5"/>
        </w:rPr>
        <w:t> </w:t>
      </w:r>
      <w:r>
        <w:rPr/>
        <w:t>las</w:t>
      </w:r>
      <w:r>
        <w:rPr>
          <w:spacing w:val="-8"/>
        </w:rPr>
        <w:t> </w:t>
      </w:r>
      <w:r>
        <w:rPr/>
        <w:t>lesiones</w:t>
      </w:r>
      <w:r>
        <w:rPr>
          <w:spacing w:val="-8"/>
        </w:rPr>
        <w:t> </w:t>
      </w:r>
      <w:r>
        <w:rPr/>
        <w:t>cutáneas,</w:t>
      </w:r>
      <w:r>
        <w:rPr>
          <w:spacing w:val="-7"/>
        </w:rPr>
        <w:t> </w:t>
      </w:r>
      <w:r>
        <w:rPr/>
        <w:t>reduce</w:t>
      </w:r>
      <w:r>
        <w:rPr>
          <w:spacing w:val="-5"/>
        </w:rPr>
        <w:t> </w:t>
      </w:r>
      <w:r>
        <w:rPr/>
        <w:t>las opciones disponibles y aumenta el riesgo de transmisión zoonótica hacia las personas que conviven con los animales.</w:t>
      </w:r>
    </w:p>
    <w:p>
      <w:pPr>
        <w:pStyle w:val="BodyText"/>
        <w:spacing w:line="360" w:lineRule="auto" w:before="161"/>
        <w:ind w:left="994" w:right="716"/>
        <w:jc w:val="both"/>
      </w:pPr>
      <w:r>
        <w:rPr/>
        <w:t>La resistencia antimicrobiana retrasa la recuperación de los pacientes y favorece que las infecciones vuelvan a aparecer. Además, permite que los patógenos resistentes circulen con mayor facilidad dentro de la comunidad (Andrade et al., </w:t>
      </w:r>
      <w:r>
        <w:rPr>
          <w:spacing w:val="-2"/>
        </w:rPr>
        <w:t>2022).</w:t>
      </w:r>
    </w:p>
    <w:p>
      <w:pPr>
        <w:pStyle w:val="BodyText"/>
        <w:spacing w:line="360" w:lineRule="auto" w:before="165"/>
        <w:ind w:left="994" w:right="699"/>
        <w:jc w:val="both"/>
      </w:pPr>
      <w:r>
        <w:rPr/>
        <w:t>Ante esta situación, el cannabidiol (CBD), fitocannabinoide no psicoactivo obtenido de Cannabis sativa, ha sido considerado como un posible agente antibacteriano.</w:t>
      </w:r>
      <w:r>
        <w:rPr>
          <w:spacing w:val="-4"/>
        </w:rPr>
        <w:t> </w:t>
      </w:r>
      <w:r>
        <w:rPr/>
        <w:t>Algunos</w:t>
      </w:r>
      <w:r>
        <w:rPr>
          <w:spacing w:val="-9"/>
        </w:rPr>
        <w:t> </w:t>
      </w:r>
      <w:r>
        <w:rPr/>
        <w:t>estudios</w:t>
      </w:r>
      <w:r>
        <w:rPr>
          <w:spacing w:val="-6"/>
        </w:rPr>
        <w:t> </w:t>
      </w:r>
      <w:r>
        <w:rPr/>
        <w:t>muestran</w:t>
      </w:r>
      <w:r>
        <w:rPr>
          <w:spacing w:val="-8"/>
        </w:rPr>
        <w:t> </w:t>
      </w:r>
      <w:r>
        <w:rPr/>
        <w:t>que</w:t>
      </w:r>
      <w:r>
        <w:rPr>
          <w:spacing w:val="-3"/>
        </w:rPr>
        <w:t> </w:t>
      </w:r>
      <w:r>
        <w:rPr/>
        <w:t>puede</w:t>
      </w:r>
      <w:r>
        <w:rPr>
          <w:spacing w:val="-3"/>
        </w:rPr>
        <w:t> </w:t>
      </w:r>
      <w:r>
        <w:rPr/>
        <w:t>actuar</w:t>
      </w:r>
      <w:r>
        <w:rPr>
          <w:spacing w:val="-7"/>
        </w:rPr>
        <w:t> </w:t>
      </w:r>
      <w:r>
        <w:rPr/>
        <w:t>contra</w:t>
      </w:r>
      <w:r>
        <w:rPr>
          <w:spacing w:val="-3"/>
        </w:rPr>
        <w:t> </w:t>
      </w:r>
      <w:r>
        <w:rPr/>
        <w:t>bacterias</w:t>
      </w:r>
      <w:r>
        <w:rPr>
          <w:spacing w:val="-6"/>
        </w:rPr>
        <w:t> </w:t>
      </w:r>
      <w:r>
        <w:rPr/>
        <w:t>Gram positivas, incluido MRSA, mediante cambios en la membrana bacteriana y reducción de biopelículas, lo que podría apoyar los tratamientos actuales (Blaskovich</w:t>
      </w:r>
      <w:r>
        <w:rPr>
          <w:spacing w:val="-15"/>
        </w:rPr>
        <w:t> </w:t>
      </w:r>
      <w:r>
        <w:rPr/>
        <w:t>et</w:t>
      </w:r>
      <w:r>
        <w:rPr>
          <w:spacing w:val="-15"/>
        </w:rPr>
        <w:t> </w:t>
      </w:r>
      <w:r>
        <w:rPr/>
        <w:t>al.,</w:t>
      </w:r>
      <w:r>
        <w:rPr>
          <w:spacing w:val="-15"/>
        </w:rPr>
        <w:t> </w:t>
      </w:r>
      <w:r>
        <w:rPr/>
        <w:t>2021;</w:t>
      </w:r>
      <w:r>
        <w:rPr>
          <w:spacing w:val="-14"/>
        </w:rPr>
        <w:t> </w:t>
      </w:r>
      <w:r>
        <w:rPr/>
        <w:t>Pisanu</w:t>
      </w:r>
      <w:r>
        <w:rPr>
          <w:spacing w:val="-14"/>
        </w:rPr>
        <w:t> </w:t>
      </w:r>
      <w:r>
        <w:rPr/>
        <w:t>et</w:t>
      </w:r>
      <w:r>
        <w:rPr>
          <w:spacing w:val="-13"/>
        </w:rPr>
        <w:t> </w:t>
      </w:r>
      <w:r>
        <w:rPr/>
        <w:t>al.,</w:t>
      </w:r>
      <w:r>
        <w:rPr>
          <w:spacing w:val="-14"/>
        </w:rPr>
        <w:t> </w:t>
      </w:r>
      <w:r>
        <w:rPr/>
        <w:t>2020).</w:t>
      </w:r>
      <w:r>
        <w:rPr>
          <w:spacing w:val="-14"/>
        </w:rPr>
        <w:t> </w:t>
      </w:r>
      <w:r>
        <w:rPr/>
        <w:t>En</w:t>
      </w:r>
      <w:r>
        <w:rPr>
          <w:spacing w:val="-14"/>
        </w:rPr>
        <w:t> </w:t>
      </w:r>
      <w:r>
        <w:rPr/>
        <w:t>Ecuador,</w:t>
      </w:r>
      <w:r>
        <w:rPr>
          <w:spacing w:val="-14"/>
        </w:rPr>
        <w:t> </w:t>
      </w:r>
      <w:r>
        <w:rPr/>
        <w:t>sin</w:t>
      </w:r>
      <w:r>
        <w:rPr>
          <w:spacing w:val="-14"/>
        </w:rPr>
        <w:t> </w:t>
      </w:r>
      <w:r>
        <w:rPr/>
        <w:t>embargo,</w:t>
      </w:r>
      <w:r>
        <w:rPr>
          <w:spacing w:val="-15"/>
        </w:rPr>
        <w:t> </w:t>
      </w:r>
      <w:r>
        <w:rPr/>
        <w:t>la</w:t>
      </w:r>
      <w:r>
        <w:rPr>
          <w:spacing w:val="-13"/>
        </w:rPr>
        <w:t> </w:t>
      </w:r>
      <w:r>
        <w:rPr/>
        <w:t>evidencia sobre</w:t>
      </w:r>
      <w:r>
        <w:rPr>
          <w:spacing w:val="-2"/>
        </w:rPr>
        <w:t> </w:t>
      </w:r>
      <w:r>
        <w:rPr/>
        <w:t>su</w:t>
      </w:r>
      <w:r>
        <w:rPr>
          <w:spacing w:val="-3"/>
        </w:rPr>
        <w:t> </w:t>
      </w:r>
      <w:r>
        <w:rPr/>
        <w:t>uso</w:t>
      </w:r>
      <w:r>
        <w:rPr>
          <w:spacing w:val="-3"/>
        </w:rPr>
        <w:t> </w:t>
      </w:r>
      <w:r>
        <w:rPr/>
        <w:t>clínico</w:t>
      </w:r>
      <w:r>
        <w:rPr>
          <w:spacing w:val="-3"/>
        </w:rPr>
        <w:t> </w:t>
      </w:r>
      <w:r>
        <w:rPr/>
        <w:t>en</w:t>
      </w:r>
      <w:r>
        <w:rPr>
          <w:spacing w:val="-8"/>
        </w:rPr>
        <w:t> </w:t>
      </w:r>
      <w:r>
        <w:rPr/>
        <w:t>medicina</w:t>
      </w:r>
      <w:r>
        <w:rPr>
          <w:spacing w:val="-6"/>
        </w:rPr>
        <w:t> </w:t>
      </w:r>
      <w:r>
        <w:rPr/>
        <w:t>veterinaria</w:t>
      </w:r>
      <w:r>
        <w:rPr>
          <w:spacing w:val="-2"/>
        </w:rPr>
        <w:t> </w:t>
      </w:r>
      <w:r>
        <w:rPr/>
        <w:t>sigue</w:t>
      </w:r>
      <w:r>
        <w:rPr>
          <w:spacing w:val="-2"/>
        </w:rPr>
        <w:t> </w:t>
      </w:r>
      <w:r>
        <w:rPr/>
        <w:t>siendo</w:t>
      </w:r>
      <w:r>
        <w:rPr>
          <w:spacing w:val="-3"/>
        </w:rPr>
        <w:t> </w:t>
      </w:r>
      <w:r>
        <w:rPr/>
        <w:t>limitada.</w:t>
      </w:r>
      <w:r>
        <w:rPr>
          <w:spacing w:val="-3"/>
        </w:rPr>
        <w:t> </w:t>
      </w:r>
      <w:r>
        <w:rPr/>
        <w:t>Por</w:t>
      </w:r>
      <w:r>
        <w:rPr>
          <w:spacing w:val="-7"/>
        </w:rPr>
        <w:t> </w:t>
      </w:r>
      <w:r>
        <w:rPr/>
        <w:t>ello,</w:t>
      </w:r>
      <w:r>
        <w:rPr>
          <w:spacing w:val="-8"/>
        </w:rPr>
        <w:t> </w:t>
      </w:r>
      <w:r>
        <w:rPr/>
        <w:t>resulta pertinente evaluar de forma experimental el efecto del CBD frente a cepas de MRSA aisladas de caninos con piodermas.</w:t>
      </w:r>
    </w:p>
    <w:p>
      <w:pPr>
        <w:pStyle w:val="BodyText"/>
        <w:spacing w:after="0" w:line="360" w:lineRule="auto"/>
        <w:jc w:val="both"/>
        <w:sectPr>
          <w:pgSz w:w="11900" w:h="16840"/>
          <w:pgMar w:top="1640" w:bottom="280" w:left="1275" w:right="992"/>
        </w:sectPr>
      </w:pPr>
    </w:p>
    <w:p>
      <w:pPr>
        <w:pStyle w:val="Heading2"/>
        <w:numPr>
          <w:ilvl w:val="1"/>
          <w:numId w:val="8"/>
        </w:numPr>
        <w:tabs>
          <w:tab w:pos="1426" w:val="left" w:leader="none"/>
        </w:tabs>
        <w:spacing w:line="240" w:lineRule="auto" w:before="60" w:after="0"/>
        <w:ind w:left="1426" w:right="0" w:hanging="432"/>
        <w:jc w:val="both"/>
      </w:pPr>
      <w:bookmarkStart w:name="_bookmark3" w:id="4"/>
      <w:bookmarkEnd w:id="4"/>
      <w:r>
        <w:rPr>
          <w:b w:val="0"/>
        </w:rPr>
      </w:r>
      <w:r>
        <w:rPr>
          <w:spacing w:val="-2"/>
        </w:rPr>
        <w:t>OBJETIVOS</w:t>
      </w:r>
    </w:p>
    <w:p>
      <w:pPr>
        <w:pStyle w:val="BodyText"/>
        <w:spacing w:before="104"/>
        <w:rPr>
          <w:b/>
        </w:rPr>
      </w:pPr>
    </w:p>
    <w:p>
      <w:pPr>
        <w:pStyle w:val="Heading3"/>
        <w:numPr>
          <w:ilvl w:val="2"/>
          <w:numId w:val="8"/>
        </w:numPr>
        <w:tabs>
          <w:tab w:pos="1702" w:val="left" w:leader="none"/>
        </w:tabs>
        <w:spacing w:line="240" w:lineRule="auto" w:before="0" w:after="0"/>
        <w:ind w:left="1702" w:right="0" w:hanging="708"/>
        <w:jc w:val="both"/>
      </w:pPr>
      <w:bookmarkStart w:name="_bookmark4" w:id="5"/>
      <w:bookmarkEnd w:id="5"/>
      <w:r>
        <w:rPr>
          <w:b w:val="0"/>
        </w:rPr>
      </w:r>
      <w:r>
        <w:rPr/>
        <w:t>Objetivo</w:t>
      </w:r>
      <w:r>
        <w:rPr>
          <w:spacing w:val="6"/>
        </w:rPr>
        <w:t> </w:t>
      </w:r>
      <w:r>
        <w:rPr>
          <w:spacing w:val="-2"/>
        </w:rPr>
        <w:t>general</w:t>
      </w:r>
    </w:p>
    <w:p>
      <w:pPr>
        <w:pStyle w:val="BodyText"/>
        <w:spacing w:before="100"/>
        <w:rPr>
          <w:b/>
        </w:rPr>
      </w:pPr>
    </w:p>
    <w:p>
      <w:pPr>
        <w:pStyle w:val="BodyText"/>
        <w:spacing w:line="360" w:lineRule="auto"/>
        <w:ind w:left="994" w:right="706"/>
        <w:jc w:val="both"/>
      </w:pPr>
      <w:r>
        <w:rPr/>
        <w:t>Determinar con minuciosidad la acción del cannabidiol (CBD) como opción curativa</w:t>
      </w:r>
      <w:r>
        <w:rPr>
          <w:spacing w:val="-13"/>
        </w:rPr>
        <w:t> </w:t>
      </w:r>
      <w:r>
        <w:rPr/>
        <w:t>para</w:t>
      </w:r>
      <w:r>
        <w:rPr>
          <w:spacing w:val="-13"/>
        </w:rPr>
        <w:t> </w:t>
      </w:r>
      <w:r>
        <w:rPr/>
        <w:t>mitigar</w:t>
      </w:r>
      <w:r>
        <w:rPr>
          <w:spacing w:val="-13"/>
        </w:rPr>
        <w:t> </w:t>
      </w:r>
      <w:r>
        <w:rPr/>
        <w:t>las</w:t>
      </w:r>
      <w:r>
        <w:rPr>
          <w:spacing w:val="-15"/>
        </w:rPr>
        <w:t> </w:t>
      </w:r>
      <w:r>
        <w:rPr/>
        <w:t>afecciones</w:t>
      </w:r>
      <w:r>
        <w:rPr>
          <w:spacing w:val="-15"/>
        </w:rPr>
        <w:t> </w:t>
      </w:r>
      <w:r>
        <w:rPr/>
        <w:t>generadas</w:t>
      </w:r>
      <w:r>
        <w:rPr>
          <w:spacing w:val="-15"/>
        </w:rPr>
        <w:t> </w:t>
      </w:r>
      <w:r>
        <w:rPr/>
        <w:t>por</w:t>
      </w:r>
      <w:r>
        <w:rPr>
          <w:spacing w:val="-13"/>
        </w:rPr>
        <w:t> </w:t>
      </w:r>
      <w:r>
        <w:rPr/>
        <w:t>Staphylococcus</w:t>
      </w:r>
      <w:r>
        <w:rPr>
          <w:spacing w:val="-15"/>
        </w:rPr>
        <w:t> </w:t>
      </w:r>
      <w:r>
        <w:rPr/>
        <w:t>aureus</w:t>
      </w:r>
      <w:r>
        <w:rPr>
          <w:spacing w:val="-15"/>
        </w:rPr>
        <w:t> </w:t>
      </w:r>
      <w:r>
        <w:rPr/>
        <w:t>resistente a meticilina (MRSA) en perros.</w:t>
      </w:r>
    </w:p>
    <w:p>
      <w:pPr>
        <w:pStyle w:val="Heading3"/>
        <w:numPr>
          <w:ilvl w:val="2"/>
          <w:numId w:val="8"/>
        </w:numPr>
        <w:tabs>
          <w:tab w:pos="1702" w:val="left" w:leader="none"/>
        </w:tabs>
        <w:spacing w:line="240" w:lineRule="auto" w:before="163" w:after="0"/>
        <w:ind w:left="1702" w:right="0" w:hanging="708"/>
        <w:jc w:val="both"/>
      </w:pPr>
      <w:bookmarkStart w:name="_bookmark5" w:id="6"/>
      <w:bookmarkEnd w:id="6"/>
      <w:r>
        <w:rPr>
          <w:b w:val="0"/>
        </w:rPr>
      </w:r>
      <w:r>
        <w:rPr/>
        <w:t>Objetivos</w:t>
      </w:r>
      <w:r>
        <w:rPr>
          <w:spacing w:val="-1"/>
        </w:rPr>
        <w:t> </w:t>
      </w:r>
      <w:r>
        <w:rPr>
          <w:spacing w:val="-2"/>
        </w:rPr>
        <w:t>específicos</w:t>
      </w:r>
    </w:p>
    <w:p>
      <w:pPr>
        <w:pStyle w:val="BodyText"/>
        <w:spacing w:before="98"/>
        <w:rPr>
          <w:b/>
        </w:rPr>
      </w:pPr>
    </w:p>
    <w:p>
      <w:pPr>
        <w:pStyle w:val="ListParagraph"/>
        <w:numPr>
          <w:ilvl w:val="3"/>
          <w:numId w:val="8"/>
        </w:numPr>
        <w:tabs>
          <w:tab w:pos="1713" w:val="left" w:leader="none"/>
        </w:tabs>
        <w:spacing w:line="360" w:lineRule="auto" w:before="1" w:after="0"/>
        <w:ind w:left="1713" w:right="717" w:hanging="360"/>
        <w:jc w:val="both"/>
        <w:rPr>
          <w:sz w:val="24"/>
        </w:rPr>
      </w:pPr>
      <w:r>
        <w:rPr>
          <w:sz w:val="24"/>
        </w:rPr>
        <w:t>Explorar, a traves de estrictos analisis de laboratorio, la aptitud antibacteriana inherente al canabidiol (CBD) frente a variadas estirpes de MRSA, utilizando la metodologia probada de difusion en disco.</w:t>
      </w:r>
    </w:p>
    <w:p>
      <w:pPr>
        <w:pStyle w:val="ListParagraph"/>
        <w:numPr>
          <w:ilvl w:val="3"/>
          <w:numId w:val="8"/>
        </w:numPr>
        <w:tabs>
          <w:tab w:pos="1713" w:val="left" w:leader="none"/>
        </w:tabs>
        <w:spacing w:line="355" w:lineRule="auto" w:before="159" w:after="0"/>
        <w:ind w:left="1713" w:right="713" w:hanging="360"/>
        <w:jc w:val="both"/>
        <w:rPr>
          <w:sz w:val="24"/>
        </w:rPr>
      </w:pPr>
      <w:r>
        <w:rPr>
          <w:sz w:val="24"/>
        </w:rPr>
        <w:t>Evaluar, mediante experimentacion controlada en el laboratorio, la efectividad antibacteriana que exhibe el canabidiol (CBD) contra diversas cepas de MRSA, haciendo uso de la metodologia de difusion en agar.</w:t>
      </w:r>
    </w:p>
    <w:p>
      <w:pPr>
        <w:pStyle w:val="ListParagraph"/>
        <w:spacing w:after="0" w:line="355" w:lineRule="auto"/>
        <w:jc w:val="both"/>
        <w:rPr>
          <w:sz w:val="24"/>
        </w:rPr>
        <w:sectPr>
          <w:pgSz w:w="11900" w:h="16840"/>
          <w:pgMar w:top="1640" w:bottom="280" w:left="1275" w:right="992"/>
        </w:sectPr>
      </w:pPr>
    </w:p>
    <w:p>
      <w:pPr>
        <w:pStyle w:val="Heading2"/>
        <w:numPr>
          <w:ilvl w:val="1"/>
          <w:numId w:val="8"/>
        </w:numPr>
        <w:tabs>
          <w:tab w:pos="1426" w:val="left" w:leader="none"/>
        </w:tabs>
        <w:spacing w:line="240" w:lineRule="auto" w:before="60" w:after="0"/>
        <w:ind w:left="1426" w:right="0" w:hanging="432"/>
        <w:jc w:val="left"/>
      </w:pPr>
      <w:bookmarkStart w:name="_bookmark6" w:id="7"/>
      <w:bookmarkEnd w:id="7"/>
      <w:r>
        <w:rPr>
          <w:b w:val="0"/>
        </w:rPr>
      </w:r>
      <w:r>
        <w:rPr>
          <w:spacing w:val="-2"/>
        </w:rPr>
        <w:t>HIPÓTESIS</w:t>
      </w:r>
    </w:p>
    <w:p>
      <w:pPr>
        <w:pStyle w:val="BodyText"/>
        <w:spacing w:before="104"/>
        <w:rPr>
          <w:b/>
        </w:rPr>
      </w:pPr>
    </w:p>
    <w:p>
      <w:pPr>
        <w:pStyle w:val="Heading3"/>
      </w:pPr>
      <w:r>
        <w:rPr/>
        <w:t>Hipótesis</w:t>
      </w:r>
      <w:r>
        <w:rPr>
          <w:spacing w:val="-7"/>
        </w:rPr>
        <w:t> </w:t>
      </w:r>
      <w:r>
        <w:rPr/>
        <w:t>alternativa</w:t>
      </w:r>
      <w:r>
        <w:rPr>
          <w:spacing w:val="7"/>
        </w:rPr>
        <w:t> </w:t>
      </w:r>
      <w:r>
        <w:rPr>
          <w:spacing w:val="-4"/>
        </w:rPr>
        <w:t>(Ha)</w:t>
      </w:r>
    </w:p>
    <w:p>
      <w:pPr>
        <w:pStyle w:val="BodyText"/>
        <w:spacing w:before="20"/>
        <w:rPr>
          <w:b/>
        </w:rPr>
      </w:pPr>
    </w:p>
    <w:p>
      <w:pPr>
        <w:pStyle w:val="BodyText"/>
        <w:spacing w:line="360" w:lineRule="auto"/>
        <w:ind w:left="994" w:right="561"/>
        <w:jc w:val="both"/>
      </w:pPr>
      <w:r>
        <w:rPr/>
        <w:t>Se postula hipoteticamente, con bases</w:t>
      </w:r>
      <w:r>
        <w:rPr>
          <w:spacing w:val="-1"/>
        </w:rPr>
        <w:t> </w:t>
      </w:r>
      <w:r>
        <w:rPr/>
        <w:t>cientificas, que el cannabidiol manifiesta una accion antibacteriana verificable ante el </w:t>
      </w:r>
      <w:r>
        <w:rPr>
          <w:i/>
        </w:rPr>
        <w:t>Staphylococcus aureus </w:t>
      </w:r>
      <w:r>
        <w:rPr/>
        <w:t>resistente a meticilina cuando este ataca el tejido cutaneo.</w:t>
      </w:r>
    </w:p>
    <w:p>
      <w:pPr>
        <w:pStyle w:val="BodyText"/>
        <w:spacing w:before="19"/>
      </w:pPr>
    </w:p>
    <w:p>
      <w:pPr>
        <w:pStyle w:val="Heading3"/>
      </w:pPr>
      <w:r>
        <w:rPr/>
        <w:t>Hipótesis</w:t>
      </w:r>
      <w:r>
        <w:rPr>
          <w:spacing w:val="-9"/>
        </w:rPr>
        <w:t> </w:t>
      </w:r>
      <w:r>
        <w:rPr/>
        <w:t>nula</w:t>
      </w:r>
      <w:r>
        <w:rPr>
          <w:spacing w:val="-1"/>
        </w:rPr>
        <w:t> </w:t>
      </w:r>
      <w:r>
        <w:rPr>
          <w:spacing w:val="-4"/>
        </w:rPr>
        <w:t>(H₀)</w:t>
      </w:r>
    </w:p>
    <w:p>
      <w:pPr>
        <w:pStyle w:val="BodyText"/>
        <w:spacing w:before="24"/>
        <w:rPr>
          <w:b/>
        </w:rPr>
      </w:pPr>
    </w:p>
    <w:p>
      <w:pPr>
        <w:pStyle w:val="BodyText"/>
        <w:spacing w:line="360" w:lineRule="auto"/>
        <w:ind w:left="994" w:right="572"/>
        <w:jc w:val="both"/>
        <w:rPr>
          <w:sz w:val="22"/>
        </w:rPr>
      </w:pPr>
      <w:r>
        <w:rPr/>
        <w:t>La hipotesis central plantea la total inexistencia de un efecto de caracter antibacteriano atribuible al cannabidiol en el Staphylococcus aureus resistente a meticilina, particularmente en lo referente al tratamiento de patologias dermicas</w:t>
      </w:r>
      <w:r>
        <w:rPr>
          <w:sz w:val="22"/>
        </w:rPr>
        <w:t>.</w:t>
      </w:r>
    </w:p>
    <w:p>
      <w:pPr>
        <w:pStyle w:val="BodyText"/>
        <w:spacing w:after="0" w:line="360" w:lineRule="auto"/>
        <w:jc w:val="both"/>
        <w:rPr>
          <w:sz w:val="22"/>
        </w:rPr>
        <w:sectPr>
          <w:pgSz w:w="11900" w:h="16840"/>
          <w:pgMar w:top="1640" w:bottom="280" w:left="1275" w:right="992"/>
        </w:sectPr>
      </w:pPr>
    </w:p>
    <w:p>
      <w:pPr>
        <w:pStyle w:val="Heading1"/>
        <w:ind w:left="433"/>
      </w:pPr>
      <w:bookmarkStart w:name="_bookmark7" w:id="8"/>
      <w:bookmarkEnd w:id="8"/>
      <w:r>
        <w:rPr>
          <w:b w:val="0"/>
        </w:rPr>
      </w:r>
      <w:r>
        <w:rPr/>
        <w:t>CAPÍTULO</w:t>
      </w:r>
      <w:r>
        <w:rPr>
          <w:spacing w:val="-4"/>
        </w:rPr>
        <w:t> </w:t>
      </w:r>
      <w:r>
        <w:rPr>
          <w:spacing w:val="-5"/>
        </w:rPr>
        <w:t>II</w:t>
      </w:r>
    </w:p>
    <w:p>
      <w:pPr>
        <w:pStyle w:val="BodyText"/>
        <w:rPr>
          <w:b/>
          <w:sz w:val="28"/>
        </w:rPr>
      </w:pPr>
    </w:p>
    <w:p>
      <w:pPr>
        <w:pStyle w:val="Heading1"/>
        <w:numPr>
          <w:ilvl w:val="0"/>
          <w:numId w:val="9"/>
        </w:numPr>
        <w:tabs>
          <w:tab w:pos="1425" w:val="left" w:leader="none"/>
        </w:tabs>
        <w:spacing w:line="240" w:lineRule="auto" w:before="0" w:after="0"/>
        <w:ind w:left="1425" w:right="0" w:hanging="431"/>
        <w:jc w:val="left"/>
      </w:pPr>
      <w:bookmarkStart w:name="_bookmark8" w:id="9"/>
      <w:bookmarkEnd w:id="9"/>
      <w:r>
        <w:rPr>
          <w:b w:val="0"/>
        </w:rPr>
      </w:r>
      <w:r>
        <w:rPr/>
        <w:t>MARCO</w:t>
      </w:r>
      <w:r>
        <w:rPr>
          <w:spacing w:val="-5"/>
        </w:rPr>
        <w:t> </w:t>
      </w:r>
      <w:r>
        <w:rPr>
          <w:spacing w:val="-2"/>
        </w:rPr>
        <w:t>TEÓRICO</w:t>
      </w:r>
    </w:p>
    <w:p>
      <w:pPr>
        <w:pStyle w:val="Heading3"/>
        <w:numPr>
          <w:ilvl w:val="1"/>
          <w:numId w:val="9"/>
        </w:numPr>
        <w:tabs>
          <w:tab w:pos="1426" w:val="left" w:leader="none"/>
        </w:tabs>
        <w:spacing w:line="240" w:lineRule="auto" w:before="319" w:after="0"/>
        <w:ind w:left="1426" w:right="0" w:hanging="432"/>
        <w:jc w:val="left"/>
      </w:pPr>
      <w:bookmarkStart w:name="_bookmark9" w:id="10"/>
      <w:bookmarkEnd w:id="10"/>
      <w:r>
        <w:rPr>
          <w:b w:val="0"/>
        </w:rPr>
      </w:r>
      <w:r>
        <w:rPr/>
        <w:t>Cannabibidiol</w:t>
      </w:r>
      <w:r>
        <w:rPr>
          <w:spacing w:val="-13"/>
        </w:rPr>
        <w:t> </w:t>
      </w:r>
      <w:r>
        <w:rPr>
          <w:spacing w:val="-4"/>
        </w:rPr>
        <w:t>(Cbd)</w:t>
      </w:r>
    </w:p>
    <w:p>
      <w:pPr>
        <w:pStyle w:val="BodyText"/>
        <w:spacing w:before="1"/>
        <w:rPr>
          <w:b/>
        </w:rPr>
      </w:pPr>
    </w:p>
    <w:p>
      <w:pPr>
        <w:pStyle w:val="BodyText"/>
        <w:spacing w:line="360" w:lineRule="auto"/>
        <w:ind w:left="994" w:right="694"/>
        <w:jc w:val="both"/>
      </w:pPr>
      <w:r>
        <w:rPr/>
        <w:t>El</w:t>
      </w:r>
      <w:r>
        <w:rPr>
          <w:spacing w:val="-2"/>
        </w:rPr>
        <w:t> </w:t>
      </w:r>
      <w:r>
        <w:rPr/>
        <w:t>cannabidiol</w:t>
      </w:r>
      <w:r>
        <w:rPr>
          <w:spacing w:val="-2"/>
        </w:rPr>
        <w:t> </w:t>
      </w:r>
      <w:r>
        <w:rPr/>
        <w:t>(CBD)</w:t>
      </w:r>
      <w:r>
        <w:rPr>
          <w:spacing w:val="-3"/>
        </w:rPr>
        <w:t> </w:t>
      </w:r>
      <w:r>
        <w:rPr/>
        <w:t>es</w:t>
      </w:r>
      <w:r>
        <w:rPr>
          <w:spacing w:val="-5"/>
        </w:rPr>
        <w:t> </w:t>
      </w:r>
      <w:r>
        <w:rPr/>
        <w:t>un</w:t>
      </w:r>
      <w:r>
        <w:rPr>
          <w:spacing w:val="-3"/>
        </w:rPr>
        <w:t> </w:t>
      </w:r>
      <w:r>
        <w:rPr/>
        <w:t>fitocannabinoide</w:t>
      </w:r>
      <w:r>
        <w:rPr>
          <w:spacing w:val="-2"/>
        </w:rPr>
        <w:t> </w:t>
      </w:r>
      <w:r>
        <w:rPr/>
        <w:t>no</w:t>
      </w:r>
      <w:r>
        <w:rPr>
          <w:spacing w:val="-3"/>
        </w:rPr>
        <w:t> </w:t>
      </w:r>
      <w:r>
        <w:rPr/>
        <w:t>psicoactivo</w:t>
      </w:r>
      <w:r>
        <w:rPr>
          <w:spacing w:val="-3"/>
        </w:rPr>
        <w:t> </w:t>
      </w:r>
      <w:r>
        <w:rPr/>
        <w:t>obtenido</w:t>
      </w:r>
      <w:r>
        <w:rPr>
          <w:spacing w:val="-3"/>
        </w:rPr>
        <w:t> </w:t>
      </w:r>
      <w:r>
        <w:rPr/>
        <w:t>de</w:t>
      </w:r>
      <w:r>
        <w:rPr>
          <w:spacing w:val="-2"/>
        </w:rPr>
        <w:t> </w:t>
      </w:r>
      <w:r>
        <w:rPr/>
        <w:t>Cannabis sativa. Su interés terapéutico ha aumentado en los últimos años por las distintas propiedades farmacológicas que se le atribuyen (Blaskovich et al., 2021). A diferencia del tetrahidrocannabinol (THC), no genera efectos psicotrópicos y su perfil</w:t>
      </w:r>
      <w:r>
        <w:rPr>
          <w:spacing w:val="-9"/>
        </w:rPr>
        <w:t> </w:t>
      </w:r>
      <w:r>
        <w:rPr/>
        <w:t>de</w:t>
      </w:r>
      <w:r>
        <w:rPr>
          <w:spacing w:val="-5"/>
        </w:rPr>
        <w:t> </w:t>
      </w:r>
      <w:r>
        <w:rPr/>
        <w:t>seguridad</w:t>
      </w:r>
      <w:r>
        <w:rPr>
          <w:spacing w:val="-11"/>
        </w:rPr>
        <w:t> </w:t>
      </w:r>
      <w:r>
        <w:rPr/>
        <w:t>ha</w:t>
      </w:r>
      <w:r>
        <w:rPr>
          <w:spacing w:val="-5"/>
        </w:rPr>
        <w:t> </w:t>
      </w:r>
      <w:r>
        <w:rPr/>
        <w:t>sido</w:t>
      </w:r>
      <w:r>
        <w:rPr>
          <w:spacing w:val="-11"/>
        </w:rPr>
        <w:t> </w:t>
      </w:r>
      <w:r>
        <w:rPr/>
        <w:t>descrito</w:t>
      </w:r>
      <w:r>
        <w:rPr>
          <w:spacing w:val="-10"/>
        </w:rPr>
        <w:t> </w:t>
      </w:r>
      <w:r>
        <w:rPr/>
        <w:t>como</w:t>
      </w:r>
      <w:r>
        <w:rPr>
          <w:spacing w:val="-11"/>
        </w:rPr>
        <w:t> </w:t>
      </w:r>
      <w:r>
        <w:rPr/>
        <w:t>favorable</w:t>
      </w:r>
      <w:r>
        <w:rPr>
          <w:spacing w:val="-9"/>
        </w:rPr>
        <w:t> </w:t>
      </w:r>
      <w:r>
        <w:rPr/>
        <w:t>en</w:t>
      </w:r>
      <w:r>
        <w:rPr>
          <w:spacing w:val="-11"/>
        </w:rPr>
        <w:t> </w:t>
      </w:r>
      <w:r>
        <w:rPr/>
        <w:t>humanos</w:t>
      </w:r>
      <w:r>
        <w:rPr>
          <w:spacing w:val="-12"/>
        </w:rPr>
        <w:t> </w:t>
      </w:r>
      <w:r>
        <w:rPr/>
        <w:t>y</w:t>
      </w:r>
      <w:r>
        <w:rPr>
          <w:spacing w:val="-7"/>
        </w:rPr>
        <w:t> </w:t>
      </w:r>
      <w:r>
        <w:rPr/>
        <w:t>animales</w:t>
      </w:r>
      <w:r>
        <w:rPr>
          <w:spacing w:val="-8"/>
        </w:rPr>
        <w:t> </w:t>
      </w:r>
      <w:r>
        <w:rPr/>
        <w:t>(Kogan et al., 2021). Las investigaciones acerca de su mecanismo de acción sugieren que el CBD dialoga con múltiples blancos moleculares, incluyendo los receptores endocannabinoides conocidos como CB1 y CB2, asi como los canales iónicos TRPV1 y el receptor GPR55. Este tipo de interaccion molecular es capaz de modular procesos de inflamación, el alivio del dolor y respuestas inmunes ante patógenos (Pisanu et al., 2020; Wassmann et al. , 2020).</w:t>
      </w:r>
    </w:p>
    <w:p>
      <w:pPr>
        <w:pStyle w:val="BodyText"/>
        <w:spacing w:line="360" w:lineRule="auto" w:before="167"/>
        <w:ind w:left="994" w:right="698"/>
        <w:jc w:val="both"/>
      </w:pPr>
      <w:r>
        <w:rPr/>
        <w:t>En el contexto de las infecciones causadas por bacterias, el CBD a demostradoun potencial</w:t>
      </w:r>
      <w:r>
        <w:rPr>
          <w:spacing w:val="-2"/>
        </w:rPr>
        <w:t> </w:t>
      </w:r>
      <w:r>
        <w:rPr/>
        <w:t>antifúngico</w:t>
      </w:r>
      <w:r>
        <w:rPr>
          <w:spacing w:val="-3"/>
        </w:rPr>
        <w:t> </w:t>
      </w:r>
      <w:r>
        <w:rPr/>
        <w:t>especifico</w:t>
      </w:r>
      <w:r>
        <w:rPr>
          <w:spacing w:val="-3"/>
        </w:rPr>
        <w:t> </w:t>
      </w:r>
      <w:r>
        <w:rPr/>
        <w:t>contra</w:t>
      </w:r>
      <w:r>
        <w:rPr>
          <w:spacing w:val="-2"/>
        </w:rPr>
        <w:t> </w:t>
      </w:r>
      <w:r>
        <w:rPr/>
        <w:t>bacterias</w:t>
      </w:r>
      <w:r>
        <w:rPr>
          <w:spacing w:val="-5"/>
        </w:rPr>
        <w:t> </w:t>
      </w:r>
      <w:r>
        <w:rPr/>
        <w:t>de</w:t>
      </w:r>
      <w:r>
        <w:rPr>
          <w:spacing w:val="-2"/>
        </w:rPr>
        <w:t> </w:t>
      </w:r>
      <w:r>
        <w:rPr/>
        <w:t>caracteristicas</w:t>
      </w:r>
      <w:r>
        <w:rPr>
          <w:spacing w:val="-5"/>
        </w:rPr>
        <w:t> </w:t>
      </w:r>
      <w:r>
        <w:rPr/>
        <w:t>Gram</w:t>
      </w:r>
      <w:r>
        <w:rPr>
          <w:spacing w:val="-2"/>
        </w:rPr>
        <w:t> </w:t>
      </w:r>
      <w:r>
        <w:rPr/>
        <w:t>positivas, tales como Staphylococcus aureus e incluso aquellas cepas que presentan resistencia al antibiótico meticilina (MRSA). Su acción se relaciona con cambios en la membrana bacteriana, mayor permeabilidad celular, disminución de biopelículas y estrés oxidativo en las bacterias (Vuong et al., 2020). Wassmann et al. (2020) señalan que el CBD reduce la viabilidad bacteriana y también limita la formación</w:t>
      </w:r>
      <w:r>
        <w:rPr>
          <w:spacing w:val="-15"/>
        </w:rPr>
        <w:t> </w:t>
      </w:r>
      <w:r>
        <w:rPr/>
        <w:t>de</w:t>
      </w:r>
      <w:r>
        <w:rPr>
          <w:spacing w:val="-15"/>
        </w:rPr>
        <w:t> </w:t>
      </w:r>
      <w:r>
        <w:rPr/>
        <w:t>biopelículas.</w:t>
      </w:r>
      <w:r>
        <w:rPr>
          <w:spacing w:val="-15"/>
        </w:rPr>
        <w:t> </w:t>
      </w:r>
      <w:r>
        <w:rPr/>
        <w:t>Este</w:t>
      </w:r>
      <w:r>
        <w:rPr>
          <w:spacing w:val="-15"/>
        </w:rPr>
        <w:t> </w:t>
      </w:r>
      <w:r>
        <w:rPr/>
        <w:t>punto</w:t>
      </w:r>
      <w:r>
        <w:rPr>
          <w:spacing w:val="-15"/>
        </w:rPr>
        <w:t> </w:t>
      </w:r>
      <w:r>
        <w:rPr/>
        <w:t>es</w:t>
      </w:r>
      <w:r>
        <w:rPr>
          <w:spacing w:val="-15"/>
        </w:rPr>
        <w:t> </w:t>
      </w:r>
      <w:r>
        <w:rPr/>
        <w:t>relevante</w:t>
      </w:r>
      <w:r>
        <w:rPr>
          <w:spacing w:val="-15"/>
        </w:rPr>
        <w:t> </w:t>
      </w:r>
      <w:r>
        <w:rPr/>
        <w:t>en</w:t>
      </w:r>
      <w:r>
        <w:rPr>
          <w:spacing w:val="-15"/>
        </w:rPr>
        <w:t> </w:t>
      </w:r>
      <w:r>
        <w:rPr/>
        <w:t>infecciones</w:t>
      </w:r>
      <w:r>
        <w:rPr>
          <w:spacing w:val="-15"/>
        </w:rPr>
        <w:t> </w:t>
      </w:r>
      <w:r>
        <w:rPr/>
        <w:t>cutáneas</w:t>
      </w:r>
      <w:r>
        <w:rPr>
          <w:spacing w:val="-15"/>
        </w:rPr>
        <w:t> </w:t>
      </w:r>
      <w:r>
        <w:rPr/>
        <w:t>crónicas, ya que dichas estructuras dificultan el efecto de los antibióticos convencionales.</w:t>
      </w:r>
    </w:p>
    <w:p>
      <w:pPr>
        <w:pStyle w:val="BodyText"/>
        <w:spacing w:line="360" w:lineRule="auto" w:before="159"/>
        <w:ind w:left="994" w:right="694"/>
        <w:jc w:val="both"/>
      </w:pPr>
      <w:r>
        <w:rPr/>
        <w:t>El CBD se postula como una alternativa terapéutica prometedora para la medicina veterinaria debido a su eficacia </w:t>
      </w:r>
      <w:r>
        <w:rPr>
          <w:i/>
        </w:rPr>
        <w:t>in vitro</w:t>
      </w:r>
      <w:r>
        <w:rPr/>
        <w:t>, su perfil no tóxico en concentraciones terapéuticas</w:t>
      </w:r>
      <w:r>
        <w:rPr>
          <w:spacing w:val="-1"/>
        </w:rPr>
        <w:t> </w:t>
      </w:r>
      <w:r>
        <w:rPr/>
        <w:t>y</w:t>
      </w:r>
      <w:r>
        <w:rPr>
          <w:spacing w:val="-2"/>
        </w:rPr>
        <w:t> </w:t>
      </w:r>
      <w:r>
        <w:rPr/>
        <w:t>su</w:t>
      </w:r>
      <w:r>
        <w:rPr>
          <w:spacing w:val="-3"/>
        </w:rPr>
        <w:t> </w:t>
      </w:r>
      <w:r>
        <w:rPr/>
        <w:t>versatilidad para aplicaciones</w:t>
      </w:r>
      <w:r>
        <w:rPr>
          <w:spacing w:val="-2"/>
        </w:rPr>
        <w:t> </w:t>
      </w:r>
      <w:r>
        <w:rPr/>
        <w:t>tópicas</w:t>
      </w:r>
      <w:r>
        <w:rPr>
          <w:spacing w:val="-3"/>
        </w:rPr>
        <w:t> </w:t>
      </w:r>
      <w:r>
        <w:rPr/>
        <w:t>o</w:t>
      </w:r>
      <w:r>
        <w:rPr>
          <w:spacing w:val="-2"/>
        </w:rPr>
        <w:t> </w:t>
      </w:r>
      <w:r>
        <w:rPr/>
        <w:t>sistémicas</w:t>
      </w:r>
      <w:r>
        <w:rPr>
          <w:spacing w:val="-2"/>
        </w:rPr>
        <w:t> </w:t>
      </w:r>
      <w:r>
        <w:rPr/>
        <w:t>(Blaskovich</w:t>
      </w:r>
      <w:r>
        <w:rPr>
          <w:spacing w:val="-1"/>
        </w:rPr>
        <w:t> </w:t>
      </w:r>
      <w:r>
        <w:rPr/>
        <w:t>et al., 2021).</w:t>
      </w:r>
      <w:r>
        <w:rPr>
          <w:spacing w:val="-15"/>
        </w:rPr>
        <w:t> </w:t>
      </w:r>
      <w:r>
        <w:rPr/>
        <w:t>A</w:t>
      </w:r>
      <w:r>
        <w:rPr>
          <w:spacing w:val="-15"/>
        </w:rPr>
        <w:t> </w:t>
      </w:r>
      <w:r>
        <w:rPr/>
        <w:t>pesar</w:t>
      </w:r>
      <w:r>
        <w:rPr>
          <w:spacing w:val="-3"/>
        </w:rPr>
        <w:t> </w:t>
      </w:r>
      <w:r>
        <w:rPr/>
        <w:t>de</w:t>
      </w:r>
      <w:r>
        <w:rPr>
          <w:spacing w:val="-2"/>
        </w:rPr>
        <w:t> </w:t>
      </w:r>
      <w:r>
        <w:rPr/>
        <w:t>ello,</w:t>
      </w:r>
      <w:r>
        <w:rPr>
          <w:spacing w:val="-2"/>
        </w:rPr>
        <w:t> </w:t>
      </w:r>
      <w:r>
        <w:rPr/>
        <w:t>su uso</w:t>
      </w:r>
      <w:r>
        <w:rPr>
          <w:spacing w:val="-3"/>
        </w:rPr>
        <w:t> </w:t>
      </w:r>
      <w:r>
        <w:rPr/>
        <w:t>clínico</w:t>
      </w:r>
      <w:r>
        <w:rPr>
          <w:spacing w:val="-2"/>
        </w:rPr>
        <w:t> </w:t>
      </w:r>
      <w:r>
        <w:rPr/>
        <w:t>aún no está ampliamente validado, por</w:t>
      </w:r>
      <w:r>
        <w:rPr>
          <w:spacing w:val="-4"/>
        </w:rPr>
        <w:t> </w:t>
      </w:r>
      <w:r>
        <w:rPr/>
        <w:t>lo que son necesarias más investigaciones experimentales que respalden su incorporación en protocolos veterinarios.</w:t>
      </w:r>
    </w:p>
    <w:p>
      <w:pPr>
        <w:pStyle w:val="BodyText"/>
        <w:spacing w:after="0" w:line="360" w:lineRule="auto"/>
        <w:jc w:val="both"/>
        <w:sectPr>
          <w:pgSz w:w="11900" w:h="16840"/>
          <w:pgMar w:top="1640" w:bottom="280" w:left="1275" w:right="992"/>
        </w:sectPr>
      </w:pPr>
    </w:p>
    <w:p>
      <w:pPr>
        <w:pStyle w:val="Heading3"/>
        <w:numPr>
          <w:ilvl w:val="2"/>
          <w:numId w:val="9"/>
        </w:numPr>
        <w:tabs>
          <w:tab w:pos="1702" w:val="left" w:leader="none"/>
        </w:tabs>
        <w:spacing w:line="240" w:lineRule="auto" w:before="60" w:after="0"/>
        <w:ind w:left="1702" w:right="0" w:hanging="708"/>
        <w:jc w:val="both"/>
      </w:pPr>
      <w:bookmarkStart w:name="_bookmark10" w:id="11"/>
      <w:bookmarkEnd w:id="11"/>
      <w:r>
        <w:rPr>
          <w:b w:val="0"/>
        </w:rPr>
      </w:r>
      <w:r>
        <w:rPr/>
        <w:t>Propiedades</w:t>
      </w:r>
      <w:r>
        <w:rPr>
          <w:spacing w:val="-15"/>
        </w:rPr>
        <w:t> </w:t>
      </w:r>
      <w:r>
        <w:rPr>
          <w:spacing w:val="-2"/>
        </w:rPr>
        <w:t>Terapéuticas</w:t>
      </w:r>
    </w:p>
    <w:p>
      <w:pPr>
        <w:pStyle w:val="BodyText"/>
        <w:spacing w:before="104"/>
        <w:rPr>
          <w:b/>
        </w:rPr>
      </w:pPr>
    </w:p>
    <w:p>
      <w:pPr>
        <w:spacing w:before="0"/>
        <w:ind w:left="994" w:right="0" w:firstLine="0"/>
        <w:jc w:val="left"/>
        <w:rPr>
          <w:b/>
          <w:sz w:val="24"/>
        </w:rPr>
      </w:pPr>
      <w:bookmarkStart w:name="_bookmark11" w:id="12"/>
      <w:bookmarkEnd w:id="12"/>
      <w:r>
        <w:rPr/>
      </w:r>
      <w:r>
        <w:rPr>
          <w:b/>
          <w:spacing w:val="-4"/>
          <w:sz w:val="24"/>
        </w:rPr>
        <w:t>Tabla</w:t>
      </w:r>
      <w:r>
        <w:rPr>
          <w:b/>
          <w:spacing w:val="-7"/>
          <w:sz w:val="24"/>
        </w:rPr>
        <w:t> </w:t>
      </w:r>
      <w:r>
        <w:rPr>
          <w:b/>
          <w:spacing w:val="-12"/>
          <w:sz w:val="24"/>
        </w:rPr>
        <w:t>1</w:t>
      </w:r>
    </w:p>
    <w:p>
      <w:pPr>
        <w:pStyle w:val="BodyText"/>
        <w:rPr>
          <w:b/>
        </w:rPr>
      </w:pPr>
    </w:p>
    <w:p>
      <w:pPr>
        <w:spacing w:before="0"/>
        <w:ind w:left="994" w:right="0" w:firstLine="0"/>
        <w:jc w:val="left"/>
        <w:rPr>
          <w:i/>
          <w:sz w:val="24"/>
        </w:rPr>
      </w:pPr>
      <w:r>
        <w:rPr>
          <w:i/>
          <w:sz w:val="24"/>
        </w:rPr>
        <w:t>Propiedades</w:t>
      </w:r>
      <w:r>
        <w:rPr>
          <w:i/>
          <w:spacing w:val="-4"/>
          <w:sz w:val="24"/>
        </w:rPr>
        <w:t> </w:t>
      </w:r>
      <w:r>
        <w:rPr>
          <w:i/>
          <w:sz w:val="24"/>
        </w:rPr>
        <w:t>Terapéuticas</w:t>
      </w:r>
      <w:r>
        <w:rPr>
          <w:i/>
          <w:spacing w:val="-4"/>
          <w:sz w:val="24"/>
        </w:rPr>
        <w:t> </w:t>
      </w:r>
      <w:r>
        <w:rPr>
          <w:i/>
          <w:sz w:val="24"/>
        </w:rPr>
        <w:t>del</w:t>
      </w:r>
      <w:r>
        <w:rPr>
          <w:i/>
          <w:spacing w:val="2"/>
          <w:sz w:val="24"/>
        </w:rPr>
        <w:t> </w:t>
      </w:r>
      <w:r>
        <w:rPr>
          <w:i/>
          <w:sz w:val="24"/>
        </w:rPr>
        <w:t>CBD</w:t>
      </w:r>
      <w:r>
        <w:rPr>
          <w:i/>
          <w:spacing w:val="-5"/>
          <w:sz w:val="24"/>
        </w:rPr>
        <w:t> </w:t>
      </w:r>
      <w:r>
        <w:rPr>
          <w:i/>
          <w:sz w:val="24"/>
        </w:rPr>
        <w:t>en</w:t>
      </w:r>
      <w:r>
        <w:rPr>
          <w:i/>
          <w:spacing w:val="1"/>
          <w:sz w:val="24"/>
        </w:rPr>
        <w:t> </w:t>
      </w:r>
      <w:r>
        <w:rPr>
          <w:i/>
          <w:sz w:val="24"/>
        </w:rPr>
        <w:t>Contexto</w:t>
      </w:r>
      <w:r>
        <w:rPr>
          <w:i/>
          <w:spacing w:val="-6"/>
          <w:sz w:val="24"/>
        </w:rPr>
        <w:t> </w:t>
      </w:r>
      <w:r>
        <w:rPr>
          <w:i/>
          <w:spacing w:val="-2"/>
          <w:sz w:val="24"/>
        </w:rPr>
        <w:t>Antimicrobiano</w:t>
      </w:r>
    </w:p>
    <w:p>
      <w:pPr>
        <w:pStyle w:val="BodyText"/>
        <w:spacing w:before="55"/>
        <w:rPr>
          <w:i/>
          <w:sz w:val="20"/>
        </w:rPr>
      </w:pPr>
    </w:p>
    <w:tbl>
      <w:tblPr>
        <w:tblW w:w="0" w:type="auto"/>
        <w:jc w:val="left"/>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50"/>
        <w:gridCol w:w="3263"/>
        <w:gridCol w:w="2534"/>
      </w:tblGrid>
      <w:tr>
        <w:trPr>
          <w:trHeight w:val="350" w:hRule="atLeast"/>
        </w:trPr>
        <w:tc>
          <w:tcPr>
            <w:tcW w:w="2150" w:type="dxa"/>
            <w:tcBorders>
              <w:top w:val="single" w:sz="4" w:space="0" w:color="7D7D7D"/>
              <w:bottom w:val="single" w:sz="4" w:space="0" w:color="7D7D7D"/>
            </w:tcBorders>
          </w:tcPr>
          <w:p>
            <w:pPr>
              <w:pStyle w:val="TableParagraph"/>
              <w:spacing w:line="230" w:lineRule="exact" w:before="100"/>
              <w:ind w:left="118"/>
              <w:rPr>
                <w:b/>
                <w:sz w:val="20"/>
              </w:rPr>
            </w:pPr>
            <w:r>
              <w:rPr>
                <w:b/>
                <w:spacing w:val="-2"/>
                <w:sz w:val="20"/>
              </w:rPr>
              <w:t>Propiedad</w:t>
            </w:r>
          </w:p>
        </w:tc>
        <w:tc>
          <w:tcPr>
            <w:tcW w:w="3263" w:type="dxa"/>
            <w:tcBorders>
              <w:top w:val="single" w:sz="4" w:space="0" w:color="7D7D7D"/>
              <w:bottom w:val="single" w:sz="4" w:space="0" w:color="7D7D7D"/>
            </w:tcBorders>
          </w:tcPr>
          <w:p>
            <w:pPr>
              <w:pStyle w:val="TableParagraph"/>
              <w:spacing w:line="230" w:lineRule="exact" w:before="100"/>
              <w:ind w:left="440"/>
              <w:rPr>
                <w:b/>
                <w:sz w:val="20"/>
              </w:rPr>
            </w:pPr>
            <w:r>
              <w:rPr>
                <w:b/>
                <w:sz w:val="20"/>
              </w:rPr>
              <w:t>Efecto</w:t>
            </w:r>
            <w:r>
              <w:rPr>
                <w:b/>
                <w:spacing w:val="-4"/>
                <w:sz w:val="20"/>
              </w:rPr>
              <w:t> </w:t>
            </w:r>
            <w:r>
              <w:rPr>
                <w:b/>
                <w:spacing w:val="-2"/>
                <w:sz w:val="20"/>
              </w:rPr>
              <w:t>observado</w:t>
            </w:r>
          </w:p>
        </w:tc>
        <w:tc>
          <w:tcPr>
            <w:tcW w:w="2534" w:type="dxa"/>
            <w:tcBorders>
              <w:top w:val="single" w:sz="4" w:space="0" w:color="7D7D7D"/>
              <w:bottom w:val="single" w:sz="4" w:space="0" w:color="7D7D7D"/>
            </w:tcBorders>
          </w:tcPr>
          <w:p>
            <w:pPr>
              <w:pStyle w:val="TableParagraph"/>
              <w:spacing w:line="230" w:lineRule="exact" w:before="100"/>
              <w:ind w:left="142"/>
              <w:rPr>
                <w:b/>
                <w:sz w:val="20"/>
              </w:rPr>
            </w:pPr>
            <w:r>
              <w:rPr>
                <w:b/>
                <w:sz w:val="20"/>
              </w:rPr>
              <w:t>Evidencia</w:t>
            </w:r>
            <w:r>
              <w:rPr>
                <w:b/>
                <w:spacing w:val="-8"/>
                <w:sz w:val="20"/>
              </w:rPr>
              <w:t> </w:t>
            </w:r>
            <w:r>
              <w:rPr>
                <w:b/>
                <w:spacing w:val="-2"/>
                <w:sz w:val="20"/>
              </w:rPr>
              <w:t>científica</w:t>
            </w:r>
          </w:p>
        </w:tc>
      </w:tr>
      <w:tr>
        <w:trPr>
          <w:trHeight w:val="578" w:hRule="atLeast"/>
        </w:trPr>
        <w:tc>
          <w:tcPr>
            <w:tcW w:w="2150" w:type="dxa"/>
            <w:tcBorders>
              <w:top w:val="single" w:sz="4" w:space="0" w:color="7D7D7D"/>
              <w:bottom w:val="single" w:sz="4" w:space="0" w:color="7D7D7D"/>
            </w:tcBorders>
          </w:tcPr>
          <w:p>
            <w:pPr>
              <w:pStyle w:val="TableParagraph"/>
              <w:spacing w:before="116"/>
              <w:ind w:left="118"/>
              <w:rPr>
                <w:b/>
                <w:sz w:val="20"/>
              </w:rPr>
            </w:pPr>
            <w:r>
              <w:rPr>
                <w:b/>
                <w:spacing w:val="-2"/>
                <w:sz w:val="20"/>
              </w:rPr>
              <w:t>Antibacteriano</w:t>
            </w:r>
          </w:p>
        </w:tc>
        <w:tc>
          <w:tcPr>
            <w:tcW w:w="3263" w:type="dxa"/>
            <w:tcBorders>
              <w:top w:val="single" w:sz="4" w:space="0" w:color="7D7D7D"/>
              <w:bottom w:val="single" w:sz="4" w:space="0" w:color="7D7D7D"/>
            </w:tcBorders>
          </w:tcPr>
          <w:p>
            <w:pPr>
              <w:pStyle w:val="TableParagraph"/>
              <w:spacing w:line="237" w:lineRule="auto" w:before="102"/>
              <w:ind w:left="440"/>
              <w:rPr>
                <w:sz w:val="20"/>
              </w:rPr>
            </w:pPr>
            <w:r>
              <w:rPr>
                <w:sz w:val="20"/>
              </w:rPr>
              <w:t>Inhibe</w:t>
            </w:r>
            <w:r>
              <w:rPr>
                <w:spacing w:val="-13"/>
                <w:sz w:val="20"/>
              </w:rPr>
              <w:t> </w:t>
            </w:r>
            <w:r>
              <w:rPr>
                <w:sz w:val="20"/>
              </w:rPr>
              <w:t>proliferación</w:t>
            </w:r>
            <w:r>
              <w:rPr>
                <w:spacing w:val="-11"/>
                <w:sz w:val="20"/>
              </w:rPr>
              <w:t> </w:t>
            </w:r>
            <w:r>
              <w:rPr>
                <w:sz w:val="20"/>
              </w:rPr>
              <w:t>de</w:t>
            </w:r>
            <w:r>
              <w:rPr>
                <w:spacing w:val="-13"/>
                <w:sz w:val="20"/>
              </w:rPr>
              <w:t> </w:t>
            </w:r>
            <w:r>
              <w:rPr>
                <w:sz w:val="20"/>
              </w:rPr>
              <w:t>MRSA, decrementa biopelículas</w:t>
            </w:r>
          </w:p>
        </w:tc>
        <w:tc>
          <w:tcPr>
            <w:tcW w:w="2534" w:type="dxa"/>
            <w:tcBorders>
              <w:top w:val="single" w:sz="4" w:space="0" w:color="7D7D7D"/>
              <w:bottom w:val="single" w:sz="4" w:space="0" w:color="7D7D7D"/>
            </w:tcBorders>
          </w:tcPr>
          <w:p>
            <w:pPr>
              <w:pStyle w:val="TableParagraph"/>
              <w:spacing w:line="237" w:lineRule="auto" w:before="102"/>
              <w:ind w:left="142"/>
              <w:rPr>
                <w:sz w:val="20"/>
              </w:rPr>
            </w:pPr>
            <w:r>
              <w:rPr>
                <w:sz w:val="20"/>
              </w:rPr>
              <w:t>Blaskovich</w:t>
            </w:r>
            <w:r>
              <w:rPr>
                <w:spacing w:val="27"/>
                <w:sz w:val="20"/>
              </w:rPr>
              <w:t> </w:t>
            </w:r>
            <w:r>
              <w:rPr>
                <w:sz w:val="20"/>
              </w:rPr>
              <w:t>et</w:t>
            </w:r>
            <w:r>
              <w:rPr>
                <w:spacing w:val="28"/>
                <w:sz w:val="20"/>
              </w:rPr>
              <w:t> </w:t>
            </w:r>
            <w:r>
              <w:rPr>
                <w:sz w:val="20"/>
              </w:rPr>
              <w:t>al.</w:t>
            </w:r>
            <w:r>
              <w:rPr>
                <w:spacing w:val="29"/>
                <w:sz w:val="20"/>
              </w:rPr>
              <w:t> </w:t>
            </w:r>
            <w:r>
              <w:rPr>
                <w:sz w:val="20"/>
              </w:rPr>
              <w:t>(2021); Pisanu et al. (2020)</w:t>
            </w:r>
          </w:p>
        </w:tc>
      </w:tr>
      <w:tr>
        <w:trPr>
          <w:trHeight w:val="581" w:hRule="atLeast"/>
        </w:trPr>
        <w:tc>
          <w:tcPr>
            <w:tcW w:w="2150" w:type="dxa"/>
            <w:tcBorders>
              <w:top w:val="single" w:sz="4" w:space="0" w:color="7D7D7D"/>
              <w:bottom w:val="single" w:sz="4" w:space="0" w:color="7D7D7D"/>
            </w:tcBorders>
          </w:tcPr>
          <w:p>
            <w:pPr>
              <w:pStyle w:val="TableParagraph"/>
              <w:spacing w:before="116"/>
              <w:ind w:left="118"/>
              <w:rPr>
                <w:b/>
                <w:sz w:val="20"/>
              </w:rPr>
            </w:pPr>
            <w:r>
              <w:rPr>
                <w:b/>
                <w:spacing w:val="-2"/>
                <w:sz w:val="20"/>
              </w:rPr>
              <w:t>Antiinflamatorio</w:t>
            </w:r>
          </w:p>
        </w:tc>
        <w:tc>
          <w:tcPr>
            <w:tcW w:w="3263" w:type="dxa"/>
            <w:tcBorders>
              <w:top w:val="single" w:sz="4" w:space="0" w:color="7D7D7D"/>
              <w:bottom w:val="single" w:sz="4" w:space="0" w:color="7D7D7D"/>
            </w:tcBorders>
          </w:tcPr>
          <w:p>
            <w:pPr>
              <w:pStyle w:val="TableParagraph"/>
              <w:spacing w:line="230" w:lineRule="atLeast" w:before="100"/>
              <w:ind w:left="440"/>
              <w:rPr>
                <w:sz w:val="20"/>
              </w:rPr>
            </w:pPr>
            <w:r>
              <w:rPr>
                <w:spacing w:val="-2"/>
                <w:sz w:val="20"/>
              </w:rPr>
              <w:t>Disminuye</w:t>
            </w:r>
            <w:r>
              <w:rPr>
                <w:spacing w:val="-11"/>
                <w:sz w:val="20"/>
              </w:rPr>
              <w:t> </w:t>
            </w:r>
            <w:r>
              <w:rPr>
                <w:spacing w:val="-2"/>
                <w:sz w:val="20"/>
              </w:rPr>
              <w:t>procesos</w:t>
            </w:r>
            <w:r>
              <w:rPr>
                <w:spacing w:val="-10"/>
                <w:sz w:val="20"/>
              </w:rPr>
              <w:t> </w:t>
            </w:r>
            <w:r>
              <w:rPr>
                <w:spacing w:val="-2"/>
                <w:sz w:val="20"/>
              </w:rPr>
              <w:t>inflamatorios </w:t>
            </w:r>
            <w:r>
              <w:rPr>
                <w:sz w:val="20"/>
              </w:rPr>
              <w:t>cutáneos y sistémicos</w:t>
            </w:r>
          </w:p>
        </w:tc>
        <w:tc>
          <w:tcPr>
            <w:tcW w:w="2534" w:type="dxa"/>
            <w:tcBorders>
              <w:top w:val="single" w:sz="4" w:space="0" w:color="7D7D7D"/>
              <w:bottom w:val="single" w:sz="4" w:space="0" w:color="7D7D7D"/>
            </w:tcBorders>
          </w:tcPr>
          <w:p>
            <w:pPr>
              <w:pStyle w:val="TableParagraph"/>
              <w:spacing w:before="116"/>
              <w:ind w:left="142"/>
              <w:rPr>
                <w:sz w:val="20"/>
              </w:rPr>
            </w:pPr>
            <w:r>
              <w:rPr>
                <w:sz w:val="20"/>
              </w:rPr>
              <w:t>Kogan</w:t>
            </w:r>
            <w:r>
              <w:rPr>
                <w:spacing w:val="-3"/>
                <w:sz w:val="20"/>
              </w:rPr>
              <w:t> </w:t>
            </w:r>
            <w:r>
              <w:rPr>
                <w:sz w:val="20"/>
              </w:rPr>
              <w:t>et</w:t>
            </w:r>
            <w:r>
              <w:rPr>
                <w:spacing w:val="1"/>
                <w:sz w:val="20"/>
              </w:rPr>
              <w:t> </w:t>
            </w:r>
            <w:r>
              <w:rPr>
                <w:sz w:val="20"/>
              </w:rPr>
              <w:t>al.</w:t>
            </w:r>
            <w:r>
              <w:rPr>
                <w:spacing w:val="-1"/>
                <w:sz w:val="20"/>
              </w:rPr>
              <w:t> </w:t>
            </w:r>
            <w:r>
              <w:rPr>
                <w:spacing w:val="-2"/>
                <w:sz w:val="20"/>
              </w:rPr>
              <w:t>(2019)</w:t>
            </w:r>
          </w:p>
        </w:tc>
      </w:tr>
      <w:tr>
        <w:trPr>
          <w:trHeight w:val="561" w:hRule="atLeast"/>
        </w:trPr>
        <w:tc>
          <w:tcPr>
            <w:tcW w:w="2150" w:type="dxa"/>
            <w:tcBorders>
              <w:top w:val="single" w:sz="4" w:space="0" w:color="7D7D7D"/>
            </w:tcBorders>
          </w:tcPr>
          <w:p>
            <w:pPr>
              <w:pStyle w:val="TableParagraph"/>
              <w:spacing w:before="112"/>
              <w:ind w:left="118"/>
              <w:rPr>
                <w:b/>
                <w:sz w:val="20"/>
              </w:rPr>
            </w:pPr>
            <w:r>
              <w:rPr>
                <w:b/>
                <w:spacing w:val="-2"/>
                <w:sz w:val="20"/>
              </w:rPr>
              <w:t>Inmunomodulador</w:t>
            </w:r>
          </w:p>
        </w:tc>
        <w:tc>
          <w:tcPr>
            <w:tcW w:w="3263" w:type="dxa"/>
            <w:tcBorders>
              <w:top w:val="single" w:sz="4" w:space="0" w:color="7D7D7D"/>
            </w:tcBorders>
          </w:tcPr>
          <w:p>
            <w:pPr>
              <w:pStyle w:val="TableParagraph"/>
              <w:spacing w:line="230" w:lineRule="atLeast" w:before="82"/>
              <w:ind w:left="440"/>
              <w:rPr>
                <w:sz w:val="20"/>
              </w:rPr>
            </w:pPr>
            <w:r>
              <w:rPr>
                <w:sz w:val="20"/>
              </w:rPr>
              <w:t>Regula</w:t>
            </w:r>
            <w:r>
              <w:rPr>
                <w:spacing w:val="-9"/>
                <w:sz w:val="20"/>
              </w:rPr>
              <w:t> </w:t>
            </w:r>
            <w:r>
              <w:rPr>
                <w:sz w:val="20"/>
              </w:rPr>
              <w:t>la</w:t>
            </w:r>
            <w:r>
              <w:rPr>
                <w:spacing w:val="-9"/>
                <w:sz w:val="20"/>
              </w:rPr>
              <w:t> </w:t>
            </w:r>
            <w:r>
              <w:rPr>
                <w:sz w:val="20"/>
              </w:rPr>
              <w:t>respuesta</w:t>
            </w:r>
            <w:r>
              <w:rPr>
                <w:spacing w:val="-9"/>
                <w:sz w:val="20"/>
              </w:rPr>
              <w:t> </w:t>
            </w:r>
            <w:r>
              <w:rPr>
                <w:sz w:val="20"/>
              </w:rPr>
              <w:t>inmunitaria</w:t>
            </w:r>
            <w:r>
              <w:rPr>
                <w:spacing w:val="-9"/>
                <w:sz w:val="20"/>
              </w:rPr>
              <w:t> </w:t>
            </w:r>
            <w:r>
              <w:rPr>
                <w:sz w:val="20"/>
              </w:rPr>
              <w:t>a través de los receptores CB2 y</w:t>
            </w:r>
          </w:p>
        </w:tc>
        <w:tc>
          <w:tcPr>
            <w:tcW w:w="2534" w:type="dxa"/>
            <w:tcBorders>
              <w:top w:val="single" w:sz="4" w:space="0" w:color="7D7D7D"/>
            </w:tcBorders>
          </w:tcPr>
          <w:p>
            <w:pPr>
              <w:pStyle w:val="TableParagraph"/>
              <w:spacing w:before="112"/>
              <w:ind w:left="142"/>
              <w:rPr>
                <w:sz w:val="20"/>
              </w:rPr>
            </w:pPr>
            <w:r>
              <w:rPr>
                <w:sz w:val="20"/>
              </w:rPr>
              <w:t>Kogan</w:t>
            </w:r>
            <w:r>
              <w:rPr>
                <w:spacing w:val="-3"/>
                <w:sz w:val="20"/>
              </w:rPr>
              <w:t> </w:t>
            </w:r>
            <w:r>
              <w:rPr>
                <w:sz w:val="20"/>
              </w:rPr>
              <w:t>et</w:t>
            </w:r>
            <w:r>
              <w:rPr>
                <w:spacing w:val="1"/>
                <w:sz w:val="20"/>
              </w:rPr>
              <w:t> </w:t>
            </w:r>
            <w:r>
              <w:rPr>
                <w:sz w:val="20"/>
              </w:rPr>
              <w:t>al.</w:t>
            </w:r>
            <w:r>
              <w:rPr>
                <w:spacing w:val="-1"/>
                <w:sz w:val="20"/>
              </w:rPr>
              <w:t> </w:t>
            </w:r>
            <w:r>
              <w:rPr>
                <w:spacing w:val="-2"/>
                <w:sz w:val="20"/>
              </w:rPr>
              <w:t>(2019)</w:t>
            </w:r>
          </w:p>
        </w:tc>
      </w:tr>
      <w:tr>
        <w:trPr>
          <w:trHeight w:val="224" w:hRule="atLeast"/>
        </w:trPr>
        <w:tc>
          <w:tcPr>
            <w:tcW w:w="2150" w:type="dxa"/>
            <w:tcBorders>
              <w:bottom w:val="single" w:sz="4" w:space="0" w:color="7D7D7D"/>
            </w:tcBorders>
          </w:tcPr>
          <w:p>
            <w:pPr>
              <w:pStyle w:val="TableParagraph"/>
              <w:rPr>
                <w:sz w:val="16"/>
              </w:rPr>
            </w:pPr>
          </w:p>
        </w:tc>
        <w:tc>
          <w:tcPr>
            <w:tcW w:w="3263" w:type="dxa"/>
            <w:tcBorders>
              <w:bottom w:val="single" w:sz="4" w:space="0" w:color="7D7D7D"/>
            </w:tcBorders>
          </w:tcPr>
          <w:p>
            <w:pPr>
              <w:pStyle w:val="TableParagraph"/>
              <w:spacing w:line="204" w:lineRule="exact"/>
              <w:ind w:left="440"/>
              <w:rPr>
                <w:sz w:val="20"/>
              </w:rPr>
            </w:pPr>
            <w:r>
              <w:rPr>
                <w:spacing w:val="-4"/>
                <w:sz w:val="20"/>
              </w:rPr>
              <w:t>GPR55</w:t>
            </w:r>
          </w:p>
        </w:tc>
        <w:tc>
          <w:tcPr>
            <w:tcW w:w="2534" w:type="dxa"/>
            <w:tcBorders>
              <w:bottom w:val="single" w:sz="4" w:space="0" w:color="7D7D7D"/>
            </w:tcBorders>
          </w:tcPr>
          <w:p>
            <w:pPr>
              <w:pStyle w:val="TableParagraph"/>
              <w:rPr>
                <w:sz w:val="16"/>
              </w:rPr>
            </w:pPr>
          </w:p>
        </w:tc>
      </w:tr>
      <w:tr>
        <w:trPr>
          <w:trHeight w:val="565" w:hRule="atLeast"/>
        </w:trPr>
        <w:tc>
          <w:tcPr>
            <w:tcW w:w="2150" w:type="dxa"/>
            <w:tcBorders>
              <w:top w:val="single" w:sz="4" w:space="0" w:color="7D7D7D"/>
            </w:tcBorders>
          </w:tcPr>
          <w:p>
            <w:pPr>
              <w:pStyle w:val="TableParagraph"/>
              <w:spacing w:line="228" w:lineRule="exact" w:before="89"/>
              <w:ind w:left="118"/>
              <w:rPr>
                <w:b/>
                <w:sz w:val="20"/>
              </w:rPr>
            </w:pPr>
            <w:r>
              <w:rPr>
                <w:b/>
                <w:spacing w:val="-2"/>
                <w:sz w:val="20"/>
              </w:rPr>
              <w:t>Sinergismo </w:t>
            </w:r>
            <w:r>
              <w:rPr>
                <w:b/>
                <w:spacing w:val="-4"/>
                <w:sz w:val="20"/>
              </w:rPr>
              <w:t>farmacológico</w:t>
            </w:r>
          </w:p>
        </w:tc>
        <w:tc>
          <w:tcPr>
            <w:tcW w:w="3263" w:type="dxa"/>
            <w:tcBorders>
              <w:top w:val="single" w:sz="4" w:space="0" w:color="7D7D7D"/>
            </w:tcBorders>
          </w:tcPr>
          <w:p>
            <w:pPr>
              <w:pStyle w:val="TableParagraph"/>
              <w:spacing w:line="228" w:lineRule="exact" w:before="89"/>
              <w:ind w:left="440" w:right="80"/>
              <w:rPr>
                <w:sz w:val="20"/>
              </w:rPr>
            </w:pPr>
            <w:r>
              <w:rPr>
                <w:sz w:val="20"/>
              </w:rPr>
              <w:t>Sinergia</w:t>
            </w:r>
            <w:r>
              <w:rPr>
                <w:spacing w:val="-13"/>
                <w:sz w:val="20"/>
              </w:rPr>
              <w:t> </w:t>
            </w:r>
            <w:r>
              <w:rPr>
                <w:sz w:val="20"/>
              </w:rPr>
              <w:t>Farmacológica</w:t>
            </w:r>
            <w:r>
              <w:rPr>
                <w:spacing w:val="-12"/>
                <w:sz w:val="20"/>
              </w:rPr>
              <w:t> </w:t>
            </w:r>
            <w:r>
              <w:rPr>
                <w:sz w:val="20"/>
              </w:rPr>
              <w:t>Potencia la acción de antibióticos, la</w:t>
            </w:r>
          </w:p>
        </w:tc>
        <w:tc>
          <w:tcPr>
            <w:tcW w:w="2534" w:type="dxa"/>
            <w:tcBorders>
              <w:top w:val="single" w:sz="4" w:space="0" w:color="7D7D7D"/>
            </w:tcBorders>
          </w:tcPr>
          <w:p>
            <w:pPr>
              <w:pStyle w:val="TableParagraph"/>
              <w:spacing w:before="120"/>
              <w:ind w:left="142"/>
              <w:rPr>
                <w:sz w:val="20"/>
              </w:rPr>
            </w:pPr>
            <w:r>
              <w:rPr>
                <w:sz w:val="20"/>
              </w:rPr>
              <w:t>Blaskovich</w:t>
            </w:r>
            <w:r>
              <w:rPr>
                <w:spacing w:val="-6"/>
                <w:sz w:val="20"/>
              </w:rPr>
              <w:t> </w:t>
            </w:r>
            <w:r>
              <w:rPr>
                <w:sz w:val="20"/>
              </w:rPr>
              <w:t>et</w:t>
            </w:r>
            <w:r>
              <w:rPr>
                <w:spacing w:val="-1"/>
                <w:sz w:val="20"/>
              </w:rPr>
              <w:t> </w:t>
            </w:r>
            <w:r>
              <w:rPr>
                <w:sz w:val="20"/>
              </w:rPr>
              <w:t>al.</w:t>
            </w:r>
            <w:r>
              <w:rPr>
                <w:spacing w:val="1"/>
                <w:sz w:val="20"/>
              </w:rPr>
              <w:t> </w:t>
            </w:r>
            <w:r>
              <w:rPr>
                <w:spacing w:val="-2"/>
                <w:sz w:val="20"/>
              </w:rPr>
              <w:t>(2021)</w:t>
            </w:r>
          </w:p>
        </w:tc>
      </w:tr>
      <w:tr>
        <w:trPr>
          <w:trHeight w:val="228" w:hRule="atLeast"/>
        </w:trPr>
        <w:tc>
          <w:tcPr>
            <w:tcW w:w="2150" w:type="dxa"/>
            <w:tcBorders>
              <w:bottom w:val="single" w:sz="4" w:space="0" w:color="7D7D7D"/>
            </w:tcBorders>
          </w:tcPr>
          <w:p>
            <w:pPr>
              <w:pStyle w:val="TableParagraph"/>
              <w:rPr>
                <w:sz w:val="16"/>
              </w:rPr>
            </w:pPr>
          </w:p>
        </w:tc>
        <w:tc>
          <w:tcPr>
            <w:tcW w:w="3263" w:type="dxa"/>
            <w:tcBorders>
              <w:bottom w:val="single" w:sz="4" w:space="0" w:color="7D7D7D"/>
            </w:tcBorders>
          </w:tcPr>
          <w:p>
            <w:pPr>
              <w:pStyle w:val="TableParagraph"/>
              <w:spacing w:line="209" w:lineRule="exact"/>
              <w:ind w:left="440"/>
              <w:rPr>
                <w:sz w:val="20"/>
              </w:rPr>
            </w:pPr>
            <w:r>
              <w:rPr>
                <w:sz w:val="20"/>
              </w:rPr>
              <w:t>vancomicina,</w:t>
            </w:r>
            <w:r>
              <w:rPr>
                <w:spacing w:val="1"/>
                <w:sz w:val="20"/>
              </w:rPr>
              <w:t> </w:t>
            </w:r>
            <w:r>
              <w:rPr>
                <w:sz w:val="20"/>
              </w:rPr>
              <w:t>por</w:t>
            </w:r>
            <w:r>
              <w:rPr>
                <w:spacing w:val="2"/>
                <w:sz w:val="20"/>
              </w:rPr>
              <w:t> </w:t>
            </w:r>
            <w:r>
              <w:rPr>
                <w:spacing w:val="-2"/>
                <w:sz w:val="20"/>
              </w:rPr>
              <w:t>ejemplo</w:t>
            </w:r>
          </w:p>
        </w:tc>
        <w:tc>
          <w:tcPr>
            <w:tcW w:w="2534" w:type="dxa"/>
            <w:tcBorders>
              <w:bottom w:val="single" w:sz="4" w:space="0" w:color="7D7D7D"/>
            </w:tcBorders>
          </w:tcPr>
          <w:p>
            <w:pPr>
              <w:pStyle w:val="TableParagraph"/>
              <w:rPr>
                <w:sz w:val="16"/>
              </w:rPr>
            </w:pPr>
          </w:p>
        </w:tc>
      </w:tr>
    </w:tbl>
    <w:p>
      <w:pPr>
        <w:spacing w:before="0"/>
        <w:ind w:left="994" w:right="0" w:firstLine="0"/>
        <w:jc w:val="left"/>
        <w:rPr>
          <w:sz w:val="20"/>
        </w:rPr>
      </w:pPr>
      <w:bookmarkStart w:name="_bookmark12" w:id="13"/>
      <w:bookmarkEnd w:id="13"/>
      <w:r>
        <w:rPr/>
      </w:r>
      <w:r>
        <w:rPr>
          <w:i/>
          <w:sz w:val="20"/>
        </w:rPr>
        <w:t>Nota:</w:t>
      </w:r>
      <w:r>
        <w:rPr>
          <w:i/>
          <w:spacing w:val="-1"/>
          <w:sz w:val="20"/>
        </w:rPr>
        <w:t> </w:t>
      </w:r>
      <w:r>
        <w:rPr>
          <w:sz w:val="20"/>
        </w:rPr>
        <w:t>Blaskovich et al.</w:t>
      </w:r>
      <w:r>
        <w:rPr>
          <w:spacing w:val="-1"/>
          <w:sz w:val="20"/>
        </w:rPr>
        <w:t> </w:t>
      </w:r>
      <w:r>
        <w:rPr>
          <w:sz w:val="20"/>
        </w:rPr>
        <w:t>(2021),</w:t>
      </w:r>
      <w:r>
        <w:rPr>
          <w:spacing w:val="1"/>
          <w:sz w:val="20"/>
        </w:rPr>
        <w:t> </w:t>
      </w:r>
      <w:r>
        <w:rPr>
          <w:sz w:val="20"/>
        </w:rPr>
        <w:t>Pisanu</w:t>
      </w:r>
      <w:r>
        <w:rPr>
          <w:spacing w:val="-1"/>
          <w:sz w:val="20"/>
        </w:rPr>
        <w:t> </w:t>
      </w:r>
      <w:r>
        <w:rPr>
          <w:sz w:val="20"/>
        </w:rPr>
        <w:t>et</w:t>
      </w:r>
      <w:r>
        <w:rPr>
          <w:spacing w:val="-3"/>
          <w:sz w:val="20"/>
        </w:rPr>
        <w:t> </w:t>
      </w:r>
      <w:r>
        <w:rPr>
          <w:sz w:val="20"/>
        </w:rPr>
        <w:t>al.</w:t>
      </w:r>
      <w:r>
        <w:rPr>
          <w:spacing w:val="-2"/>
          <w:sz w:val="20"/>
        </w:rPr>
        <w:t> </w:t>
      </w:r>
      <w:r>
        <w:rPr>
          <w:sz w:val="20"/>
        </w:rPr>
        <w:t>(2020)</w:t>
      </w:r>
      <w:r>
        <w:rPr>
          <w:spacing w:val="-3"/>
          <w:sz w:val="20"/>
        </w:rPr>
        <w:t> </w:t>
      </w:r>
      <w:r>
        <w:rPr>
          <w:sz w:val="20"/>
        </w:rPr>
        <w:t>y Kogan</w:t>
      </w:r>
      <w:r>
        <w:rPr>
          <w:spacing w:val="-1"/>
          <w:sz w:val="20"/>
        </w:rPr>
        <w:t> </w:t>
      </w:r>
      <w:r>
        <w:rPr>
          <w:sz w:val="20"/>
        </w:rPr>
        <w:t>et</w:t>
      </w:r>
      <w:r>
        <w:rPr>
          <w:spacing w:val="-4"/>
          <w:sz w:val="20"/>
        </w:rPr>
        <w:t> </w:t>
      </w:r>
      <w:r>
        <w:rPr>
          <w:sz w:val="20"/>
        </w:rPr>
        <w:t>al.</w:t>
      </w:r>
      <w:r>
        <w:rPr>
          <w:spacing w:val="3"/>
          <w:sz w:val="20"/>
        </w:rPr>
        <w:t> </w:t>
      </w:r>
      <w:r>
        <w:rPr>
          <w:spacing w:val="-2"/>
          <w:sz w:val="20"/>
        </w:rPr>
        <w:t>(2019).</w:t>
      </w:r>
    </w:p>
    <w:p>
      <w:pPr>
        <w:pStyle w:val="BodyText"/>
        <w:spacing w:before="149"/>
        <w:rPr>
          <w:sz w:val="20"/>
        </w:rPr>
      </w:pPr>
    </w:p>
    <w:p>
      <w:pPr>
        <w:pStyle w:val="Heading3"/>
        <w:numPr>
          <w:ilvl w:val="1"/>
          <w:numId w:val="9"/>
        </w:numPr>
        <w:tabs>
          <w:tab w:pos="1426" w:val="left" w:leader="none"/>
        </w:tabs>
        <w:spacing w:line="240" w:lineRule="auto" w:before="0" w:after="0"/>
        <w:ind w:left="1426" w:right="0" w:hanging="432"/>
        <w:jc w:val="both"/>
      </w:pPr>
      <w:r>
        <w:rPr>
          <w:spacing w:val="-2"/>
        </w:rPr>
        <w:t>Antibióticos</w:t>
      </w:r>
    </w:p>
    <w:p>
      <w:pPr>
        <w:pStyle w:val="BodyText"/>
        <w:spacing w:before="113"/>
        <w:rPr>
          <w:b/>
        </w:rPr>
      </w:pPr>
    </w:p>
    <w:p>
      <w:pPr>
        <w:pStyle w:val="BodyText"/>
        <w:spacing w:line="360" w:lineRule="auto"/>
        <w:ind w:left="994" w:right="704"/>
        <w:jc w:val="both"/>
      </w:pPr>
      <w:r>
        <w:rPr/>
        <w:t>Los antibióticos son compuestos naturales o sintéticos usados para detener o eliminar bacterias patógenas. Por ello, han sido parte básica del tratamiento de infecciones en personas y animales (WHO, 2021). En medicina veterinaria, el manejo de infecciones cutáneas en perros, como las piodermas, requiere elegir el antibiótico según el agente causal, la zona afectada y la sensibilidad bacteriana (Andrade</w:t>
      </w:r>
      <w:r>
        <w:rPr>
          <w:spacing w:val="-9"/>
        </w:rPr>
        <w:t> </w:t>
      </w:r>
      <w:r>
        <w:rPr/>
        <w:t>et</w:t>
      </w:r>
      <w:r>
        <w:rPr>
          <w:spacing w:val="-9"/>
        </w:rPr>
        <w:t> </w:t>
      </w:r>
      <w:r>
        <w:rPr/>
        <w:t>al.,</w:t>
      </w:r>
      <w:r>
        <w:rPr>
          <w:spacing w:val="-10"/>
        </w:rPr>
        <w:t> </w:t>
      </w:r>
      <w:r>
        <w:rPr/>
        <w:t>2022).</w:t>
      </w:r>
      <w:r>
        <w:rPr>
          <w:spacing w:val="-8"/>
        </w:rPr>
        <w:t> </w:t>
      </w:r>
      <w:r>
        <w:rPr/>
        <w:t>No</w:t>
      </w:r>
      <w:r>
        <w:rPr>
          <w:spacing w:val="-10"/>
        </w:rPr>
        <w:t> </w:t>
      </w:r>
      <w:r>
        <w:rPr/>
        <w:t>obstante</w:t>
      </w:r>
      <w:r>
        <w:rPr>
          <w:spacing w:val="-9"/>
        </w:rPr>
        <w:t> </w:t>
      </w:r>
      <w:r>
        <w:rPr/>
        <w:t>esto,</w:t>
      </w:r>
      <w:r>
        <w:rPr>
          <w:spacing w:val="-10"/>
        </w:rPr>
        <w:t> </w:t>
      </w:r>
      <w:r>
        <w:rPr/>
        <w:t>la</w:t>
      </w:r>
      <w:r>
        <w:rPr>
          <w:spacing w:val="-13"/>
        </w:rPr>
        <w:t> </w:t>
      </w:r>
      <w:r>
        <w:rPr/>
        <w:t>utilización</w:t>
      </w:r>
      <w:r>
        <w:rPr>
          <w:spacing w:val="-10"/>
        </w:rPr>
        <w:t> </w:t>
      </w:r>
      <w:r>
        <w:rPr/>
        <w:t>desmedida</w:t>
      </w:r>
      <w:r>
        <w:rPr>
          <w:spacing w:val="-9"/>
        </w:rPr>
        <w:t> </w:t>
      </w:r>
      <w:r>
        <w:rPr/>
        <w:t>de</w:t>
      </w:r>
      <w:r>
        <w:rPr>
          <w:spacing w:val="-9"/>
        </w:rPr>
        <w:t> </w:t>
      </w:r>
      <w:r>
        <w:rPr/>
        <w:t>tales</w:t>
      </w:r>
      <w:r>
        <w:rPr>
          <w:spacing w:val="-12"/>
        </w:rPr>
        <w:t> </w:t>
      </w:r>
      <w:r>
        <w:rPr/>
        <w:t>fármacos a facilitado el desarrollo de resistencia bacteriana. Este escenario vuelve mas compleja la gestión de cepas multirresistentes tales como MRSA (Vuong et al. , </w:t>
      </w:r>
      <w:r>
        <w:rPr>
          <w:spacing w:val="-2"/>
        </w:rPr>
        <w:t>2020).</w:t>
      </w:r>
    </w:p>
    <w:p>
      <w:pPr>
        <w:pStyle w:val="BodyText"/>
        <w:spacing w:line="360" w:lineRule="auto" w:before="158"/>
        <w:ind w:left="994" w:right="715"/>
        <w:jc w:val="both"/>
      </w:pPr>
      <w:r>
        <w:rPr/>
        <w:t>Dentro</w:t>
      </w:r>
      <w:r>
        <w:rPr>
          <w:spacing w:val="-5"/>
        </w:rPr>
        <w:t> </w:t>
      </w:r>
      <w:r>
        <w:rPr/>
        <w:t>la</w:t>
      </w:r>
      <w:r>
        <w:rPr>
          <w:spacing w:val="-8"/>
        </w:rPr>
        <w:t> </w:t>
      </w:r>
      <w:r>
        <w:rPr/>
        <w:t>practica</w:t>
      </w:r>
      <w:r>
        <w:rPr>
          <w:spacing w:val="-4"/>
        </w:rPr>
        <w:t> </w:t>
      </w:r>
      <w:r>
        <w:rPr/>
        <w:t>clínica</w:t>
      </w:r>
      <w:r>
        <w:rPr>
          <w:spacing w:val="-4"/>
        </w:rPr>
        <w:t> </w:t>
      </w:r>
      <w:r>
        <w:rPr/>
        <w:t>veterinaria</w:t>
      </w:r>
      <w:r>
        <w:rPr>
          <w:spacing w:val="-4"/>
        </w:rPr>
        <w:t> </w:t>
      </w:r>
      <w:r>
        <w:rPr/>
        <w:t>aquí</w:t>
      </w:r>
      <w:r>
        <w:rPr>
          <w:spacing w:val="-9"/>
        </w:rPr>
        <w:t> </w:t>
      </w:r>
      <w:r>
        <w:rPr/>
        <w:t>en</w:t>
      </w:r>
      <w:r>
        <w:rPr>
          <w:spacing w:val="-5"/>
        </w:rPr>
        <w:t> </w:t>
      </w:r>
      <w:r>
        <w:rPr/>
        <w:t>Ecuador,</w:t>
      </w:r>
      <w:r>
        <w:rPr>
          <w:spacing w:val="-5"/>
        </w:rPr>
        <w:t> </w:t>
      </w:r>
      <w:r>
        <w:rPr/>
        <w:t>encontramos</w:t>
      </w:r>
      <w:r>
        <w:rPr>
          <w:spacing w:val="-7"/>
        </w:rPr>
        <w:t> </w:t>
      </w:r>
      <w:r>
        <w:rPr/>
        <w:t>antibióticos</w:t>
      </w:r>
      <w:r>
        <w:rPr>
          <w:spacing w:val="-7"/>
        </w:rPr>
        <w:t> </w:t>
      </w:r>
      <w:r>
        <w:rPr/>
        <w:t>de amplio</w:t>
      </w:r>
      <w:r>
        <w:rPr>
          <w:spacing w:val="-6"/>
        </w:rPr>
        <w:t> </w:t>
      </w:r>
      <w:r>
        <w:rPr/>
        <w:t>uso</w:t>
      </w:r>
      <w:r>
        <w:rPr>
          <w:spacing w:val="-6"/>
        </w:rPr>
        <w:t> </w:t>
      </w:r>
      <w:r>
        <w:rPr/>
        <w:t>para</w:t>
      </w:r>
      <w:r>
        <w:rPr>
          <w:spacing w:val="-4"/>
        </w:rPr>
        <w:t> </w:t>
      </w:r>
      <w:r>
        <w:rPr/>
        <w:t>lidiar</w:t>
      </w:r>
      <w:r>
        <w:rPr>
          <w:spacing w:val="-5"/>
        </w:rPr>
        <w:t> </w:t>
      </w:r>
      <w:r>
        <w:rPr/>
        <w:t>con</w:t>
      </w:r>
      <w:r>
        <w:rPr>
          <w:spacing w:val="-6"/>
        </w:rPr>
        <w:t> </w:t>
      </w:r>
      <w:r>
        <w:rPr/>
        <w:t>infecciones</w:t>
      </w:r>
      <w:r>
        <w:rPr>
          <w:spacing w:val="-7"/>
        </w:rPr>
        <w:t> </w:t>
      </w:r>
      <w:r>
        <w:rPr/>
        <w:t>en</w:t>
      </w:r>
      <w:r>
        <w:rPr>
          <w:spacing w:val="-6"/>
        </w:rPr>
        <w:t> </w:t>
      </w:r>
      <w:r>
        <w:rPr/>
        <w:t>la</w:t>
      </w:r>
      <w:r>
        <w:rPr>
          <w:spacing w:val="-4"/>
        </w:rPr>
        <w:t> </w:t>
      </w:r>
      <w:r>
        <w:rPr/>
        <w:t>piel</w:t>
      </w:r>
      <w:r>
        <w:rPr>
          <w:spacing w:val="-5"/>
        </w:rPr>
        <w:t> </w:t>
      </w:r>
      <w:r>
        <w:rPr/>
        <w:t>de</w:t>
      </w:r>
      <w:r>
        <w:rPr>
          <w:spacing w:val="-4"/>
        </w:rPr>
        <w:t> </w:t>
      </w:r>
      <w:r>
        <w:rPr/>
        <w:t>los</w:t>
      </w:r>
      <w:r>
        <w:rPr>
          <w:spacing w:val="-7"/>
        </w:rPr>
        <w:t> </w:t>
      </w:r>
      <w:r>
        <w:rPr/>
        <w:t>canes,</w:t>
      </w:r>
      <w:r>
        <w:rPr>
          <w:spacing w:val="-6"/>
        </w:rPr>
        <w:t> </w:t>
      </w:r>
      <w:r>
        <w:rPr/>
        <w:t>como</w:t>
      </w:r>
      <w:r>
        <w:rPr>
          <w:spacing w:val="-6"/>
        </w:rPr>
        <w:t> </w:t>
      </w:r>
      <w:r>
        <w:rPr/>
        <w:t>la</w:t>
      </w:r>
      <w:r>
        <w:rPr>
          <w:spacing w:val="-4"/>
        </w:rPr>
        <w:t> </w:t>
      </w:r>
      <w:r>
        <w:rPr/>
        <w:t>amoxicilina, enrofloxacina y cefalexina, las cuales todas muestran actividad contra bacterias Gram positivas como es </w:t>
      </w:r>
      <w:r>
        <w:rPr>
          <w:i/>
        </w:rPr>
        <w:t>Staphylococcus aureus</w:t>
      </w:r>
      <w:r>
        <w:rPr/>
        <w:t>.</w:t>
      </w:r>
    </w:p>
    <w:p>
      <w:pPr>
        <w:pStyle w:val="Heading3"/>
        <w:numPr>
          <w:ilvl w:val="2"/>
          <w:numId w:val="9"/>
        </w:numPr>
        <w:tabs>
          <w:tab w:pos="1702" w:val="left" w:leader="none"/>
        </w:tabs>
        <w:spacing w:line="240" w:lineRule="auto" w:before="157" w:after="0"/>
        <w:ind w:left="1702" w:right="0" w:hanging="708"/>
        <w:jc w:val="both"/>
      </w:pPr>
      <w:bookmarkStart w:name="_bookmark13" w:id="14"/>
      <w:bookmarkEnd w:id="14"/>
      <w:r>
        <w:rPr>
          <w:b w:val="0"/>
        </w:rPr>
      </w:r>
      <w:r>
        <w:rPr>
          <w:spacing w:val="-2"/>
        </w:rPr>
        <w:t>Amoxicilina</w:t>
      </w:r>
    </w:p>
    <w:p>
      <w:pPr>
        <w:pStyle w:val="BodyText"/>
        <w:spacing w:before="100"/>
        <w:rPr>
          <w:b/>
        </w:rPr>
      </w:pPr>
    </w:p>
    <w:p>
      <w:pPr>
        <w:pStyle w:val="BodyText"/>
        <w:spacing w:line="362" w:lineRule="auto"/>
        <w:ind w:left="994" w:right="718"/>
        <w:jc w:val="both"/>
      </w:pPr>
      <w:r>
        <w:rPr/>
        <w:t>La amoxicilina es una penicilina semisintética de amplio espectro, derivada del ácido</w:t>
      </w:r>
      <w:r>
        <w:rPr>
          <w:spacing w:val="-2"/>
        </w:rPr>
        <w:t> </w:t>
      </w:r>
      <w:r>
        <w:rPr/>
        <w:t>6-aminopenicilánico.</w:t>
      </w:r>
      <w:r>
        <w:rPr>
          <w:spacing w:val="1"/>
        </w:rPr>
        <w:t> </w:t>
      </w:r>
      <w:r>
        <w:rPr/>
        <w:t>Es</w:t>
      </w:r>
      <w:r>
        <w:rPr>
          <w:spacing w:val="-3"/>
        </w:rPr>
        <w:t> </w:t>
      </w:r>
      <w:r>
        <w:rPr/>
        <w:t>ampliamente</w:t>
      </w:r>
      <w:r>
        <w:rPr>
          <w:spacing w:val="5"/>
        </w:rPr>
        <w:t> </w:t>
      </w:r>
      <w:r>
        <w:rPr/>
        <w:t>utilizada</w:t>
      </w:r>
      <w:r>
        <w:rPr>
          <w:spacing w:val="5"/>
        </w:rPr>
        <w:t> </w:t>
      </w:r>
      <w:r>
        <w:rPr/>
        <w:t>en</w:t>
      </w:r>
      <w:r>
        <w:rPr>
          <w:spacing w:val="-2"/>
        </w:rPr>
        <w:t> </w:t>
      </w:r>
      <w:r>
        <w:rPr/>
        <w:t>medicina</w:t>
      </w:r>
      <w:r>
        <w:rPr>
          <w:spacing w:val="6"/>
        </w:rPr>
        <w:t> </w:t>
      </w:r>
      <w:r>
        <w:rPr/>
        <w:t>veterinaria</w:t>
      </w:r>
      <w:r>
        <w:rPr>
          <w:spacing w:val="6"/>
        </w:rPr>
        <w:t> </w:t>
      </w:r>
      <w:r>
        <w:rPr>
          <w:spacing w:val="-4"/>
        </w:rPr>
        <w:t>bajo</w:t>
      </w:r>
    </w:p>
    <w:p>
      <w:pPr>
        <w:pStyle w:val="BodyText"/>
        <w:spacing w:after="0" w:line="362" w:lineRule="auto"/>
        <w:jc w:val="both"/>
        <w:sectPr>
          <w:pgSz w:w="11900" w:h="16840"/>
          <w:pgMar w:top="1640" w:bottom="280" w:left="1275" w:right="992"/>
        </w:sectPr>
      </w:pPr>
    </w:p>
    <w:p>
      <w:pPr>
        <w:pStyle w:val="BodyText"/>
        <w:spacing w:line="362" w:lineRule="auto" w:before="60"/>
        <w:ind w:left="994" w:right="709"/>
        <w:jc w:val="both"/>
      </w:pPr>
      <w:r>
        <w:rPr/>
        <w:t>nombres comerciales como Clamoxyl® y Amoxival®, y está indicada en numerosas infecciones bacterianas en</w:t>
      </w:r>
      <w:r>
        <w:rPr>
          <w:spacing w:val="-4"/>
        </w:rPr>
        <w:t> </w:t>
      </w:r>
      <w:r>
        <w:rPr/>
        <w:t>animales de</w:t>
      </w:r>
      <w:r>
        <w:rPr>
          <w:spacing w:val="-2"/>
        </w:rPr>
        <w:t> </w:t>
      </w:r>
      <w:r>
        <w:rPr/>
        <w:t>compañía (Pereira et</w:t>
      </w:r>
      <w:r>
        <w:rPr>
          <w:spacing w:val="-3"/>
        </w:rPr>
        <w:t> </w:t>
      </w:r>
      <w:r>
        <w:rPr/>
        <w:t>al., 2021).</w:t>
      </w:r>
    </w:p>
    <w:p>
      <w:pPr>
        <w:pStyle w:val="Heading3"/>
        <w:spacing w:before="155"/>
      </w:pPr>
      <w:r>
        <w:rPr/>
        <w:t>Mecanismo</w:t>
      </w:r>
      <w:r>
        <w:rPr>
          <w:spacing w:val="-5"/>
        </w:rPr>
        <w:t> </w:t>
      </w:r>
      <w:r>
        <w:rPr/>
        <w:t>de </w:t>
      </w:r>
      <w:r>
        <w:rPr>
          <w:spacing w:val="-2"/>
        </w:rPr>
        <w:t>acción</w:t>
      </w:r>
    </w:p>
    <w:p>
      <w:pPr>
        <w:pStyle w:val="BodyText"/>
        <w:spacing w:before="24"/>
        <w:rPr>
          <w:b/>
        </w:rPr>
      </w:pPr>
    </w:p>
    <w:p>
      <w:pPr>
        <w:pStyle w:val="BodyText"/>
        <w:spacing w:line="360" w:lineRule="auto"/>
        <w:ind w:left="994" w:right="696"/>
        <w:jc w:val="both"/>
      </w:pPr>
      <w:r>
        <w:rPr/>
        <w:t>La</w:t>
      </w:r>
      <w:r>
        <w:rPr>
          <w:spacing w:val="-14"/>
        </w:rPr>
        <w:t> </w:t>
      </w:r>
      <w:r>
        <w:rPr/>
        <w:t>amoxicilina</w:t>
      </w:r>
      <w:r>
        <w:rPr>
          <w:spacing w:val="-14"/>
        </w:rPr>
        <w:t> </w:t>
      </w:r>
      <w:r>
        <w:rPr/>
        <w:t>actúa</w:t>
      </w:r>
      <w:r>
        <w:rPr>
          <w:spacing w:val="-14"/>
        </w:rPr>
        <w:t> </w:t>
      </w:r>
      <w:r>
        <w:rPr/>
        <w:t>como</w:t>
      </w:r>
      <w:r>
        <w:rPr>
          <w:spacing w:val="-15"/>
        </w:rPr>
        <w:t> </w:t>
      </w:r>
      <w:r>
        <w:rPr/>
        <w:t>bactericida</w:t>
      </w:r>
      <w:r>
        <w:rPr>
          <w:spacing w:val="-14"/>
        </w:rPr>
        <w:t> </w:t>
      </w:r>
      <w:r>
        <w:rPr/>
        <w:t>porque</w:t>
      </w:r>
      <w:r>
        <w:rPr>
          <w:spacing w:val="-14"/>
        </w:rPr>
        <w:t> </w:t>
      </w:r>
      <w:r>
        <w:rPr/>
        <w:t>interfiere</w:t>
      </w:r>
      <w:r>
        <w:rPr>
          <w:spacing w:val="-14"/>
        </w:rPr>
        <w:t> </w:t>
      </w:r>
      <w:r>
        <w:rPr/>
        <w:t>en</w:t>
      </w:r>
      <w:r>
        <w:rPr>
          <w:spacing w:val="-15"/>
        </w:rPr>
        <w:t> </w:t>
      </w:r>
      <w:r>
        <w:rPr/>
        <w:t>la</w:t>
      </w:r>
      <w:r>
        <w:rPr>
          <w:spacing w:val="-14"/>
        </w:rPr>
        <w:t> </w:t>
      </w:r>
      <w:r>
        <w:rPr/>
        <w:t>formación</w:t>
      </w:r>
      <w:r>
        <w:rPr>
          <w:spacing w:val="-15"/>
        </w:rPr>
        <w:t> </w:t>
      </w:r>
      <w:r>
        <w:rPr/>
        <w:t>de</w:t>
      </w:r>
      <w:r>
        <w:rPr>
          <w:spacing w:val="-14"/>
        </w:rPr>
        <w:t> </w:t>
      </w:r>
      <w:r>
        <w:rPr/>
        <w:t>la</w:t>
      </w:r>
      <w:r>
        <w:rPr>
          <w:spacing w:val="-14"/>
        </w:rPr>
        <w:t> </w:t>
      </w:r>
      <w:r>
        <w:rPr/>
        <w:t>pared celular bacteriana. Esta fenómeno surje al enlazarse a las proteinas que ligan penicilinas (PBPs) que bloquea la fabricacion del peptidoglicano, un elemento esencial de la pared de la celula ya nombrada. Con esta fabricacion detenida, el organismo podria sufrir ruptura por presion osmotica, en particular en microorganismos Gram positivos (WHO, 2021).</w:t>
      </w:r>
    </w:p>
    <w:p>
      <w:pPr>
        <w:pStyle w:val="Heading3"/>
        <w:spacing w:before="161"/>
      </w:pPr>
      <w:r>
        <w:rPr/>
        <w:t>Dosis</w:t>
      </w:r>
      <w:r>
        <w:rPr>
          <w:spacing w:val="-10"/>
        </w:rPr>
        <w:t> </w:t>
      </w:r>
      <w:r>
        <w:rPr>
          <w:spacing w:val="-2"/>
        </w:rPr>
        <w:t>terapéutica</w:t>
      </w:r>
    </w:p>
    <w:p>
      <w:pPr>
        <w:pStyle w:val="BodyText"/>
        <w:spacing w:before="20"/>
        <w:rPr>
          <w:b/>
        </w:rPr>
      </w:pPr>
    </w:p>
    <w:p>
      <w:pPr>
        <w:pStyle w:val="BodyText"/>
        <w:spacing w:line="360" w:lineRule="auto"/>
        <w:ind w:left="994" w:right="693"/>
        <w:jc w:val="both"/>
      </w:pPr>
      <w:r>
        <w:rPr/>
        <w:t>Para</w:t>
      </w:r>
      <w:r>
        <w:rPr>
          <w:spacing w:val="-4"/>
        </w:rPr>
        <w:t> </w:t>
      </w:r>
      <w:r>
        <w:rPr/>
        <w:t>canes,</w:t>
      </w:r>
      <w:r>
        <w:rPr>
          <w:spacing w:val="-6"/>
        </w:rPr>
        <w:t> </w:t>
      </w:r>
      <w:r>
        <w:rPr/>
        <w:t>el</w:t>
      </w:r>
      <w:r>
        <w:rPr>
          <w:spacing w:val="-5"/>
        </w:rPr>
        <w:t> </w:t>
      </w:r>
      <w:r>
        <w:rPr/>
        <w:t>regimen</w:t>
      </w:r>
      <w:r>
        <w:rPr>
          <w:spacing w:val="-6"/>
        </w:rPr>
        <w:t> </w:t>
      </w:r>
      <w:r>
        <w:rPr/>
        <w:t>comun</w:t>
      </w:r>
      <w:r>
        <w:rPr>
          <w:spacing w:val="-6"/>
        </w:rPr>
        <w:t> </w:t>
      </w:r>
      <w:r>
        <w:rPr/>
        <w:t>se</w:t>
      </w:r>
      <w:r>
        <w:rPr>
          <w:spacing w:val="-4"/>
        </w:rPr>
        <w:t> </w:t>
      </w:r>
      <w:r>
        <w:rPr/>
        <w:t>situ</w:t>
      </w:r>
      <w:r>
        <w:rPr>
          <w:spacing w:val="-6"/>
        </w:rPr>
        <w:t> </w:t>
      </w:r>
      <w:r>
        <w:rPr/>
        <w:t>de</w:t>
      </w:r>
      <w:r>
        <w:rPr>
          <w:spacing w:val="-4"/>
        </w:rPr>
        <w:t> </w:t>
      </w:r>
      <w:r>
        <w:rPr/>
        <w:t>10</w:t>
      </w:r>
      <w:r>
        <w:rPr>
          <w:spacing w:val="-6"/>
        </w:rPr>
        <w:t> </w:t>
      </w:r>
      <w:r>
        <w:rPr/>
        <w:t>a</w:t>
      </w:r>
      <w:r>
        <w:rPr>
          <w:spacing w:val="-4"/>
        </w:rPr>
        <w:t> </w:t>
      </w:r>
      <w:r>
        <w:rPr/>
        <w:t>20</w:t>
      </w:r>
      <w:r>
        <w:rPr>
          <w:spacing w:val="-6"/>
        </w:rPr>
        <w:t> </w:t>
      </w:r>
      <w:r>
        <w:rPr/>
        <w:t>miligramos</w:t>
      </w:r>
      <w:r>
        <w:rPr>
          <w:spacing w:val="-7"/>
        </w:rPr>
        <w:t> </w:t>
      </w:r>
      <w:r>
        <w:rPr/>
        <w:t>por</w:t>
      </w:r>
      <w:r>
        <w:rPr>
          <w:spacing w:val="-5"/>
        </w:rPr>
        <w:t> </w:t>
      </w:r>
      <w:r>
        <w:rPr/>
        <w:t>kilogramo</w:t>
      </w:r>
      <w:r>
        <w:rPr>
          <w:spacing w:val="-6"/>
        </w:rPr>
        <w:t> </w:t>
      </w:r>
      <w:r>
        <w:rPr/>
        <w:t>cada</w:t>
      </w:r>
      <w:r>
        <w:rPr>
          <w:spacing w:val="-4"/>
        </w:rPr>
        <w:t> </w:t>
      </w:r>
      <w:r>
        <w:rPr/>
        <w:t>12 horas, administrada oralmente, intramuscularmente o debajo de la piel. La vía de administración así como la cantidad total depende del tipo de infección y de la presentación farmacéutica.</w:t>
      </w:r>
    </w:p>
    <w:p>
      <w:pPr>
        <w:pStyle w:val="Heading3"/>
        <w:spacing w:before="165"/>
        <w:jc w:val="left"/>
      </w:pPr>
      <w:r>
        <w:rPr>
          <w:spacing w:val="-2"/>
        </w:rPr>
        <w:t>Indicaciones</w:t>
      </w:r>
    </w:p>
    <w:p>
      <w:pPr>
        <w:pStyle w:val="BodyText"/>
        <w:spacing w:before="19"/>
        <w:rPr>
          <w:b/>
        </w:rPr>
      </w:pPr>
    </w:p>
    <w:p>
      <w:pPr>
        <w:pStyle w:val="BodyText"/>
        <w:spacing w:line="360" w:lineRule="auto" w:before="1"/>
        <w:ind w:left="994" w:right="715"/>
        <w:jc w:val="both"/>
      </w:pPr>
      <w:r>
        <w:rPr/>
        <w:t>La amoxicilina encuentra aplicación en infecciones de índole respiratoria, digestiva,</w:t>
      </w:r>
      <w:r>
        <w:rPr>
          <w:spacing w:val="-9"/>
        </w:rPr>
        <w:t> </w:t>
      </w:r>
      <w:r>
        <w:rPr/>
        <w:t>genitourinaria</w:t>
      </w:r>
      <w:r>
        <w:rPr>
          <w:spacing w:val="-7"/>
        </w:rPr>
        <w:t> </w:t>
      </w:r>
      <w:r>
        <w:rPr/>
        <w:t>y</w:t>
      </w:r>
      <w:r>
        <w:rPr>
          <w:spacing w:val="-9"/>
        </w:rPr>
        <w:t> </w:t>
      </w:r>
      <w:r>
        <w:rPr/>
        <w:t>cutánea</w:t>
      </w:r>
      <w:r>
        <w:rPr>
          <w:spacing w:val="-7"/>
        </w:rPr>
        <w:t> </w:t>
      </w:r>
      <w:r>
        <w:rPr/>
        <w:t>en</w:t>
      </w:r>
      <w:r>
        <w:rPr>
          <w:spacing w:val="-12"/>
        </w:rPr>
        <w:t> </w:t>
      </w:r>
      <w:r>
        <w:rPr/>
        <w:t>caninos.</w:t>
      </w:r>
      <w:r>
        <w:rPr>
          <w:spacing w:val="-9"/>
        </w:rPr>
        <w:t> </w:t>
      </w:r>
      <w:r>
        <w:rPr/>
        <w:t>Adicionalmente,</w:t>
      </w:r>
      <w:r>
        <w:rPr>
          <w:spacing w:val="-9"/>
        </w:rPr>
        <w:t> </w:t>
      </w:r>
      <w:r>
        <w:rPr/>
        <w:t>puede</w:t>
      </w:r>
      <w:r>
        <w:rPr>
          <w:spacing w:val="-7"/>
        </w:rPr>
        <w:t> </w:t>
      </w:r>
      <w:r>
        <w:rPr/>
        <w:t>ser</w:t>
      </w:r>
      <w:r>
        <w:rPr>
          <w:spacing w:val="-8"/>
        </w:rPr>
        <w:t> </w:t>
      </w:r>
      <w:r>
        <w:rPr/>
        <w:t>utilizada como terapia inicial en piodermas</w:t>
      </w:r>
      <w:r>
        <w:rPr>
          <w:spacing w:val="-1"/>
        </w:rPr>
        <w:t> </w:t>
      </w:r>
      <w:r>
        <w:rPr/>
        <w:t>superficiales, especialmente ante la ausencia de un antibiograma disponible (Andrade et al. , 2022).</w:t>
      </w:r>
    </w:p>
    <w:p>
      <w:pPr>
        <w:pStyle w:val="Heading3"/>
        <w:spacing w:before="160"/>
        <w:jc w:val="left"/>
      </w:pPr>
      <w:r>
        <w:rPr>
          <w:spacing w:val="-2"/>
        </w:rPr>
        <w:t>Contraindicaciones</w:t>
      </w:r>
    </w:p>
    <w:p>
      <w:pPr>
        <w:pStyle w:val="BodyText"/>
        <w:spacing w:before="24"/>
        <w:rPr>
          <w:b/>
        </w:rPr>
      </w:pPr>
    </w:p>
    <w:p>
      <w:pPr>
        <w:pStyle w:val="BodyText"/>
        <w:spacing w:line="360" w:lineRule="auto"/>
        <w:ind w:left="994" w:right="704"/>
        <w:jc w:val="both"/>
      </w:pPr>
      <w:r>
        <w:rPr/>
        <w:t>Su administración se desaconseja en animales con historial previo de hipersensibilidad a las penicilinas. En pacientes con insuficiencia renal, la dosis debe ajustarse porque su eliminación ocurre principalmente por esta vía. Además, no</w:t>
      </w:r>
      <w:r>
        <w:rPr>
          <w:spacing w:val="-1"/>
        </w:rPr>
        <w:t> </w:t>
      </w:r>
      <w:r>
        <w:rPr/>
        <w:t>se considera una buena opción</w:t>
      </w:r>
      <w:r>
        <w:rPr>
          <w:spacing w:val="-1"/>
        </w:rPr>
        <w:t> </w:t>
      </w:r>
      <w:r>
        <w:rPr/>
        <w:t>contra</w:t>
      </w:r>
      <w:r>
        <w:rPr>
          <w:spacing w:val="-6"/>
        </w:rPr>
        <w:t> </w:t>
      </w:r>
      <w:r>
        <w:rPr/>
        <w:t>MRSA,</w:t>
      </w:r>
      <w:r>
        <w:rPr>
          <w:spacing w:val="-1"/>
        </w:rPr>
        <w:t> </w:t>
      </w:r>
      <w:r>
        <w:rPr/>
        <w:t>debido</w:t>
      </w:r>
      <w:r>
        <w:rPr>
          <w:spacing w:val="-1"/>
        </w:rPr>
        <w:t> </w:t>
      </w:r>
      <w:r>
        <w:rPr/>
        <w:t>a su</w:t>
      </w:r>
      <w:r>
        <w:rPr>
          <w:spacing w:val="-1"/>
        </w:rPr>
        <w:t> </w:t>
      </w:r>
      <w:r>
        <w:rPr/>
        <w:t>baja</w:t>
      </w:r>
      <w:r>
        <w:rPr>
          <w:spacing w:val="-3"/>
        </w:rPr>
        <w:t> </w:t>
      </w:r>
      <w:r>
        <w:rPr/>
        <w:t>eficacia frente</w:t>
      </w:r>
      <w:r>
        <w:rPr>
          <w:spacing w:val="-3"/>
        </w:rPr>
        <w:t> </w:t>
      </w:r>
      <w:r>
        <w:rPr/>
        <w:t>a cepas resistentes (WHO, 2021; Vuong et al., 2020).</w:t>
      </w:r>
    </w:p>
    <w:p>
      <w:pPr>
        <w:pStyle w:val="Heading3"/>
        <w:spacing w:before="159"/>
      </w:pPr>
      <w:r>
        <w:rPr/>
        <w:t>Efectos</w:t>
      </w:r>
      <w:r>
        <w:rPr>
          <w:spacing w:val="-5"/>
        </w:rPr>
        <w:t> </w:t>
      </w:r>
      <w:r>
        <w:rPr>
          <w:spacing w:val="-2"/>
        </w:rPr>
        <w:t>adversos</w:t>
      </w:r>
    </w:p>
    <w:p>
      <w:pPr>
        <w:pStyle w:val="BodyText"/>
        <w:spacing w:before="20"/>
        <w:rPr>
          <w:b/>
        </w:rPr>
      </w:pPr>
    </w:p>
    <w:p>
      <w:pPr>
        <w:pStyle w:val="BodyText"/>
        <w:spacing w:line="362" w:lineRule="auto"/>
        <w:ind w:left="994" w:right="702"/>
        <w:jc w:val="both"/>
      </w:pPr>
      <w:r>
        <w:rPr/>
        <w:t>Entre los efectos adversos pueden presentarse náuseas, vómitos, diarrea y, con menor frecuencia, reacciones alérgicas como urticaria, fiebre o anafilaxia. La</w:t>
      </w:r>
    </w:p>
    <w:p>
      <w:pPr>
        <w:pStyle w:val="BodyText"/>
        <w:spacing w:after="0" w:line="362" w:lineRule="auto"/>
        <w:jc w:val="both"/>
        <w:sectPr>
          <w:pgSz w:w="11900" w:h="16840"/>
          <w:pgMar w:top="1640" w:bottom="280" w:left="1275" w:right="992"/>
        </w:sectPr>
      </w:pPr>
    </w:p>
    <w:p>
      <w:pPr>
        <w:pStyle w:val="BodyText"/>
        <w:spacing w:line="362" w:lineRule="auto" w:before="60"/>
        <w:ind w:left="994"/>
      </w:pPr>
      <w:r>
        <w:rPr/>
        <w:t>aparición</w:t>
      </w:r>
      <w:r>
        <w:rPr>
          <w:spacing w:val="-3"/>
        </w:rPr>
        <w:t> </w:t>
      </w:r>
      <w:r>
        <w:rPr/>
        <w:t>de</w:t>
      </w:r>
      <w:r>
        <w:rPr>
          <w:spacing w:val="-6"/>
        </w:rPr>
        <w:t> </w:t>
      </w:r>
      <w:r>
        <w:rPr/>
        <w:t>estas</w:t>
      </w:r>
      <w:r>
        <w:rPr>
          <w:spacing w:val="-5"/>
        </w:rPr>
        <w:t> </w:t>
      </w:r>
      <w:r>
        <w:rPr/>
        <w:t>reacciones</w:t>
      </w:r>
      <w:r>
        <w:rPr>
          <w:spacing w:val="-5"/>
        </w:rPr>
        <w:t> </w:t>
      </w:r>
      <w:r>
        <w:rPr/>
        <w:t>puede</w:t>
      </w:r>
      <w:r>
        <w:rPr>
          <w:spacing w:val="-2"/>
        </w:rPr>
        <w:t> </w:t>
      </w:r>
      <w:r>
        <w:rPr/>
        <w:t>relacionarse</w:t>
      </w:r>
      <w:r>
        <w:rPr>
          <w:spacing w:val="-2"/>
        </w:rPr>
        <w:t> </w:t>
      </w:r>
      <w:r>
        <w:rPr/>
        <w:t>con</w:t>
      </w:r>
      <w:r>
        <w:rPr>
          <w:spacing w:val="-3"/>
        </w:rPr>
        <w:t> </w:t>
      </w:r>
      <w:r>
        <w:rPr/>
        <w:t>la</w:t>
      </w:r>
      <w:r>
        <w:rPr>
          <w:spacing w:val="-2"/>
        </w:rPr>
        <w:t> </w:t>
      </w:r>
      <w:r>
        <w:rPr/>
        <w:t>dosis</w:t>
      </w:r>
      <w:r>
        <w:rPr>
          <w:spacing w:val="-5"/>
        </w:rPr>
        <w:t> </w:t>
      </w:r>
      <w:r>
        <w:rPr/>
        <w:t>administrada</w:t>
      </w:r>
      <w:r>
        <w:rPr>
          <w:spacing w:val="-2"/>
        </w:rPr>
        <w:t> </w:t>
      </w:r>
      <w:r>
        <w:rPr/>
        <w:t>o</w:t>
      </w:r>
      <w:r>
        <w:rPr>
          <w:spacing w:val="-8"/>
        </w:rPr>
        <w:t> </w:t>
      </w:r>
      <w:r>
        <w:rPr/>
        <w:t>con</w:t>
      </w:r>
      <w:r>
        <w:rPr>
          <w:spacing w:val="-3"/>
        </w:rPr>
        <w:t> </w:t>
      </w:r>
      <w:r>
        <w:rPr/>
        <w:t>la sensibilidad propia de cada animal (Vuong et al., 2020).</w:t>
      </w:r>
    </w:p>
    <w:p>
      <w:pPr>
        <w:pStyle w:val="Heading3"/>
        <w:spacing w:before="155"/>
        <w:jc w:val="left"/>
      </w:pPr>
      <w:r>
        <w:rPr>
          <w:spacing w:val="-2"/>
        </w:rPr>
        <w:t>Farmacocinética</w:t>
      </w:r>
    </w:p>
    <w:p>
      <w:pPr>
        <w:pStyle w:val="BodyText"/>
        <w:spacing w:before="24"/>
        <w:rPr>
          <w:b/>
        </w:rPr>
      </w:pPr>
    </w:p>
    <w:p>
      <w:pPr>
        <w:pStyle w:val="BodyText"/>
        <w:spacing w:line="360" w:lineRule="auto"/>
        <w:ind w:left="994" w:right="694"/>
        <w:jc w:val="both"/>
      </w:pPr>
      <w:r>
        <w:rPr/>
        <w:t>La amoxicilina exhibe una notable biodisponibilidad oral, situándose entre el setenta y ochenta y cinco por ciento. Tras su administración, experimenta una absorción vertiginosa a través del sistema gastrointestinal. Se propaga de manera eficiente por diversos tejidos corporales, abarcando la dermis, el sistema urinario, el parénquima pulmonar y el espacio intersticial. La excreción del fármaco ocurre en</w:t>
      </w:r>
      <w:r>
        <w:rPr>
          <w:spacing w:val="-7"/>
        </w:rPr>
        <w:t> </w:t>
      </w:r>
      <w:r>
        <w:rPr/>
        <w:t>gran</w:t>
      </w:r>
      <w:r>
        <w:rPr>
          <w:spacing w:val="-10"/>
        </w:rPr>
        <w:t> </w:t>
      </w:r>
      <w:r>
        <w:rPr/>
        <w:t>medida</w:t>
      </w:r>
      <w:r>
        <w:rPr>
          <w:spacing w:val="-5"/>
        </w:rPr>
        <w:t> </w:t>
      </w:r>
      <w:r>
        <w:rPr/>
        <w:t>a</w:t>
      </w:r>
      <w:r>
        <w:rPr>
          <w:spacing w:val="-9"/>
        </w:rPr>
        <w:t> </w:t>
      </w:r>
      <w:r>
        <w:rPr/>
        <w:t>través</w:t>
      </w:r>
      <w:r>
        <w:rPr>
          <w:spacing w:val="-8"/>
        </w:rPr>
        <w:t> </w:t>
      </w:r>
      <w:r>
        <w:rPr/>
        <w:t>de</w:t>
      </w:r>
      <w:r>
        <w:rPr>
          <w:spacing w:val="-9"/>
        </w:rPr>
        <w:t> </w:t>
      </w:r>
      <w:r>
        <w:rPr/>
        <w:t>las</w:t>
      </w:r>
      <w:r>
        <w:rPr>
          <w:spacing w:val="-8"/>
        </w:rPr>
        <w:t> </w:t>
      </w:r>
      <w:r>
        <w:rPr/>
        <w:t>vías</w:t>
      </w:r>
      <w:r>
        <w:rPr>
          <w:spacing w:val="-8"/>
        </w:rPr>
        <w:t> </w:t>
      </w:r>
      <w:r>
        <w:rPr/>
        <w:t>renales,</w:t>
      </w:r>
      <w:r>
        <w:rPr>
          <w:spacing w:val="-7"/>
        </w:rPr>
        <w:t> </w:t>
      </w:r>
      <w:r>
        <w:rPr/>
        <w:t>conservando</w:t>
      </w:r>
      <w:r>
        <w:rPr>
          <w:spacing w:val="-7"/>
        </w:rPr>
        <w:t> </w:t>
      </w:r>
      <w:r>
        <w:rPr/>
        <w:t>su</w:t>
      </w:r>
      <w:r>
        <w:rPr>
          <w:spacing w:val="-7"/>
        </w:rPr>
        <w:t> </w:t>
      </w:r>
      <w:r>
        <w:rPr/>
        <w:t>forma</w:t>
      </w:r>
      <w:r>
        <w:rPr>
          <w:spacing w:val="-9"/>
        </w:rPr>
        <w:t> </w:t>
      </w:r>
      <w:r>
        <w:rPr/>
        <w:t>inalterada,</w:t>
      </w:r>
      <w:r>
        <w:rPr>
          <w:spacing w:val="-7"/>
        </w:rPr>
        <w:t> </w:t>
      </w:r>
      <w:r>
        <w:rPr/>
        <w:t>por</w:t>
      </w:r>
      <w:r>
        <w:rPr>
          <w:spacing w:val="-10"/>
        </w:rPr>
        <w:t> </w:t>
      </w:r>
      <w:r>
        <w:rPr/>
        <w:t>lo que se debe obrar</w:t>
      </w:r>
      <w:r>
        <w:rPr>
          <w:spacing w:val="-3"/>
        </w:rPr>
        <w:t> </w:t>
      </w:r>
      <w:r>
        <w:rPr/>
        <w:t>con</w:t>
      </w:r>
      <w:r>
        <w:rPr>
          <w:spacing w:val="-1"/>
        </w:rPr>
        <w:t> </w:t>
      </w:r>
      <w:r>
        <w:rPr/>
        <w:t>cautela en</w:t>
      </w:r>
      <w:r>
        <w:rPr>
          <w:spacing w:val="-4"/>
        </w:rPr>
        <w:t> </w:t>
      </w:r>
      <w:r>
        <w:rPr/>
        <w:t>pacientes</w:t>
      </w:r>
      <w:r>
        <w:rPr>
          <w:spacing w:val="-1"/>
        </w:rPr>
        <w:t> </w:t>
      </w:r>
      <w:r>
        <w:rPr/>
        <w:t>que presenten</w:t>
      </w:r>
      <w:r>
        <w:rPr>
          <w:spacing w:val="-3"/>
        </w:rPr>
        <w:t> </w:t>
      </w:r>
      <w:r>
        <w:rPr/>
        <w:t>comprometimiento de</w:t>
      </w:r>
      <w:r>
        <w:rPr>
          <w:spacing w:val="-2"/>
        </w:rPr>
        <w:t> </w:t>
      </w:r>
      <w:r>
        <w:rPr/>
        <w:t>su función renal (Pereira et al., 2021).</w:t>
      </w:r>
    </w:p>
    <w:p>
      <w:pPr>
        <w:pStyle w:val="Heading3"/>
        <w:spacing w:before="161"/>
      </w:pPr>
      <w:r>
        <w:rPr/>
        <w:t>Interacciones</w:t>
      </w:r>
      <w:r>
        <w:rPr>
          <w:spacing w:val="-5"/>
        </w:rPr>
        <w:t> </w:t>
      </w:r>
      <w:r>
        <w:rPr>
          <w:spacing w:val="-2"/>
        </w:rPr>
        <w:t>medicamentosas</w:t>
      </w:r>
    </w:p>
    <w:p>
      <w:pPr>
        <w:pStyle w:val="BodyText"/>
        <w:spacing w:before="24"/>
        <w:rPr>
          <w:b/>
        </w:rPr>
      </w:pPr>
    </w:p>
    <w:p>
      <w:pPr>
        <w:pStyle w:val="BodyText"/>
        <w:spacing w:line="360" w:lineRule="auto"/>
        <w:ind w:left="994" w:right="695"/>
        <w:jc w:val="both"/>
      </w:pPr>
      <w:r>
        <w:rPr/>
        <w:t>La eficacia terapéutica de la amoxicilina corre el riesgo de verse mermada cuando se combina en su administración con agentes que detienen el crecimiento bacteriano,</w:t>
      </w:r>
      <w:r>
        <w:rPr>
          <w:spacing w:val="-7"/>
        </w:rPr>
        <w:t> </w:t>
      </w:r>
      <w:r>
        <w:rPr/>
        <w:t>tal</w:t>
      </w:r>
      <w:r>
        <w:rPr>
          <w:spacing w:val="-1"/>
        </w:rPr>
        <w:t> </w:t>
      </w:r>
      <w:r>
        <w:rPr/>
        <w:t>es</w:t>
      </w:r>
      <w:r>
        <w:rPr>
          <w:spacing w:val="-8"/>
        </w:rPr>
        <w:t> </w:t>
      </w:r>
      <w:r>
        <w:rPr/>
        <w:t>el</w:t>
      </w:r>
      <w:r>
        <w:rPr>
          <w:spacing w:val="-5"/>
        </w:rPr>
        <w:t> </w:t>
      </w:r>
      <w:r>
        <w:rPr/>
        <w:t>caso</w:t>
      </w:r>
      <w:r>
        <w:rPr>
          <w:spacing w:val="-2"/>
        </w:rPr>
        <w:t> </w:t>
      </w:r>
      <w:r>
        <w:rPr/>
        <w:t>de</w:t>
      </w:r>
      <w:r>
        <w:rPr>
          <w:spacing w:val="-5"/>
        </w:rPr>
        <w:t> </w:t>
      </w:r>
      <w:r>
        <w:rPr/>
        <w:t>las</w:t>
      </w:r>
      <w:r>
        <w:rPr>
          <w:spacing w:val="-8"/>
        </w:rPr>
        <w:t> </w:t>
      </w:r>
      <w:r>
        <w:rPr/>
        <w:t>tetraciclinas.</w:t>
      </w:r>
      <w:r>
        <w:rPr>
          <w:spacing w:val="-2"/>
        </w:rPr>
        <w:t> </w:t>
      </w:r>
      <w:r>
        <w:rPr/>
        <w:t>El</w:t>
      </w:r>
      <w:r>
        <w:rPr>
          <w:spacing w:val="-1"/>
        </w:rPr>
        <w:t> </w:t>
      </w:r>
      <w:r>
        <w:rPr/>
        <w:t>uso</w:t>
      </w:r>
      <w:r>
        <w:rPr>
          <w:spacing w:val="-7"/>
        </w:rPr>
        <w:t> </w:t>
      </w:r>
      <w:r>
        <w:rPr/>
        <w:t>conjunto</w:t>
      </w:r>
      <w:r>
        <w:rPr>
          <w:spacing w:val="-7"/>
        </w:rPr>
        <w:t> </w:t>
      </w:r>
      <w:r>
        <w:rPr/>
        <w:t>con</w:t>
      </w:r>
      <w:r>
        <w:rPr>
          <w:spacing w:val="-7"/>
        </w:rPr>
        <w:t> </w:t>
      </w:r>
      <w:r>
        <w:rPr/>
        <w:t>probenecid</w:t>
      </w:r>
      <w:r>
        <w:rPr>
          <w:spacing w:val="-7"/>
        </w:rPr>
        <w:t> </w:t>
      </w:r>
      <w:r>
        <w:rPr/>
        <w:t>puede aumentar su concentración plasmática, al disminuir su excreción (WHO, 2021).</w:t>
      </w:r>
    </w:p>
    <w:p>
      <w:pPr>
        <w:pStyle w:val="Heading3"/>
        <w:spacing w:before="157"/>
      </w:pPr>
      <w:r>
        <w:rPr/>
        <w:t>Espectro</w:t>
      </w:r>
      <w:r>
        <w:rPr>
          <w:spacing w:val="-6"/>
        </w:rPr>
        <w:t> </w:t>
      </w:r>
      <w:r>
        <w:rPr/>
        <w:t>de</w:t>
      </w:r>
      <w:r>
        <w:rPr>
          <w:spacing w:val="-4"/>
        </w:rPr>
        <w:t> </w:t>
      </w:r>
      <w:r>
        <w:rPr>
          <w:spacing w:val="-2"/>
        </w:rPr>
        <w:t>acción</w:t>
      </w:r>
    </w:p>
    <w:p>
      <w:pPr>
        <w:pStyle w:val="BodyText"/>
        <w:spacing w:before="28"/>
        <w:rPr>
          <w:b/>
        </w:rPr>
      </w:pPr>
    </w:p>
    <w:p>
      <w:pPr>
        <w:pStyle w:val="BodyText"/>
        <w:spacing w:line="360" w:lineRule="auto"/>
        <w:ind w:left="994" w:right="691"/>
        <w:jc w:val="both"/>
      </w:pPr>
      <w:r>
        <w:rPr/>
        <w:t>Actúa</w:t>
      </w:r>
      <w:r>
        <w:rPr>
          <w:spacing w:val="-7"/>
        </w:rPr>
        <w:t> </w:t>
      </w:r>
      <w:r>
        <w:rPr/>
        <w:t>frente</w:t>
      </w:r>
      <w:r>
        <w:rPr>
          <w:spacing w:val="-7"/>
        </w:rPr>
        <w:t> </w:t>
      </w:r>
      <w:r>
        <w:rPr/>
        <w:t>a</w:t>
      </w:r>
      <w:r>
        <w:rPr>
          <w:spacing w:val="-7"/>
        </w:rPr>
        <w:t> </w:t>
      </w:r>
      <w:r>
        <w:rPr/>
        <w:t>bacterias</w:t>
      </w:r>
      <w:r>
        <w:rPr>
          <w:spacing w:val="-10"/>
        </w:rPr>
        <w:t> </w:t>
      </w:r>
      <w:r>
        <w:rPr/>
        <w:t>Gram</w:t>
      </w:r>
      <w:r>
        <w:rPr>
          <w:spacing w:val="-8"/>
        </w:rPr>
        <w:t> </w:t>
      </w:r>
      <w:r>
        <w:rPr/>
        <w:t>positivas</w:t>
      </w:r>
      <w:r>
        <w:rPr>
          <w:spacing w:val="-10"/>
        </w:rPr>
        <w:t> </w:t>
      </w:r>
      <w:r>
        <w:rPr/>
        <w:t>como</w:t>
      </w:r>
      <w:r>
        <w:rPr>
          <w:spacing w:val="-2"/>
        </w:rPr>
        <w:t> </w:t>
      </w:r>
      <w:r>
        <w:rPr>
          <w:i/>
        </w:rPr>
        <w:t>Staphylococcus</w:t>
      </w:r>
      <w:r>
        <w:rPr>
          <w:i/>
          <w:spacing w:val="-10"/>
        </w:rPr>
        <w:t> </w:t>
      </w:r>
      <w:r>
        <w:rPr>
          <w:i/>
        </w:rPr>
        <w:t>spp</w:t>
      </w:r>
      <w:r>
        <w:rPr/>
        <w:t>.</w:t>
      </w:r>
      <w:r>
        <w:rPr>
          <w:spacing w:val="-9"/>
        </w:rPr>
        <w:t> </w:t>
      </w:r>
      <w:r>
        <w:rPr/>
        <w:t>y</w:t>
      </w:r>
      <w:r>
        <w:rPr>
          <w:spacing w:val="-8"/>
        </w:rPr>
        <w:t> </w:t>
      </w:r>
      <w:r>
        <w:rPr>
          <w:i/>
        </w:rPr>
        <w:t>Streptococcus spp</w:t>
      </w:r>
      <w:r>
        <w:rPr/>
        <w:t>., además de algunas Gram negativas como </w:t>
      </w:r>
      <w:r>
        <w:rPr>
          <w:i/>
        </w:rPr>
        <w:t>Escherichia coli</w:t>
      </w:r>
      <w:r>
        <w:rPr/>
        <w:t>. Su efectividad se ve mermada frente a bacterias que fabrican beta lactamasas; no obstante, su administración</w:t>
      </w:r>
      <w:r>
        <w:rPr>
          <w:spacing w:val="-10"/>
        </w:rPr>
        <w:t> </w:t>
      </w:r>
      <w:r>
        <w:rPr/>
        <w:t>combinada</w:t>
      </w:r>
      <w:r>
        <w:rPr>
          <w:spacing w:val="-5"/>
        </w:rPr>
        <w:t> </w:t>
      </w:r>
      <w:r>
        <w:rPr/>
        <w:t>con</w:t>
      </w:r>
      <w:r>
        <w:rPr>
          <w:spacing w:val="-7"/>
        </w:rPr>
        <w:t> </w:t>
      </w:r>
      <w:r>
        <w:rPr/>
        <w:t>ácido</w:t>
      </w:r>
      <w:r>
        <w:rPr>
          <w:spacing w:val="-7"/>
        </w:rPr>
        <w:t> </w:t>
      </w:r>
      <w:r>
        <w:rPr/>
        <w:t>clavulánico</w:t>
      </w:r>
      <w:r>
        <w:rPr>
          <w:spacing w:val="-7"/>
        </w:rPr>
        <w:t> </w:t>
      </w:r>
      <w:r>
        <w:rPr/>
        <w:t>(Andrade</w:t>
      </w:r>
      <w:r>
        <w:rPr>
          <w:spacing w:val="-5"/>
        </w:rPr>
        <w:t> </w:t>
      </w:r>
      <w:r>
        <w:rPr/>
        <w:t>et</w:t>
      </w:r>
      <w:r>
        <w:rPr>
          <w:spacing w:val="-6"/>
        </w:rPr>
        <w:t> </w:t>
      </w:r>
      <w:r>
        <w:rPr/>
        <w:t>al.,</w:t>
      </w:r>
      <w:r>
        <w:rPr>
          <w:spacing w:val="-7"/>
        </w:rPr>
        <w:t> </w:t>
      </w:r>
      <w:r>
        <w:rPr/>
        <w:t>2022)</w:t>
      </w:r>
      <w:r>
        <w:rPr>
          <w:spacing w:val="-6"/>
        </w:rPr>
        <w:t> </w:t>
      </w:r>
      <w:r>
        <w:rPr/>
        <w:t>mitiga</w:t>
      </w:r>
      <w:r>
        <w:rPr>
          <w:spacing w:val="-5"/>
        </w:rPr>
        <w:t> </w:t>
      </w:r>
      <w:r>
        <w:rPr/>
        <w:t>este </w:t>
      </w:r>
      <w:r>
        <w:rPr>
          <w:spacing w:val="-2"/>
        </w:rPr>
        <w:t>efecto.</w:t>
      </w:r>
    </w:p>
    <w:p>
      <w:pPr>
        <w:pStyle w:val="Heading3"/>
        <w:spacing w:before="159"/>
      </w:pPr>
      <w:r>
        <w:rPr/>
        <w:t>Clasificación</w:t>
      </w:r>
      <w:r>
        <w:rPr>
          <w:spacing w:val="-4"/>
        </w:rPr>
        <w:t> </w:t>
      </w:r>
      <w:r>
        <w:rPr>
          <w:spacing w:val="-2"/>
        </w:rPr>
        <w:t>farmacológica</w:t>
      </w:r>
    </w:p>
    <w:p>
      <w:pPr>
        <w:pStyle w:val="BodyText"/>
        <w:spacing w:before="20"/>
        <w:rPr>
          <w:b/>
        </w:rPr>
      </w:pPr>
    </w:p>
    <w:p>
      <w:pPr>
        <w:pStyle w:val="BodyText"/>
        <w:spacing w:line="362" w:lineRule="auto"/>
        <w:ind w:left="994" w:right="699"/>
        <w:jc w:val="both"/>
      </w:pPr>
      <w:r>
        <w:rPr/>
        <w:t>Integra la clase de los antibióticos beta lácticos, en la subdivisión de amino penicilinas, las cuales son extensiones de la penicilina.</w:t>
      </w:r>
    </w:p>
    <w:p>
      <w:pPr>
        <w:pStyle w:val="Heading3"/>
        <w:spacing w:before="155"/>
      </w:pPr>
      <w:r>
        <w:rPr/>
        <w:t>Resistencia</w:t>
      </w:r>
      <w:r>
        <w:rPr>
          <w:spacing w:val="-5"/>
        </w:rPr>
        <w:t> </w:t>
      </w:r>
      <w:r>
        <w:rPr>
          <w:spacing w:val="-2"/>
        </w:rPr>
        <w:t>bacteriana</w:t>
      </w:r>
    </w:p>
    <w:p>
      <w:pPr>
        <w:pStyle w:val="BodyText"/>
        <w:spacing w:before="23"/>
        <w:rPr>
          <w:b/>
        </w:rPr>
      </w:pPr>
    </w:p>
    <w:p>
      <w:pPr>
        <w:pStyle w:val="BodyText"/>
        <w:spacing w:line="360" w:lineRule="auto" w:before="1"/>
        <w:ind w:left="994" w:right="694"/>
        <w:jc w:val="both"/>
      </w:pPr>
      <w:r>
        <w:rPr/>
        <w:t>La frecuente exposicion a amoxicilina a dado lugar a resistencia en numerosas estirpes de bacterias, especialmente debido a la sintesis de beta lactamasas y alteraciones</w:t>
      </w:r>
      <w:r>
        <w:rPr>
          <w:spacing w:val="73"/>
        </w:rPr>
        <w:t> </w:t>
      </w:r>
      <w:r>
        <w:rPr/>
        <w:t>en</w:t>
      </w:r>
      <w:r>
        <w:rPr>
          <w:spacing w:val="71"/>
        </w:rPr>
        <w:t> </w:t>
      </w:r>
      <w:r>
        <w:rPr/>
        <w:t>las</w:t>
      </w:r>
      <w:r>
        <w:rPr>
          <w:spacing w:val="73"/>
        </w:rPr>
        <w:t> </w:t>
      </w:r>
      <w:r>
        <w:rPr/>
        <w:t>PBPs.</w:t>
      </w:r>
      <w:r>
        <w:rPr>
          <w:spacing w:val="68"/>
        </w:rPr>
        <w:t> </w:t>
      </w:r>
      <w:r>
        <w:rPr/>
        <w:t>En</w:t>
      </w:r>
      <w:r>
        <w:rPr>
          <w:spacing w:val="67"/>
        </w:rPr>
        <w:t> </w:t>
      </w:r>
      <w:r>
        <w:rPr/>
        <w:t>el</w:t>
      </w:r>
      <w:r>
        <w:rPr>
          <w:spacing w:val="77"/>
        </w:rPr>
        <w:t> </w:t>
      </w:r>
      <w:r>
        <w:rPr/>
        <w:t>caso</w:t>
      </w:r>
      <w:r>
        <w:rPr>
          <w:spacing w:val="72"/>
        </w:rPr>
        <w:t> </w:t>
      </w:r>
      <w:r>
        <w:rPr/>
        <w:t>de</w:t>
      </w:r>
      <w:r>
        <w:rPr>
          <w:spacing w:val="77"/>
        </w:rPr>
        <w:t> </w:t>
      </w:r>
      <w:r>
        <w:rPr>
          <w:i/>
        </w:rPr>
        <w:t>Staphylococcus</w:t>
      </w:r>
      <w:r>
        <w:rPr>
          <w:i/>
          <w:spacing w:val="67"/>
        </w:rPr>
        <w:t> </w:t>
      </w:r>
      <w:r>
        <w:rPr>
          <w:i/>
        </w:rPr>
        <w:t>aureus</w:t>
      </w:r>
      <w:r>
        <w:rPr>
          <w:i/>
          <w:spacing w:val="75"/>
        </w:rPr>
        <w:t> </w:t>
      </w:r>
      <w:r>
        <w:rPr/>
        <w:t>resistente</w:t>
      </w:r>
      <w:r>
        <w:rPr>
          <w:spacing w:val="73"/>
        </w:rPr>
        <w:t> </w:t>
      </w:r>
      <w:r>
        <w:rPr>
          <w:spacing w:val="-10"/>
        </w:rPr>
        <w:t>a</w:t>
      </w:r>
    </w:p>
    <w:p>
      <w:pPr>
        <w:pStyle w:val="BodyText"/>
        <w:spacing w:after="0" w:line="360" w:lineRule="auto"/>
        <w:jc w:val="both"/>
        <w:sectPr>
          <w:pgSz w:w="11900" w:h="16840"/>
          <w:pgMar w:top="1640" w:bottom="280" w:left="1275" w:right="992"/>
        </w:sectPr>
      </w:pPr>
    </w:p>
    <w:p>
      <w:pPr>
        <w:pStyle w:val="BodyText"/>
        <w:spacing w:line="357" w:lineRule="auto" w:before="60"/>
        <w:ind w:left="994" w:right="702"/>
        <w:jc w:val="both"/>
      </w:pPr>
      <w:r>
        <w:rPr/>
        <w:t>meticilina</w:t>
      </w:r>
      <w:r>
        <w:rPr>
          <w:spacing w:val="-7"/>
        </w:rPr>
        <w:t> </w:t>
      </w:r>
      <w:r>
        <w:rPr/>
        <w:t>(MRSA),</w:t>
      </w:r>
      <w:r>
        <w:rPr>
          <w:spacing w:val="-7"/>
        </w:rPr>
        <w:t> </w:t>
      </w:r>
      <w:r>
        <w:rPr/>
        <w:t>esta</w:t>
      </w:r>
      <w:r>
        <w:rPr>
          <w:spacing w:val="-7"/>
        </w:rPr>
        <w:t> </w:t>
      </w:r>
      <w:r>
        <w:rPr/>
        <w:t>resistencia</w:t>
      </w:r>
      <w:r>
        <w:rPr>
          <w:spacing w:val="-7"/>
        </w:rPr>
        <w:t> </w:t>
      </w:r>
      <w:r>
        <w:rPr/>
        <w:t>limita</w:t>
      </w:r>
      <w:r>
        <w:rPr>
          <w:spacing w:val="-10"/>
        </w:rPr>
        <w:t> </w:t>
      </w:r>
      <w:r>
        <w:rPr/>
        <w:t>su</w:t>
      </w:r>
      <w:r>
        <w:rPr>
          <w:spacing w:val="-8"/>
        </w:rPr>
        <w:t> </w:t>
      </w:r>
      <w:r>
        <w:rPr/>
        <w:t>eficacia</w:t>
      </w:r>
      <w:r>
        <w:rPr>
          <w:spacing w:val="-7"/>
        </w:rPr>
        <w:t> </w:t>
      </w:r>
      <w:r>
        <w:rPr/>
        <w:t>(WHO,</w:t>
      </w:r>
      <w:r>
        <w:rPr>
          <w:spacing w:val="-8"/>
        </w:rPr>
        <w:t> </w:t>
      </w:r>
      <w:r>
        <w:rPr/>
        <w:t>2021;</w:t>
      </w:r>
      <w:r>
        <w:rPr>
          <w:spacing w:val="-7"/>
        </w:rPr>
        <w:t> </w:t>
      </w:r>
      <w:r>
        <w:rPr/>
        <w:t>Andrade</w:t>
      </w:r>
      <w:r>
        <w:rPr>
          <w:spacing w:val="-10"/>
        </w:rPr>
        <w:t> </w:t>
      </w:r>
      <w:r>
        <w:rPr/>
        <w:t>et</w:t>
      </w:r>
      <w:r>
        <w:rPr>
          <w:spacing w:val="-7"/>
        </w:rPr>
        <w:t> </w:t>
      </w:r>
      <w:r>
        <w:rPr/>
        <w:t>al., </w:t>
      </w:r>
      <w:r>
        <w:rPr>
          <w:spacing w:val="-2"/>
        </w:rPr>
        <w:t>2022).</w:t>
      </w:r>
    </w:p>
    <w:p>
      <w:pPr>
        <w:pStyle w:val="Heading3"/>
        <w:numPr>
          <w:ilvl w:val="2"/>
          <w:numId w:val="9"/>
        </w:numPr>
        <w:tabs>
          <w:tab w:pos="1702" w:val="left" w:leader="none"/>
        </w:tabs>
        <w:spacing w:line="240" w:lineRule="auto" w:before="66" w:after="0"/>
        <w:ind w:left="1702" w:right="0" w:hanging="708"/>
        <w:jc w:val="left"/>
      </w:pPr>
      <w:bookmarkStart w:name="_bookmark14" w:id="15"/>
      <w:bookmarkEnd w:id="15"/>
      <w:r>
        <w:rPr>
          <w:b w:val="0"/>
        </w:rPr>
      </w:r>
      <w:r>
        <w:rPr>
          <w:spacing w:val="-2"/>
        </w:rPr>
        <w:t>Enrofloxacina</w:t>
      </w:r>
    </w:p>
    <w:p>
      <w:pPr>
        <w:pStyle w:val="BodyText"/>
        <w:spacing w:before="104"/>
        <w:rPr>
          <w:b/>
        </w:rPr>
      </w:pPr>
    </w:p>
    <w:p>
      <w:pPr>
        <w:pStyle w:val="BodyText"/>
        <w:spacing w:line="360" w:lineRule="auto"/>
        <w:ind w:left="994" w:right="712"/>
        <w:jc w:val="both"/>
      </w:pPr>
      <w:r>
        <w:rPr/>
        <w:t>La</w:t>
      </w:r>
      <w:r>
        <w:rPr>
          <w:spacing w:val="-6"/>
        </w:rPr>
        <w:t> </w:t>
      </w:r>
      <w:r>
        <w:rPr/>
        <w:t>enrofloxacina,</w:t>
      </w:r>
      <w:r>
        <w:rPr>
          <w:spacing w:val="-8"/>
        </w:rPr>
        <w:t> </w:t>
      </w:r>
      <w:r>
        <w:rPr/>
        <w:t>una</w:t>
      </w:r>
      <w:r>
        <w:rPr>
          <w:spacing w:val="-6"/>
        </w:rPr>
        <w:t> </w:t>
      </w:r>
      <w:r>
        <w:rPr/>
        <w:t>fluoroquinolona</w:t>
      </w:r>
      <w:r>
        <w:rPr>
          <w:spacing w:val="-6"/>
        </w:rPr>
        <w:t> </w:t>
      </w:r>
      <w:r>
        <w:rPr/>
        <w:t>de</w:t>
      </w:r>
      <w:r>
        <w:rPr>
          <w:spacing w:val="-10"/>
        </w:rPr>
        <w:t> </w:t>
      </w:r>
      <w:r>
        <w:rPr/>
        <w:t>factura</w:t>
      </w:r>
      <w:r>
        <w:rPr>
          <w:spacing w:val="-6"/>
        </w:rPr>
        <w:t> </w:t>
      </w:r>
      <w:r>
        <w:rPr/>
        <w:t>sintética,</w:t>
      </w:r>
      <w:r>
        <w:rPr>
          <w:spacing w:val="-8"/>
        </w:rPr>
        <w:t> </w:t>
      </w:r>
      <w:r>
        <w:rPr/>
        <w:t>halló</w:t>
      </w:r>
      <w:r>
        <w:rPr>
          <w:spacing w:val="-8"/>
        </w:rPr>
        <w:t> </w:t>
      </w:r>
      <w:r>
        <w:rPr/>
        <w:t>desarrollo</w:t>
      </w:r>
      <w:r>
        <w:rPr>
          <w:spacing w:val="-8"/>
        </w:rPr>
        <w:t> </w:t>
      </w:r>
      <w:r>
        <w:rPr/>
        <w:t>preciso para el ámbito veterinario. Conocida frecuentemente bajo el distintivo comercial Baytril® (Pereira et al., 2021).</w:t>
      </w:r>
    </w:p>
    <w:p>
      <w:pPr>
        <w:pStyle w:val="Heading3"/>
        <w:spacing w:before="158"/>
      </w:pPr>
      <w:r>
        <w:rPr/>
        <w:t>Mecanismo</w:t>
      </w:r>
      <w:r>
        <w:rPr>
          <w:spacing w:val="-5"/>
        </w:rPr>
        <w:t> </w:t>
      </w:r>
      <w:r>
        <w:rPr/>
        <w:t>de </w:t>
      </w:r>
      <w:r>
        <w:rPr>
          <w:spacing w:val="-2"/>
        </w:rPr>
        <w:t>acción</w:t>
      </w:r>
    </w:p>
    <w:p>
      <w:pPr>
        <w:pStyle w:val="BodyText"/>
        <w:spacing w:before="24"/>
        <w:rPr>
          <w:b/>
        </w:rPr>
      </w:pPr>
    </w:p>
    <w:p>
      <w:pPr>
        <w:pStyle w:val="BodyText"/>
        <w:spacing w:line="360" w:lineRule="auto"/>
        <w:ind w:left="994" w:right="695"/>
        <w:jc w:val="both"/>
      </w:pPr>
      <w:r>
        <w:rPr/>
        <w:t>Esta enrofloxacina opera cual antibiótico de índole bactericida. Su actividad se centra</w:t>
      </w:r>
      <w:r>
        <w:rPr>
          <w:spacing w:val="-5"/>
        </w:rPr>
        <w:t> </w:t>
      </w:r>
      <w:r>
        <w:rPr/>
        <w:t>en</w:t>
      </w:r>
      <w:r>
        <w:rPr>
          <w:spacing w:val="-7"/>
        </w:rPr>
        <w:t> </w:t>
      </w:r>
      <w:r>
        <w:rPr/>
        <w:t>la</w:t>
      </w:r>
      <w:r>
        <w:rPr>
          <w:spacing w:val="-1"/>
        </w:rPr>
        <w:t> </w:t>
      </w:r>
      <w:r>
        <w:rPr/>
        <w:t>supresión</w:t>
      </w:r>
      <w:r>
        <w:rPr>
          <w:spacing w:val="-7"/>
        </w:rPr>
        <w:t> </w:t>
      </w:r>
      <w:r>
        <w:rPr/>
        <w:t>de</w:t>
      </w:r>
      <w:r>
        <w:rPr>
          <w:spacing w:val="-5"/>
        </w:rPr>
        <w:t> </w:t>
      </w:r>
      <w:r>
        <w:rPr/>
        <w:t>las</w:t>
      </w:r>
      <w:r>
        <w:rPr>
          <w:spacing w:val="-4"/>
        </w:rPr>
        <w:t> </w:t>
      </w:r>
      <w:r>
        <w:rPr/>
        <w:t>enzimas</w:t>
      </w:r>
      <w:r>
        <w:rPr>
          <w:spacing w:val="-4"/>
        </w:rPr>
        <w:t> </w:t>
      </w:r>
      <w:r>
        <w:rPr/>
        <w:t>ADN</w:t>
      </w:r>
      <w:r>
        <w:rPr>
          <w:spacing w:val="-4"/>
        </w:rPr>
        <w:t> </w:t>
      </w:r>
      <w:r>
        <w:rPr/>
        <w:t>girasa</w:t>
      </w:r>
      <w:r>
        <w:rPr>
          <w:spacing w:val="-1"/>
        </w:rPr>
        <w:t> </w:t>
      </w:r>
      <w:r>
        <w:rPr/>
        <w:t>y</w:t>
      </w:r>
      <w:r>
        <w:rPr>
          <w:spacing w:val="-7"/>
        </w:rPr>
        <w:t> </w:t>
      </w:r>
      <w:r>
        <w:rPr/>
        <w:t>topoisomerasa</w:t>
      </w:r>
      <w:r>
        <w:rPr>
          <w:spacing w:val="-1"/>
        </w:rPr>
        <w:t> </w:t>
      </w:r>
      <w:r>
        <w:rPr/>
        <w:t>IV,</w:t>
      </w:r>
      <w:r>
        <w:rPr>
          <w:spacing w:val="-2"/>
        </w:rPr>
        <w:t> </w:t>
      </w:r>
      <w:r>
        <w:rPr/>
        <w:t>elementales para la reproducción, transcripción y arreglo del material genético bacteriano. El bloqueo de estas enzimas culmina en la erradicación del microbio (Wassmann et al., 2020).</w:t>
      </w:r>
    </w:p>
    <w:p>
      <w:pPr>
        <w:pStyle w:val="Heading3"/>
        <w:spacing w:before="163"/>
      </w:pPr>
      <w:r>
        <w:rPr/>
        <w:t>Dosis</w:t>
      </w:r>
      <w:r>
        <w:rPr>
          <w:spacing w:val="-10"/>
        </w:rPr>
        <w:t> </w:t>
      </w:r>
      <w:r>
        <w:rPr>
          <w:spacing w:val="-2"/>
        </w:rPr>
        <w:t>terapéutica</w:t>
      </w:r>
    </w:p>
    <w:p>
      <w:pPr>
        <w:pStyle w:val="BodyText"/>
        <w:spacing w:before="24"/>
        <w:rPr>
          <w:b/>
        </w:rPr>
      </w:pPr>
    </w:p>
    <w:p>
      <w:pPr>
        <w:pStyle w:val="BodyText"/>
        <w:spacing w:line="357" w:lineRule="auto" w:before="1"/>
        <w:ind w:left="994" w:right="707"/>
        <w:jc w:val="both"/>
      </w:pPr>
      <w:r>
        <w:rPr/>
        <w:t>El</w:t>
      </w:r>
      <w:r>
        <w:rPr>
          <w:spacing w:val="-3"/>
        </w:rPr>
        <w:t> </w:t>
      </w:r>
      <w:r>
        <w:rPr/>
        <w:t>ajuste</w:t>
      </w:r>
      <w:r>
        <w:rPr>
          <w:spacing w:val="-3"/>
        </w:rPr>
        <w:t> </w:t>
      </w:r>
      <w:r>
        <w:rPr/>
        <w:t>y</w:t>
      </w:r>
      <w:r>
        <w:rPr>
          <w:spacing w:val="-4"/>
        </w:rPr>
        <w:t> </w:t>
      </w:r>
      <w:r>
        <w:rPr/>
        <w:t>la</w:t>
      </w:r>
      <w:r>
        <w:rPr>
          <w:spacing w:val="-3"/>
        </w:rPr>
        <w:t> </w:t>
      </w:r>
      <w:r>
        <w:rPr/>
        <w:t>persistencia</w:t>
      </w:r>
      <w:r>
        <w:rPr>
          <w:spacing w:val="-3"/>
        </w:rPr>
        <w:t> </w:t>
      </w:r>
      <w:r>
        <w:rPr/>
        <w:t>en</w:t>
      </w:r>
      <w:r>
        <w:rPr>
          <w:spacing w:val="-4"/>
        </w:rPr>
        <w:t> </w:t>
      </w:r>
      <w:r>
        <w:rPr/>
        <w:t>la</w:t>
      </w:r>
      <w:r>
        <w:rPr>
          <w:spacing w:val="-3"/>
        </w:rPr>
        <w:t> </w:t>
      </w:r>
      <w:r>
        <w:rPr/>
        <w:t>administración</w:t>
      </w:r>
      <w:r>
        <w:rPr>
          <w:spacing w:val="-4"/>
        </w:rPr>
        <w:t> </w:t>
      </w:r>
      <w:r>
        <w:rPr/>
        <w:t>terapéutica</w:t>
      </w:r>
      <w:r>
        <w:rPr>
          <w:spacing w:val="-3"/>
        </w:rPr>
        <w:t> </w:t>
      </w:r>
      <w:r>
        <w:rPr/>
        <w:t>serán</w:t>
      </w:r>
      <w:r>
        <w:rPr>
          <w:spacing w:val="-4"/>
        </w:rPr>
        <w:t> </w:t>
      </w:r>
      <w:r>
        <w:rPr/>
        <w:t>definidos</w:t>
      </w:r>
      <w:r>
        <w:rPr>
          <w:spacing w:val="-6"/>
        </w:rPr>
        <w:t> </w:t>
      </w:r>
      <w:r>
        <w:rPr/>
        <w:t>según</w:t>
      </w:r>
      <w:r>
        <w:rPr>
          <w:spacing w:val="-4"/>
        </w:rPr>
        <w:t> </w:t>
      </w:r>
      <w:r>
        <w:rPr/>
        <w:t>la índole de la infección, el estado del enfermo, y el patrón de resistencia de las bacterias implicadas (Andrade et al. , 2022).</w:t>
      </w:r>
    </w:p>
    <w:p>
      <w:pPr>
        <w:pStyle w:val="Heading3"/>
        <w:spacing w:before="162"/>
        <w:jc w:val="left"/>
      </w:pPr>
      <w:r>
        <w:rPr>
          <w:spacing w:val="-2"/>
        </w:rPr>
        <w:t>Indicaciones</w:t>
      </w:r>
    </w:p>
    <w:p>
      <w:pPr>
        <w:pStyle w:val="BodyText"/>
        <w:spacing w:before="24"/>
        <w:rPr>
          <w:b/>
        </w:rPr>
      </w:pPr>
    </w:p>
    <w:p>
      <w:pPr>
        <w:pStyle w:val="BodyText"/>
        <w:spacing w:line="360" w:lineRule="auto" w:before="1"/>
        <w:ind w:left="994" w:right="713"/>
        <w:jc w:val="both"/>
      </w:pPr>
      <w:r>
        <w:rPr/>
        <w:t>Este</w:t>
      </w:r>
      <w:r>
        <w:rPr>
          <w:spacing w:val="-6"/>
        </w:rPr>
        <w:t> </w:t>
      </w:r>
      <w:r>
        <w:rPr/>
        <w:t>tratamiento</w:t>
      </w:r>
      <w:r>
        <w:rPr>
          <w:spacing w:val="-8"/>
        </w:rPr>
        <w:t> </w:t>
      </w:r>
      <w:r>
        <w:rPr/>
        <w:t>se</w:t>
      </w:r>
      <w:r>
        <w:rPr>
          <w:spacing w:val="-6"/>
        </w:rPr>
        <w:t> </w:t>
      </w:r>
      <w:r>
        <w:rPr/>
        <w:t>reserva</w:t>
      </w:r>
      <w:r>
        <w:rPr>
          <w:spacing w:val="-10"/>
        </w:rPr>
        <w:t> </w:t>
      </w:r>
      <w:r>
        <w:rPr/>
        <w:t>para</w:t>
      </w:r>
      <w:r>
        <w:rPr>
          <w:spacing w:val="-6"/>
        </w:rPr>
        <w:t> </w:t>
      </w:r>
      <w:r>
        <w:rPr/>
        <w:t>patologías</w:t>
      </w:r>
      <w:r>
        <w:rPr>
          <w:spacing w:val="-13"/>
        </w:rPr>
        <w:t> </w:t>
      </w:r>
      <w:r>
        <w:rPr/>
        <w:t>infecciosas</w:t>
      </w:r>
      <w:r>
        <w:rPr>
          <w:spacing w:val="-9"/>
        </w:rPr>
        <w:t> </w:t>
      </w:r>
      <w:r>
        <w:rPr/>
        <w:t>complicadas</w:t>
      </w:r>
      <w:r>
        <w:rPr>
          <w:spacing w:val="-9"/>
        </w:rPr>
        <w:t> </w:t>
      </w:r>
      <w:r>
        <w:rPr/>
        <w:t>en</w:t>
      </w:r>
      <w:r>
        <w:rPr>
          <w:spacing w:val="-8"/>
        </w:rPr>
        <w:t> </w:t>
      </w:r>
      <w:r>
        <w:rPr/>
        <w:t>los</w:t>
      </w:r>
      <w:r>
        <w:rPr>
          <w:spacing w:val="-13"/>
        </w:rPr>
        <w:t> </w:t>
      </w:r>
      <w:r>
        <w:rPr/>
        <w:t>aparatos urinario, respiratorio, digestivo y dérmico. Frente a piodermias graves o que no ceden al tratamiento inicial, su uso se contempla como opción antibiótica de segunda línea preferente (Pereira et al. , 2021).</w:t>
      </w:r>
    </w:p>
    <w:p>
      <w:pPr>
        <w:pStyle w:val="Heading3"/>
        <w:spacing w:before="164"/>
        <w:jc w:val="left"/>
      </w:pPr>
      <w:r>
        <w:rPr>
          <w:spacing w:val="-2"/>
        </w:rPr>
        <w:t>Contraindicaciones</w:t>
      </w:r>
    </w:p>
    <w:p>
      <w:pPr>
        <w:pStyle w:val="BodyText"/>
        <w:spacing w:before="20"/>
        <w:rPr>
          <w:b/>
        </w:rPr>
      </w:pPr>
    </w:p>
    <w:p>
      <w:pPr>
        <w:pStyle w:val="BodyText"/>
        <w:spacing w:line="360" w:lineRule="auto"/>
        <w:ind w:left="994" w:right="705"/>
        <w:jc w:val="both"/>
      </w:pPr>
      <w:r>
        <w:rPr/>
        <w:t>Se</w:t>
      </w:r>
      <w:r>
        <w:rPr>
          <w:spacing w:val="-1"/>
        </w:rPr>
        <w:t> </w:t>
      </w:r>
      <w:r>
        <w:rPr/>
        <w:t>abstiene</w:t>
      </w:r>
      <w:r>
        <w:rPr>
          <w:spacing w:val="-1"/>
        </w:rPr>
        <w:t> </w:t>
      </w:r>
      <w:r>
        <w:rPr/>
        <w:t>su</w:t>
      </w:r>
      <w:r>
        <w:rPr>
          <w:spacing w:val="-2"/>
        </w:rPr>
        <w:t> </w:t>
      </w:r>
      <w:r>
        <w:rPr/>
        <w:t>administración</w:t>
      </w:r>
      <w:r>
        <w:rPr>
          <w:spacing w:val="-2"/>
        </w:rPr>
        <w:t> </w:t>
      </w:r>
      <w:r>
        <w:rPr/>
        <w:t>en</w:t>
      </w:r>
      <w:r>
        <w:rPr>
          <w:spacing w:val="-2"/>
        </w:rPr>
        <w:t> </w:t>
      </w:r>
      <w:r>
        <w:rPr/>
        <w:t>animales</w:t>
      </w:r>
      <w:r>
        <w:rPr>
          <w:spacing w:val="-8"/>
        </w:rPr>
        <w:t> </w:t>
      </w:r>
      <w:r>
        <w:rPr/>
        <w:t>que</w:t>
      </w:r>
      <w:r>
        <w:rPr>
          <w:spacing w:val="-1"/>
        </w:rPr>
        <w:t> </w:t>
      </w:r>
      <w:r>
        <w:rPr/>
        <w:t>no</w:t>
      </w:r>
      <w:r>
        <w:rPr>
          <w:spacing w:val="-2"/>
        </w:rPr>
        <w:t> </w:t>
      </w:r>
      <w:r>
        <w:rPr/>
        <w:t>hubiesen</w:t>
      </w:r>
      <w:r>
        <w:rPr>
          <w:spacing w:val="-2"/>
        </w:rPr>
        <w:t> </w:t>
      </w:r>
      <w:r>
        <w:rPr/>
        <w:t>cumplido</w:t>
      </w:r>
      <w:r>
        <w:rPr>
          <w:spacing w:val="-2"/>
        </w:rPr>
        <w:t> </w:t>
      </w:r>
      <w:r>
        <w:rPr/>
        <w:t>los</w:t>
      </w:r>
      <w:r>
        <w:rPr>
          <w:spacing w:val="-4"/>
        </w:rPr>
        <w:t> </w:t>
      </w:r>
      <w:r>
        <w:rPr/>
        <w:t>12</w:t>
      </w:r>
      <w:r>
        <w:rPr>
          <w:spacing w:val="-2"/>
        </w:rPr>
        <w:t> </w:t>
      </w:r>
      <w:r>
        <w:rPr/>
        <w:t>meses de edad. De igual modo, se desaconseja su uso en aquellos que tengan entre 12 y 18 meses de razas de gran porte, dada la posibilidad de inducir condropatías. Asimismo, queda vetada en pacientes con historial de convulsiones o desórdenes del sistema nervioso central (Andrade et al., 2022).</w:t>
      </w:r>
    </w:p>
    <w:p>
      <w:pPr>
        <w:pStyle w:val="Heading3"/>
        <w:spacing w:before="159"/>
      </w:pPr>
      <w:r>
        <w:rPr/>
        <w:t>Efectos</w:t>
      </w:r>
      <w:r>
        <w:rPr>
          <w:spacing w:val="-5"/>
        </w:rPr>
        <w:t> </w:t>
      </w:r>
      <w:r>
        <w:rPr>
          <w:spacing w:val="-2"/>
        </w:rPr>
        <w:t>adversos</w:t>
      </w:r>
    </w:p>
    <w:p>
      <w:pPr>
        <w:pStyle w:val="BodyText"/>
        <w:spacing w:before="20"/>
        <w:rPr>
          <w:b/>
        </w:rPr>
      </w:pPr>
    </w:p>
    <w:p>
      <w:pPr>
        <w:pStyle w:val="BodyText"/>
        <w:ind w:left="994"/>
      </w:pPr>
      <w:r>
        <w:rPr/>
        <w:t>Resultando</w:t>
      </w:r>
      <w:r>
        <w:rPr>
          <w:spacing w:val="5"/>
        </w:rPr>
        <w:t> </w:t>
      </w:r>
      <w:r>
        <w:rPr/>
        <w:t>en</w:t>
      </w:r>
      <w:r>
        <w:rPr>
          <w:spacing w:val="10"/>
        </w:rPr>
        <w:t> </w:t>
      </w:r>
      <w:r>
        <w:rPr/>
        <w:t>vomitos,</w:t>
      </w:r>
      <w:r>
        <w:rPr>
          <w:spacing w:val="10"/>
        </w:rPr>
        <w:t> </w:t>
      </w:r>
      <w:r>
        <w:rPr/>
        <w:t>un</w:t>
      </w:r>
      <w:r>
        <w:rPr>
          <w:spacing w:val="6"/>
        </w:rPr>
        <w:t> </w:t>
      </w:r>
      <w:r>
        <w:rPr/>
        <w:t>decaimiento</w:t>
      </w:r>
      <w:r>
        <w:rPr>
          <w:spacing w:val="6"/>
        </w:rPr>
        <w:t> </w:t>
      </w:r>
      <w:r>
        <w:rPr/>
        <w:t>del</w:t>
      </w:r>
      <w:r>
        <w:rPr>
          <w:spacing w:val="11"/>
        </w:rPr>
        <w:t> </w:t>
      </w:r>
      <w:r>
        <w:rPr/>
        <w:t>apetito,</w:t>
      </w:r>
      <w:r>
        <w:rPr>
          <w:spacing w:val="10"/>
        </w:rPr>
        <w:t> </w:t>
      </w:r>
      <w:r>
        <w:rPr/>
        <w:t>o</w:t>
      </w:r>
      <w:r>
        <w:rPr>
          <w:spacing w:val="6"/>
        </w:rPr>
        <w:t> </w:t>
      </w:r>
      <w:r>
        <w:rPr/>
        <w:t>la</w:t>
      </w:r>
      <w:r>
        <w:rPr>
          <w:spacing w:val="8"/>
        </w:rPr>
        <w:t> </w:t>
      </w:r>
      <w:r>
        <w:rPr/>
        <w:t>manifestacion</w:t>
      </w:r>
      <w:r>
        <w:rPr>
          <w:spacing w:val="6"/>
        </w:rPr>
        <w:t> </w:t>
      </w:r>
      <w:r>
        <w:rPr/>
        <w:t>de</w:t>
      </w:r>
      <w:r>
        <w:rPr>
          <w:spacing w:val="12"/>
        </w:rPr>
        <w:t> </w:t>
      </w:r>
      <w:r>
        <w:rPr>
          <w:spacing w:val="-2"/>
        </w:rPr>
        <w:t>diarrea.</w:t>
      </w:r>
    </w:p>
    <w:p>
      <w:pPr>
        <w:pStyle w:val="BodyText"/>
        <w:spacing w:after="0"/>
        <w:sectPr>
          <w:pgSz w:w="11900" w:h="16840"/>
          <w:pgMar w:top="1580" w:bottom="280" w:left="1275" w:right="992"/>
        </w:sectPr>
      </w:pPr>
    </w:p>
    <w:p>
      <w:pPr>
        <w:pStyle w:val="BodyText"/>
        <w:spacing w:line="360" w:lineRule="auto" w:before="60"/>
        <w:ind w:left="994" w:right="719"/>
        <w:jc w:val="both"/>
      </w:pPr>
      <w:r>
        <w:rPr/>
        <w:t>Ademas, se han documentado en animales de corta edad daños articulares de caracter permanente y, en circunstancias no habituales, ataques epilépticos o una descoordinacion motriz (Wassmann et al. , 2020).</w:t>
      </w:r>
    </w:p>
    <w:p>
      <w:pPr>
        <w:pStyle w:val="Heading3"/>
        <w:spacing w:before="162"/>
        <w:jc w:val="left"/>
      </w:pPr>
      <w:r>
        <w:rPr>
          <w:spacing w:val="-2"/>
        </w:rPr>
        <w:t>Farmacocinética</w:t>
      </w:r>
    </w:p>
    <w:p>
      <w:pPr>
        <w:pStyle w:val="BodyText"/>
        <w:spacing w:before="37"/>
        <w:rPr>
          <w:b/>
        </w:rPr>
      </w:pPr>
    </w:p>
    <w:p>
      <w:pPr>
        <w:pStyle w:val="BodyText"/>
        <w:spacing w:line="360" w:lineRule="auto"/>
        <w:ind w:left="994" w:right="708"/>
        <w:jc w:val="both"/>
      </w:pPr>
      <w:r>
        <w:rPr/>
        <w:t>Presenta</w:t>
      </w:r>
      <w:r>
        <w:rPr>
          <w:spacing w:val="-2"/>
        </w:rPr>
        <w:t> </w:t>
      </w:r>
      <w:r>
        <w:rPr/>
        <w:t>una</w:t>
      </w:r>
      <w:r>
        <w:rPr>
          <w:spacing w:val="-2"/>
        </w:rPr>
        <w:t> </w:t>
      </w:r>
      <w:r>
        <w:rPr/>
        <w:t>biodisponibilidad</w:t>
      </w:r>
      <w:r>
        <w:rPr>
          <w:spacing w:val="-3"/>
        </w:rPr>
        <w:t> </w:t>
      </w:r>
      <w:r>
        <w:rPr/>
        <w:t>oral</w:t>
      </w:r>
      <w:r>
        <w:rPr>
          <w:spacing w:val="-2"/>
        </w:rPr>
        <w:t> </w:t>
      </w:r>
      <w:r>
        <w:rPr/>
        <w:t>mayor</w:t>
      </w:r>
      <w:r>
        <w:rPr>
          <w:spacing w:val="-7"/>
        </w:rPr>
        <w:t> </w:t>
      </w:r>
      <w:r>
        <w:rPr/>
        <w:t>al</w:t>
      </w:r>
      <w:r>
        <w:rPr>
          <w:spacing w:val="-2"/>
        </w:rPr>
        <w:t> </w:t>
      </w:r>
      <w:r>
        <w:rPr/>
        <w:t>80</w:t>
      </w:r>
      <w:r>
        <w:rPr>
          <w:spacing w:val="-3"/>
        </w:rPr>
        <w:t> </w:t>
      </w:r>
      <w:r>
        <w:rPr/>
        <w:t>%,</w:t>
      </w:r>
      <w:r>
        <w:rPr>
          <w:spacing w:val="-3"/>
        </w:rPr>
        <w:t> </w:t>
      </w:r>
      <w:r>
        <w:rPr/>
        <w:t>buena</w:t>
      </w:r>
      <w:r>
        <w:rPr>
          <w:spacing w:val="-2"/>
        </w:rPr>
        <w:t> </w:t>
      </w:r>
      <w:r>
        <w:rPr/>
        <w:t>distribución</w:t>
      </w:r>
      <w:r>
        <w:rPr>
          <w:spacing w:val="-3"/>
        </w:rPr>
        <w:t> </w:t>
      </w:r>
      <w:r>
        <w:rPr/>
        <w:t>en</w:t>
      </w:r>
      <w:r>
        <w:rPr>
          <w:spacing w:val="-3"/>
        </w:rPr>
        <w:t> </w:t>
      </w:r>
      <w:r>
        <w:rPr/>
        <w:t>tejidos</w:t>
      </w:r>
      <w:r>
        <w:rPr>
          <w:spacing w:val="-5"/>
        </w:rPr>
        <w:t> </w:t>
      </w:r>
      <w:r>
        <w:rPr/>
        <w:t>y capacidad para atravesar barreras como la hematoencefálica y la placentaria. Se transforma</w:t>
      </w:r>
      <w:r>
        <w:rPr>
          <w:spacing w:val="-14"/>
        </w:rPr>
        <w:t> </w:t>
      </w:r>
      <w:r>
        <w:rPr/>
        <w:t>de</w:t>
      </w:r>
      <w:r>
        <w:rPr>
          <w:spacing w:val="-14"/>
        </w:rPr>
        <w:t> </w:t>
      </w:r>
      <w:r>
        <w:rPr/>
        <w:t>manera</w:t>
      </w:r>
      <w:r>
        <w:rPr>
          <w:spacing w:val="-14"/>
        </w:rPr>
        <w:t> </w:t>
      </w:r>
      <w:r>
        <w:rPr/>
        <w:t>parcial</w:t>
      </w:r>
      <w:r>
        <w:rPr>
          <w:spacing w:val="-14"/>
        </w:rPr>
        <w:t> </w:t>
      </w:r>
      <w:r>
        <w:rPr/>
        <w:t>en</w:t>
      </w:r>
      <w:r>
        <w:rPr>
          <w:spacing w:val="-15"/>
        </w:rPr>
        <w:t> </w:t>
      </w:r>
      <w:r>
        <w:rPr/>
        <w:t>ciprofloxacina</w:t>
      </w:r>
      <w:r>
        <w:rPr>
          <w:spacing w:val="-14"/>
        </w:rPr>
        <w:t> </w:t>
      </w:r>
      <w:r>
        <w:rPr/>
        <w:t>y</w:t>
      </w:r>
      <w:r>
        <w:rPr>
          <w:spacing w:val="-15"/>
        </w:rPr>
        <w:t> </w:t>
      </w:r>
      <w:r>
        <w:rPr/>
        <w:t>se</w:t>
      </w:r>
      <w:r>
        <w:rPr>
          <w:spacing w:val="-14"/>
        </w:rPr>
        <w:t> </w:t>
      </w:r>
      <w:r>
        <w:rPr/>
        <w:t>elimina</w:t>
      </w:r>
      <w:r>
        <w:rPr>
          <w:spacing w:val="-14"/>
        </w:rPr>
        <w:t> </w:t>
      </w:r>
      <w:r>
        <w:rPr/>
        <w:t>por</w:t>
      </w:r>
      <w:r>
        <w:rPr>
          <w:spacing w:val="-15"/>
        </w:rPr>
        <w:t> </w:t>
      </w:r>
      <w:r>
        <w:rPr/>
        <w:t>vía</w:t>
      </w:r>
      <w:r>
        <w:rPr>
          <w:spacing w:val="-14"/>
        </w:rPr>
        <w:t> </w:t>
      </w:r>
      <w:r>
        <w:rPr/>
        <w:t>renal</w:t>
      </w:r>
      <w:r>
        <w:rPr>
          <w:spacing w:val="-14"/>
        </w:rPr>
        <w:t> </w:t>
      </w:r>
      <w:r>
        <w:rPr/>
        <w:t>y</w:t>
      </w:r>
      <w:r>
        <w:rPr>
          <w:spacing w:val="-15"/>
        </w:rPr>
        <w:t> </w:t>
      </w:r>
      <w:r>
        <w:rPr/>
        <w:t>hepática (Pereira et al., 2021).</w:t>
      </w:r>
    </w:p>
    <w:p>
      <w:pPr>
        <w:pStyle w:val="Heading3"/>
        <w:spacing w:before="164"/>
      </w:pPr>
      <w:r>
        <w:rPr/>
        <w:t>Interacciones</w:t>
      </w:r>
      <w:r>
        <w:rPr>
          <w:spacing w:val="-5"/>
        </w:rPr>
        <w:t> </w:t>
      </w:r>
      <w:r>
        <w:rPr>
          <w:spacing w:val="-2"/>
        </w:rPr>
        <w:t>medicamentosas</w:t>
      </w:r>
    </w:p>
    <w:p>
      <w:pPr>
        <w:pStyle w:val="BodyText"/>
        <w:spacing w:before="20"/>
        <w:rPr>
          <w:b/>
        </w:rPr>
      </w:pPr>
    </w:p>
    <w:p>
      <w:pPr>
        <w:pStyle w:val="BodyText"/>
        <w:spacing w:line="360" w:lineRule="auto"/>
        <w:ind w:left="994" w:right="705"/>
        <w:jc w:val="both"/>
      </w:pPr>
      <w:r>
        <w:rPr/>
        <w:t>Su</w:t>
      </w:r>
      <w:r>
        <w:rPr>
          <w:spacing w:val="-1"/>
        </w:rPr>
        <w:t> </w:t>
      </w:r>
      <w:r>
        <w:rPr/>
        <w:t>absorcin</w:t>
      </w:r>
      <w:r>
        <w:rPr>
          <w:spacing w:val="-1"/>
        </w:rPr>
        <w:t> </w:t>
      </w:r>
      <w:r>
        <w:rPr/>
        <w:t>podra ser</w:t>
      </w:r>
      <w:r>
        <w:rPr>
          <w:spacing w:val="-1"/>
        </w:rPr>
        <w:t> </w:t>
      </w:r>
      <w:r>
        <w:rPr/>
        <w:t>dismunida</w:t>
      </w:r>
      <w:r>
        <w:rPr>
          <w:spacing w:val="-3"/>
        </w:rPr>
        <w:t> </w:t>
      </w:r>
      <w:r>
        <w:rPr/>
        <w:t>al</w:t>
      </w:r>
      <w:r>
        <w:rPr>
          <w:spacing w:val="-3"/>
        </w:rPr>
        <w:t> </w:t>
      </w:r>
      <w:r>
        <w:rPr/>
        <w:t>combinarse con</w:t>
      </w:r>
      <w:r>
        <w:rPr>
          <w:spacing w:val="-5"/>
        </w:rPr>
        <w:t> </w:t>
      </w:r>
      <w:r>
        <w:rPr/>
        <w:t>antiacidos,</w:t>
      </w:r>
      <w:r>
        <w:rPr>
          <w:spacing w:val="-1"/>
        </w:rPr>
        <w:t> </w:t>
      </w:r>
      <w:r>
        <w:rPr/>
        <w:t>sucralfato,</w:t>
      </w:r>
      <w:r>
        <w:rPr>
          <w:spacing w:val="-5"/>
        </w:rPr>
        <w:t> </w:t>
      </w:r>
      <w:r>
        <w:rPr/>
        <w:t>hierro</w:t>
      </w:r>
      <w:r>
        <w:rPr>
          <w:spacing w:val="-4"/>
        </w:rPr>
        <w:t> </w:t>
      </w:r>
      <w:r>
        <w:rPr/>
        <w:t>o calcio.</w:t>
      </w:r>
      <w:r>
        <w:rPr>
          <w:spacing w:val="-4"/>
        </w:rPr>
        <w:t> </w:t>
      </w:r>
      <w:r>
        <w:rPr/>
        <w:t>El</w:t>
      </w:r>
      <w:r>
        <w:rPr>
          <w:spacing w:val="-3"/>
        </w:rPr>
        <w:t> </w:t>
      </w:r>
      <w:r>
        <w:rPr/>
        <w:t>riesgo</w:t>
      </w:r>
      <w:r>
        <w:rPr>
          <w:spacing w:val="-4"/>
        </w:rPr>
        <w:t> </w:t>
      </w:r>
      <w:r>
        <w:rPr/>
        <w:t>de</w:t>
      </w:r>
      <w:r>
        <w:rPr>
          <w:spacing w:val="-3"/>
        </w:rPr>
        <w:t> </w:t>
      </w:r>
      <w:r>
        <w:rPr/>
        <w:t>eventos</w:t>
      </w:r>
      <w:r>
        <w:rPr>
          <w:spacing w:val="-6"/>
        </w:rPr>
        <w:t> </w:t>
      </w:r>
      <w:r>
        <w:rPr/>
        <w:t>adversos</w:t>
      </w:r>
      <w:r>
        <w:rPr>
          <w:spacing w:val="-6"/>
        </w:rPr>
        <w:t> </w:t>
      </w:r>
      <w:r>
        <w:rPr/>
        <w:t>adicionalmente</w:t>
      </w:r>
      <w:r>
        <w:rPr>
          <w:spacing w:val="-3"/>
        </w:rPr>
        <w:t> </w:t>
      </w:r>
      <w:r>
        <w:rPr/>
        <w:t>podra</w:t>
      </w:r>
      <w:r>
        <w:rPr>
          <w:spacing w:val="-3"/>
        </w:rPr>
        <w:t> </w:t>
      </w:r>
      <w:r>
        <w:rPr/>
        <w:t>incrementarse</w:t>
      </w:r>
      <w:r>
        <w:rPr>
          <w:spacing w:val="-3"/>
        </w:rPr>
        <w:t> </w:t>
      </w:r>
      <w:r>
        <w:rPr/>
        <w:t>si</w:t>
      </w:r>
      <w:r>
        <w:rPr>
          <w:spacing w:val="-3"/>
        </w:rPr>
        <w:t> </w:t>
      </w:r>
      <w:r>
        <w:rPr/>
        <w:t>se</w:t>
      </w:r>
      <w:r>
        <w:rPr>
          <w:spacing w:val="-3"/>
        </w:rPr>
        <w:t> </w:t>
      </w:r>
      <w:r>
        <w:rPr/>
        <w:t>usa junto a AINEs o teofilina (Wassmann et al. , 2020).</w:t>
      </w:r>
    </w:p>
    <w:p>
      <w:pPr>
        <w:pStyle w:val="Heading3"/>
        <w:spacing w:before="162"/>
      </w:pPr>
      <w:r>
        <w:rPr/>
        <w:t>Espectro</w:t>
      </w:r>
      <w:r>
        <w:rPr>
          <w:spacing w:val="-6"/>
        </w:rPr>
        <w:t> </w:t>
      </w:r>
      <w:r>
        <w:rPr/>
        <w:t>de</w:t>
      </w:r>
      <w:r>
        <w:rPr>
          <w:spacing w:val="-4"/>
        </w:rPr>
        <w:t> </w:t>
      </w:r>
      <w:r>
        <w:rPr>
          <w:spacing w:val="-2"/>
        </w:rPr>
        <w:t>acción</w:t>
      </w:r>
    </w:p>
    <w:p>
      <w:pPr>
        <w:pStyle w:val="BodyText"/>
        <w:spacing w:before="21"/>
        <w:rPr>
          <w:b/>
        </w:rPr>
      </w:pPr>
    </w:p>
    <w:p>
      <w:pPr>
        <w:pStyle w:val="BodyText"/>
        <w:ind w:left="994"/>
        <w:jc w:val="both"/>
      </w:pPr>
      <w:r>
        <w:rPr/>
        <w:t>Un</w:t>
      </w:r>
      <w:r>
        <w:rPr>
          <w:spacing w:val="-11"/>
        </w:rPr>
        <w:t> </w:t>
      </w:r>
      <w:r>
        <w:rPr/>
        <w:t>espectro</w:t>
      </w:r>
      <w:r>
        <w:rPr>
          <w:spacing w:val="-10"/>
        </w:rPr>
        <w:t> </w:t>
      </w:r>
      <w:r>
        <w:rPr/>
        <w:t>extenso</w:t>
      </w:r>
      <w:r>
        <w:rPr>
          <w:spacing w:val="-10"/>
        </w:rPr>
        <w:t> </w:t>
      </w:r>
      <w:r>
        <w:rPr/>
        <w:t>posee,</w:t>
      </w:r>
      <w:r>
        <w:rPr>
          <w:spacing w:val="-10"/>
        </w:rPr>
        <w:t> </w:t>
      </w:r>
      <w:r>
        <w:rPr/>
        <w:t>comprendiendo</w:t>
      </w:r>
      <w:r>
        <w:rPr>
          <w:spacing w:val="-11"/>
        </w:rPr>
        <w:t> </w:t>
      </w:r>
      <w:r>
        <w:rPr/>
        <w:t>organismos</w:t>
      </w:r>
      <w:r>
        <w:rPr>
          <w:spacing w:val="-12"/>
        </w:rPr>
        <w:t> </w:t>
      </w:r>
      <w:r>
        <w:rPr/>
        <w:t>Gram</w:t>
      </w:r>
      <w:r>
        <w:rPr>
          <w:spacing w:val="-9"/>
        </w:rPr>
        <w:t> </w:t>
      </w:r>
      <w:r>
        <w:rPr/>
        <w:t>negativos</w:t>
      </w:r>
      <w:r>
        <w:rPr>
          <w:spacing w:val="-12"/>
        </w:rPr>
        <w:t> </w:t>
      </w:r>
      <w:r>
        <w:rPr/>
        <w:t>tales</w:t>
      </w:r>
      <w:r>
        <w:rPr>
          <w:spacing w:val="-12"/>
        </w:rPr>
        <w:t> </w:t>
      </w:r>
      <w:r>
        <w:rPr>
          <w:spacing w:val="-4"/>
        </w:rPr>
        <w:t>como</w:t>
      </w:r>
    </w:p>
    <w:p>
      <w:pPr>
        <w:pStyle w:val="BodyText"/>
        <w:spacing w:line="360" w:lineRule="auto" w:before="140"/>
        <w:ind w:left="994" w:right="702"/>
        <w:jc w:val="both"/>
      </w:pPr>
      <w:r>
        <w:rPr/>
        <w:t>E. coli y Pseudomonas spp. , as como Gram positivos incluyendo Staphylococcus spp. Tambien puede ser de utilidad contra bacterias intracelulares (Vuong et al. , </w:t>
      </w:r>
      <w:r>
        <w:rPr>
          <w:spacing w:val="-2"/>
        </w:rPr>
        <w:t>2020).</w:t>
      </w:r>
    </w:p>
    <w:p>
      <w:pPr>
        <w:pStyle w:val="Heading3"/>
        <w:spacing w:before="163"/>
      </w:pPr>
      <w:r>
        <w:rPr/>
        <w:t>Clasificación</w:t>
      </w:r>
      <w:r>
        <w:rPr>
          <w:spacing w:val="-4"/>
        </w:rPr>
        <w:t> </w:t>
      </w:r>
      <w:r>
        <w:rPr>
          <w:spacing w:val="-2"/>
        </w:rPr>
        <w:t>farmacológica</w:t>
      </w:r>
    </w:p>
    <w:p>
      <w:pPr>
        <w:pStyle w:val="BodyText"/>
        <w:spacing w:before="20"/>
        <w:rPr>
          <w:b/>
        </w:rPr>
      </w:pPr>
    </w:p>
    <w:p>
      <w:pPr>
        <w:pStyle w:val="BodyText"/>
        <w:spacing w:line="362" w:lineRule="auto"/>
        <w:ind w:left="994" w:right="696"/>
        <w:jc w:val="both"/>
      </w:pPr>
      <w:r>
        <w:rPr/>
        <w:t>Integra el grupo de las fluoroquinolonas y su acción depende de la concentración </w:t>
      </w:r>
      <w:r>
        <w:rPr>
          <w:spacing w:val="-2"/>
        </w:rPr>
        <w:t>alcanzada.</w:t>
      </w:r>
    </w:p>
    <w:p>
      <w:pPr>
        <w:pStyle w:val="Heading3"/>
        <w:spacing w:before="154"/>
      </w:pPr>
      <w:r>
        <w:rPr/>
        <w:t>Resistencia</w:t>
      </w:r>
      <w:r>
        <w:rPr>
          <w:spacing w:val="-5"/>
        </w:rPr>
        <w:t> </w:t>
      </w:r>
      <w:r>
        <w:rPr>
          <w:spacing w:val="-2"/>
        </w:rPr>
        <w:t>bacteriana</w:t>
      </w:r>
    </w:p>
    <w:p>
      <w:pPr>
        <w:pStyle w:val="BodyText"/>
        <w:spacing w:before="24"/>
        <w:rPr>
          <w:b/>
        </w:rPr>
      </w:pPr>
    </w:p>
    <w:p>
      <w:pPr>
        <w:pStyle w:val="BodyText"/>
        <w:spacing w:line="360" w:lineRule="auto"/>
        <w:ind w:left="994" w:right="706"/>
        <w:jc w:val="both"/>
      </w:pPr>
      <w:r>
        <w:rPr/>
        <w:t>La resistencia puede desarrollarse con rapidez por mutaciones en topoisomerasas, bombas de eflujo o cambios en la permeabilidad bacteriana. El uso prolongado o empírico</w:t>
      </w:r>
      <w:r>
        <w:rPr>
          <w:spacing w:val="-7"/>
        </w:rPr>
        <w:t> </w:t>
      </w:r>
      <w:r>
        <w:rPr/>
        <w:t>favorece</w:t>
      </w:r>
      <w:r>
        <w:rPr>
          <w:spacing w:val="-6"/>
        </w:rPr>
        <w:t> </w:t>
      </w:r>
      <w:r>
        <w:rPr/>
        <w:t>la</w:t>
      </w:r>
      <w:r>
        <w:rPr>
          <w:spacing w:val="-6"/>
        </w:rPr>
        <w:t> </w:t>
      </w:r>
      <w:r>
        <w:rPr/>
        <w:t>selección</w:t>
      </w:r>
      <w:r>
        <w:rPr>
          <w:spacing w:val="-7"/>
        </w:rPr>
        <w:t> </w:t>
      </w:r>
      <w:r>
        <w:rPr/>
        <w:t>de</w:t>
      </w:r>
      <w:r>
        <w:rPr>
          <w:spacing w:val="-6"/>
        </w:rPr>
        <w:t> </w:t>
      </w:r>
      <w:r>
        <w:rPr/>
        <w:t>cepas</w:t>
      </w:r>
      <w:r>
        <w:rPr>
          <w:spacing w:val="-8"/>
        </w:rPr>
        <w:t> </w:t>
      </w:r>
      <w:r>
        <w:rPr/>
        <w:t>resistentes</w:t>
      </w:r>
      <w:r>
        <w:rPr>
          <w:spacing w:val="-8"/>
        </w:rPr>
        <w:t> </w:t>
      </w:r>
      <w:r>
        <w:rPr/>
        <w:t>(Vuong</w:t>
      </w:r>
      <w:r>
        <w:rPr>
          <w:spacing w:val="-7"/>
        </w:rPr>
        <w:t> </w:t>
      </w:r>
      <w:r>
        <w:rPr/>
        <w:t>et</w:t>
      </w:r>
      <w:r>
        <w:rPr>
          <w:spacing w:val="-6"/>
        </w:rPr>
        <w:t> </w:t>
      </w:r>
      <w:r>
        <w:rPr/>
        <w:t>al.,</w:t>
      </w:r>
      <w:r>
        <w:rPr>
          <w:spacing w:val="-7"/>
        </w:rPr>
        <w:t> </w:t>
      </w:r>
      <w:r>
        <w:rPr/>
        <w:t>2020;</w:t>
      </w:r>
      <w:r>
        <w:rPr>
          <w:spacing w:val="-6"/>
        </w:rPr>
        <w:t> </w:t>
      </w:r>
      <w:r>
        <w:rPr/>
        <w:t>Wassmann et al., 2020).</w:t>
      </w:r>
    </w:p>
    <w:p>
      <w:pPr>
        <w:pStyle w:val="BodyText"/>
        <w:spacing w:line="360" w:lineRule="auto" w:before="161"/>
        <w:ind w:left="994" w:right="695"/>
        <w:jc w:val="both"/>
      </w:pPr>
      <w:r>
        <w:rPr/>
        <w:t>La</w:t>
      </w:r>
      <w:r>
        <w:rPr>
          <w:spacing w:val="-13"/>
        </w:rPr>
        <w:t> </w:t>
      </w:r>
      <w:r>
        <w:rPr/>
        <w:t>infección</w:t>
      </w:r>
      <w:r>
        <w:rPr>
          <w:spacing w:val="-13"/>
        </w:rPr>
        <w:t> </w:t>
      </w:r>
      <w:r>
        <w:rPr/>
        <w:t>por</w:t>
      </w:r>
      <w:r>
        <w:rPr>
          <w:spacing w:val="-15"/>
        </w:rPr>
        <w:t> </w:t>
      </w:r>
      <w:r>
        <w:rPr/>
        <w:t>el</w:t>
      </w:r>
      <w:r>
        <w:rPr>
          <w:spacing w:val="-13"/>
        </w:rPr>
        <w:t> </w:t>
      </w:r>
      <w:r>
        <w:rPr/>
        <w:t>Virus</w:t>
      </w:r>
      <w:r>
        <w:rPr>
          <w:spacing w:val="-15"/>
        </w:rPr>
        <w:t> </w:t>
      </w:r>
      <w:r>
        <w:rPr/>
        <w:t>de</w:t>
      </w:r>
      <w:r>
        <w:rPr>
          <w:spacing w:val="-13"/>
        </w:rPr>
        <w:t> </w:t>
      </w:r>
      <w:r>
        <w:rPr/>
        <w:t>leucemia</w:t>
      </w:r>
      <w:r>
        <w:rPr>
          <w:spacing w:val="-9"/>
        </w:rPr>
        <w:t> </w:t>
      </w:r>
      <w:r>
        <w:rPr/>
        <w:t>felina</w:t>
      </w:r>
      <w:r>
        <w:rPr>
          <w:spacing w:val="-5"/>
        </w:rPr>
        <w:t> </w:t>
      </w:r>
      <w:r>
        <w:rPr/>
        <w:t>progresa</w:t>
      </w:r>
      <w:r>
        <w:rPr>
          <w:spacing w:val="-13"/>
        </w:rPr>
        <w:t> </w:t>
      </w:r>
      <w:r>
        <w:rPr/>
        <w:t>a</w:t>
      </w:r>
      <w:r>
        <w:rPr>
          <w:spacing w:val="-10"/>
        </w:rPr>
        <w:t> </w:t>
      </w:r>
      <w:r>
        <w:rPr/>
        <w:t>través</w:t>
      </w:r>
      <w:r>
        <w:rPr>
          <w:spacing w:val="-15"/>
        </w:rPr>
        <w:t> </w:t>
      </w:r>
      <w:r>
        <w:rPr/>
        <w:t>de</w:t>
      </w:r>
      <w:r>
        <w:rPr>
          <w:spacing w:val="-13"/>
        </w:rPr>
        <w:t> </w:t>
      </w:r>
      <w:r>
        <w:rPr/>
        <w:t>distintas</w:t>
      </w:r>
      <w:r>
        <w:rPr>
          <w:spacing w:val="-14"/>
        </w:rPr>
        <w:t> </w:t>
      </w:r>
      <w:r>
        <w:rPr/>
        <w:t>fases</w:t>
      </w:r>
      <w:r>
        <w:rPr>
          <w:spacing w:val="-15"/>
        </w:rPr>
        <w:t> </w:t>
      </w:r>
      <w:r>
        <w:rPr/>
        <w:t>bien definidas, cuyo desarrollo depende en gran medida de la eficacia de la respuesta inmunitaria del hospedador. Estas fases determinan el curso clínico de la enfermedad y el pronóstico del animal afectado (Dilek et al., 2021).</w:t>
      </w:r>
    </w:p>
    <w:p>
      <w:pPr>
        <w:pStyle w:val="BodyText"/>
        <w:spacing w:after="0" w:line="360" w:lineRule="auto"/>
        <w:jc w:val="both"/>
        <w:sectPr>
          <w:pgSz w:w="11900" w:h="16840"/>
          <w:pgMar w:top="1580" w:bottom="280" w:left="1275" w:right="992"/>
        </w:sectPr>
      </w:pPr>
    </w:p>
    <w:p>
      <w:pPr>
        <w:pStyle w:val="Heading3"/>
        <w:numPr>
          <w:ilvl w:val="2"/>
          <w:numId w:val="9"/>
        </w:numPr>
        <w:tabs>
          <w:tab w:pos="1702" w:val="left" w:leader="none"/>
        </w:tabs>
        <w:spacing w:line="566" w:lineRule="auto" w:before="60" w:after="0"/>
        <w:ind w:left="994" w:right="6544" w:firstLine="0"/>
        <w:jc w:val="both"/>
      </w:pPr>
      <w:bookmarkStart w:name="_bookmark15" w:id="16"/>
      <w:bookmarkEnd w:id="16"/>
      <w:r>
        <w:rPr>
          <w:b w:val="0"/>
        </w:rPr>
      </w:r>
      <w:r>
        <w:rPr>
          <w:spacing w:val="-2"/>
        </w:rPr>
        <w:t>Cefalexina Nombre</w:t>
      </w:r>
      <w:r>
        <w:rPr>
          <w:spacing w:val="-10"/>
        </w:rPr>
        <w:t> </w:t>
      </w:r>
      <w:r>
        <w:rPr>
          <w:spacing w:val="-2"/>
        </w:rPr>
        <w:t>del</w:t>
      </w:r>
      <w:r>
        <w:rPr>
          <w:spacing w:val="-7"/>
        </w:rPr>
        <w:t> </w:t>
      </w:r>
      <w:r>
        <w:rPr>
          <w:spacing w:val="-2"/>
        </w:rPr>
        <w:t>fármaco</w:t>
      </w:r>
    </w:p>
    <w:p>
      <w:pPr>
        <w:pStyle w:val="BodyText"/>
        <w:spacing w:line="360" w:lineRule="auto" w:before="57"/>
        <w:ind w:left="425" w:right="713"/>
        <w:jc w:val="both"/>
      </w:pPr>
      <w:r>
        <w:rPr/>
        <w:t>La cefalexina es una cefalosporina de primera generación usada con frecuencia en medicina veterinaria. En el mercado se encuentra con nombres comerciales como Rilexine® o Keflex® (Pereira et al., 2021).</w:t>
      </w:r>
    </w:p>
    <w:p>
      <w:pPr>
        <w:pStyle w:val="Heading3"/>
        <w:spacing w:before="247"/>
        <w:jc w:val="left"/>
      </w:pPr>
      <w:r>
        <w:rPr/>
        <w:t>Mecanismo</w:t>
      </w:r>
      <w:r>
        <w:rPr>
          <w:spacing w:val="-5"/>
        </w:rPr>
        <w:t> </w:t>
      </w:r>
      <w:r>
        <w:rPr/>
        <w:t>de </w:t>
      </w:r>
      <w:r>
        <w:rPr>
          <w:spacing w:val="-2"/>
        </w:rPr>
        <w:t>acción</w:t>
      </w:r>
    </w:p>
    <w:p>
      <w:pPr>
        <w:pStyle w:val="BodyText"/>
        <w:spacing w:before="100"/>
        <w:rPr>
          <w:b/>
        </w:rPr>
      </w:pPr>
    </w:p>
    <w:p>
      <w:pPr>
        <w:pStyle w:val="BodyText"/>
        <w:spacing w:line="360" w:lineRule="auto"/>
        <w:ind w:left="994" w:right="712"/>
        <w:jc w:val="both"/>
      </w:pPr>
      <w:r>
        <w:rPr/>
        <w:t>Su mecanismo se</w:t>
      </w:r>
      <w:r>
        <w:rPr>
          <w:spacing w:val="-2"/>
        </w:rPr>
        <w:t> </w:t>
      </w:r>
      <w:r>
        <w:rPr/>
        <w:t>basa en bloquear</w:t>
      </w:r>
      <w:r>
        <w:rPr>
          <w:spacing w:val="-3"/>
        </w:rPr>
        <w:t> </w:t>
      </w:r>
      <w:r>
        <w:rPr/>
        <w:t>la síntesis</w:t>
      </w:r>
      <w:r>
        <w:rPr>
          <w:spacing w:val="-1"/>
        </w:rPr>
        <w:t> </w:t>
      </w:r>
      <w:r>
        <w:rPr/>
        <w:t>de la pared bacteriana al unirse a las PBPs</w:t>
      </w:r>
      <w:r>
        <w:rPr>
          <w:spacing w:val="-6"/>
        </w:rPr>
        <w:t> </w:t>
      </w:r>
      <w:r>
        <w:rPr/>
        <w:t>e</w:t>
      </w:r>
      <w:r>
        <w:rPr>
          <w:spacing w:val="-3"/>
        </w:rPr>
        <w:t> </w:t>
      </w:r>
      <w:r>
        <w:rPr/>
        <w:t>interferir</w:t>
      </w:r>
      <w:r>
        <w:rPr>
          <w:spacing w:val="-7"/>
        </w:rPr>
        <w:t> </w:t>
      </w:r>
      <w:r>
        <w:rPr/>
        <w:t>en</w:t>
      </w:r>
      <w:r>
        <w:rPr>
          <w:spacing w:val="-4"/>
        </w:rPr>
        <w:t> </w:t>
      </w:r>
      <w:r>
        <w:rPr/>
        <w:t>la</w:t>
      </w:r>
      <w:r>
        <w:rPr>
          <w:spacing w:val="-3"/>
        </w:rPr>
        <w:t> </w:t>
      </w:r>
      <w:r>
        <w:rPr/>
        <w:t>formación</w:t>
      </w:r>
      <w:r>
        <w:rPr>
          <w:spacing w:val="-4"/>
        </w:rPr>
        <w:t> </w:t>
      </w:r>
      <w:r>
        <w:rPr/>
        <w:t>del</w:t>
      </w:r>
      <w:r>
        <w:rPr>
          <w:spacing w:val="-3"/>
        </w:rPr>
        <w:t> </w:t>
      </w:r>
      <w:r>
        <w:rPr/>
        <w:t>peptidoglicano.</w:t>
      </w:r>
      <w:r>
        <w:rPr>
          <w:spacing w:val="-8"/>
        </w:rPr>
        <w:t> </w:t>
      </w:r>
      <w:r>
        <w:rPr/>
        <w:t>Este</w:t>
      </w:r>
      <w:r>
        <w:rPr>
          <w:spacing w:val="-3"/>
        </w:rPr>
        <w:t> </w:t>
      </w:r>
      <w:r>
        <w:rPr/>
        <w:t>proceso</w:t>
      </w:r>
      <w:r>
        <w:rPr>
          <w:spacing w:val="-4"/>
        </w:rPr>
        <w:t> </w:t>
      </w:r>
      <w:r>
        <w:rPr/>
        <w:t>produce</w:t>
      </w:r>
      <w:r>
        <w:rPr>
          <w:spacing w:val="-6"/>
        </w:rPr>
        <w:t> </w:t>
      </w:r>
      <w:r>
        <w:rPr/>
        <w:t>ruptura osmótica y muerte de la célula bacteriana (Loeffler &amp; Lloyd, 2022).</w:t>
      </w:r>
    </w:p>
    <w:p>
      <w:pPr>
        <w:pStyle w:val="Heading3"/>
        <w:spacing w:before="239"/>
        <w:jc w:val="left"/>
      </w:pPr>
      <w:r>
        <w:rPr/>
        <w:t>Dosis</w:t>
      </w:r>
      <w:r>
        <w:rPr>
          <w:spacing w:val="-10"/>
        </w:rPr>
        <w:t> </w:t>
      </w:r>
      <w:r>
        <w:rPr>
          <w:spacing w:val="-2"/>
        </w:rPr>
        <w:t>terapéutica</w:t>
      </w:r>
    </w:p>
    <w:p>
      <w:pPr>
        <w:pStyle w:val="BodyText"/>
        <w:spacing w:before="104"/>
        <w:rPr>
          <w:b/>
        </w:rPr>
      </w:pPr>
    </w:p>
    <w:p>
      <w:pPr>
        <w:pStyle w:val="BodyText"/>
        <w:spacing w:line="360" w:lineRule="auto"/>
        <w:ind w:left="994" w:right="699"/>
        <w:jc w:val="both"/>
      </w:pPr>
      <w:r>
        <w:rPr/>
        <w:t>La</w:t>
      </w:r>
      <w:r>
        <w:rPr>
          <w:spacing w:val="-5"/>
        </w:rPr>
        <w:t> </w:t>
      </w:r>
      <w:r>
        <w:rPr/>
        <w:t>dosis</w:t>
      </w:r>
      <w:r>
        <w:rPr>
          <w:spacing w:val="-8"/>
        </w:rPr>
        <w:t> </w:t>
      </w:r>
      <w:r>
        <w:rPr/>
        <w:t>recomendada</w:t>
      </w:r>
      <w:r>
        <w:rPr>
          <w:spacing w:val="-9"/>
        </w:rPr>
        <w:t> </w:t>
      </w:r>
      <w:r>
        <w:rPr/>
        <w:t>en</w:t>
      </w:r>
      <w:r>
        <w:rPr>
          <w:spacing w:val="-7"/>
        </w:rPr>
        <w:t> </w:t>
      </w:r>
      <w:r>
        <w:rPr/>
        <w:t>perros</w:t>
      </w:r>
      <w:r>
        <w:rPr>
          <w:spacing w:val="-12"/>
        </w:rPr>
        <w:t> </w:t>
      </w:r>
      <w:r>
        <w:rPr/>
        <w:t>es</w:t>
      </w:r>
      <w:r>
        <w:rPr>
          <w:spacing w:val="-8"/>
        </w:rPr>
        <w:t> </w:t>
      </w:r>
      <w:r>
        <w:rPr/>
        <w:t>de</w:t>
      </w:r>
      <w:r>
        <w:rPr>
          <w:spacing w:val="-5"/>
        </w:rPr>
        <w:t> </w:t>
      </w:r>
      <w:r>
        <w:rPr/>
        <w:t>15</w:t>
      </w:r>
      <w:r>
        <w:rPr>
          <w:spacing w:val="-11"/>
        </w:rPr>
        <w:t> </w:t>
      </w:r>
      <w:r>
        <w:rPr/>
        <w:t>a</w:t>
      </w:r>
      <w:r>
        <w:rPr>
          <w:spacing w:val="-9"/>
        </w:rPr>
        <w:t> </w:t>
      </w:r>
      <w:r>
        <w:rPr/>
        <w:t>30</w:t>
      </w:r>
      <w:r>
        <w:rPr>
          <w:spacing w:val="-7"/>
        </w:rPr>
        <w:t> </w:t>
      </w:r>
      <w:r>
        <w:rPr/>
        <w:t>mg/kg</w:t>
      </w:r>
      <w:r>
        <w:rPr>
          <w:spacing w:val="-10"/>
        </w:rPr>
        <w:t> </w:t>
      </w:r>
      <w:r>
        <w:rPr/>
        <w:t>cada</w:t>
      </w:r>
      <w:r>
        <w:rPr>
          <w:spacing w:val="-5"/>
        </w:rPr>
        <w:t> </w:t>
      </w:r>
      <w:r>
        <w:rPr/>
        <w:t>8</w:t>
      </w:r>
      <w:r>
        <w:rPr>
          <w:spacing w:val="-7"/>
        </w:rPr>
        <w:t> </w:t>
      </w:r>
      <w:r>
        <w:rPr/>
        <w:t>a</w:t>
      </w:r>
      <w:r>
        <w:rPr>
          <w:spacing w:val="-9"/>
        </w:rPr>
        <w:t> </w:t>
      </w:r>
      <w:r>
        <w:rPr/>
        <w:t>12</w:t>
      </w:r>
      <w:r>
        <w:rPr>
          <w:spacing w:val="-7"/>
        </w:rPr>
        <w:t> </w:t>
      </w:r>
      <w:r>
        <w:rPr/>
        <w:t>horas</w:t>
      </w:r>
      <w:r>
        <w:rPr>
          <w:spacing w:val="-8"/>
        </w:rPr>
        <w:t> </w:t>
      </w:r>
      <w:r>
        <w:rPr/>
        <w:t>por</w:t>
      </w:r>
      <w:r>
        <w:rPr>
          <w:spacing w:val="-10"/>
        </w:rPr>
        <w:t> </w:t>
      </w:r>
      <w:r>
        <w:rPr/>
        <w:t>vía</w:t>
      </w:r>
      <w:r>
        <w:rPr>
          <w:spacing w:val="-9"/>
        </w:rPr>
        <w:t> </w:t>
      </w:r>
      <w:r>
        <w:rPr/>
        <w:t>oral. El curso terapéutico tiende a fluctuar de siete a catorce días, condicionad por la evolución clínica observada (Pereira et al., 2021).</w:t>
      </w:r>
    </w:p>
    <w:p>
      <w:pPr>
        <w:pStyle w:val="Heading3"/>
        <w:spacing w:before="238"/>
        <w:jc w:val="left"/>
      </w:pPr>
      <w:r>
        <w:rPr>
          <w:spacing w:val="-2"/>
        </w:rPr>
        <w:t>Indicaciones</w:t>
      </w:r>
    </w:p>
    <w:p>
      <w:pPr>
        <w:pStyle w:val="BodyText"/>
        <w:spacing w:before="104"/>
        <w:rPr>
          <w:b/>
        </w:rPr>
      </w:pPr>
    </w:p>
    <w:p>
      <w:pPr>
        <w:pStyle w:val="BodyText"/>
        <w:spacing w:line="360" w:lineRule="auto"/>
        <w:ind w:left="994" w:right="705"/>
        <w:jc w:val="both"/>
      </w:pPr>
      <w:r>
        <w:rPr/>
        <w:t>Está</w:t>
      </w:r>
      <w:r>
        <w:rPr>
          <w:spacing w:val="-7"/>
        </w:rPr>
        <w:t> </w:t>
      </w:r>
      <w:r>
        <w:rPr/>
        <w:t>indicado</w:t>
      </w:r>
      <w:r>
        <w:rPr>
          <w:spacing w:val="-9"/>
        </w:rPr>
        <w:t> </w:t>
      </w:r>
      <w:r>
        <w:rPr/>
        <w:t>en</w:t>
      </w:r>
      <w:r>
        <w:rPr>
          <w:spacing w:val="-9"/>
        </w:rPr>
        <w:t> </w:t>
      </w:r>
      <w:r>
        <w:rPr/>
        <w:t>la</w:t>
      </w:r>
      <w:r>
        <w:rPr>
          <w:spacing w:val="-7"/>
        </w:rPr>
        <w:t> </w:t>
      </w:r>
      <w:r>
        <w:rPr/>
        <w:t>erradicación</w:t>
      </w:r>
      <w:r>
        <w:rPr>
          <w:spacing w:val="-9"/>
        </w:rPr>
        <w:t> </w:t>
      </w:r>
      <w:r>
        <w:rPr/>
        <w:t>de</w:t>
      </w:r>
      <w:r>
        <w:rPr>
          <w:spacing w:val="-7"/>
        </w:rPr>
        <w:t> </w:t>
      </w:r>
      <w:r>
        <w:rPr/>
        <w:t>piodermas,</w:t>
      </w:r>
      <w:r>
        <w:rPr>
          <w:spacing w:val="-9"/>
        </w:rPr>
        <w:t> </w:t>
      </w:r>
      <w:r>
        <w:rPr/>
        <w:t>tanto</w:t>
      </w:r>
      <w:r>
        <w:rPr>
          <w:spacing w:val="-9"/>
        </w:rPr>
        <w:t> </w:t>
      </w:r>
      <w:r>
        <w:rPr/>
        <w:t>superficiales</w:t>
      </w:r>
      <w:r>
        <w:rPr>
          <w:spacing w:val="-10"/>
        </w:rPr>
        <w:t> </w:t>
      </w:r>
      <w:r>
        <w:rPr/>
        <w:t>como</w:t>
      </w:r>
      <w:r>
        <w:rPr>
          <w:spacing w:val="-9"/>
        </w:rPr>
        <w:t> </w:t>
      </w:r>
      <w:r>
        <w:rPr/>
        <w:t>profundos, al</w:t>
      </w:r>
      <w:r>
        <w:rPr>
          <w:spacing w:val="-1"/>
        </w:rPr>
        <w:t> </w:t>
      </w:r>
      <w:r>
        <w:rPr/>
        <w:t>igual</w:t>
      </w:r>
      <w:r>
        <w:rPr>
          <w:spacing w:val="-1"/>
        </w:rPr>
        <w:t> </w:t>
      </w:r>
      <w:r>
        <w:rPr/>
        <w:t>que</w:t>
      </w:r>
      <w:r>
        <w:rPr>
          <w:spacing w:val="-1"/>
        </w:rPr>
        <w:t> </w:t>
      </w:r>
      <w:r>
        <w:rPr/>
        <w:t>en</w:t>
      </w:r>
      <w:r>
        <w:rPr>
          <w:spacing w:val="-2"/>
        </w:rPr>
        <w:t> </w:t>
      </w:r>
      <w:r>
        <w:rPr/>
        <w:t>el</w:t>
      </w:r>
      <w:r>
        <w:rPr>
          <w:spacing w:val="-1"/>
        </w:rPr>
        <w:t> </w:t>
      </w:r>
      <w:r>
        <w:rPr/>
        <w:t>manejo</w:t>
      </w:r>
      <w:r>
        <w:rPr>
          <w:spacing w:val="-2"/>
        </w:rPr>
        <w:t> </w:t>
      </w:r>
      <w:r>
        <w:rPr/>
        <w:t>de</w:t>
      </w:r>
      <w:r>
        <w:rPr>
          <w:spacing w:val="-1"/>
        </w:rPr>
        <w:t> </w:t>
      </w:r>
      <w:r>
        <w:rPr/>
        <w:t>las</w:t>
      </w:r>
      <w:r>
        <w:rPr>
          <w:spacing w:val="-4"/>
        </w:rPr>
        <w:t> </w:t>
      </w:r>
      <w:r>
        <w:rPr/>
        <w:t>afecciones</w:t>
      </w:r>
      <w:r>
        <w:rPr>
          <w:spacing w:val="-4"/>
        </w:rPr>
        <w:t> </w:t>
      </w:r>
      <w:r>
        <w:rPr/>
        <w:t>del</w:t>
      </w:r>
      <w:r>
        <w:rPr>
          <w:spacing w:val="-1"/>
        </w:rPr>
        <w:t> </w:t>
      </w:r>
      <w:r>
        <w:rPr/>
        <w:t>tracto</w:t>
      </w:r>
      <w:r>
        <w:rPr>
          <w:spacing w:val="-2"/>
        </w:rPr>
        <w:t> </w:t>
      </w:r>
      <w:r>
        <w:rPr/>
        <w:t>urinario</w:t>
      </w:r>
      <w:r>
        <w:rPr>
          <w:spacing w:val="-2"/>
        </w:rPr>
        <w:t> </w:t>
      </w:r>
      <w:r>
        <w:rPr/>
        <w:t>y</w:t>
      </w:r>
      <w:r>
        <w:rPr>
          <w:spacing w:val="-2"/>
        </w:rPr>
        <w:t> </w:t>
      </w:r>
      <w:r>
        <w:rPr/>
        <w:t>respiratorio</w:t>
      </w:r>
      <w:r>
        <w:rPr>
          <w:spacing w:val="-2"/>
        </w:rPr>
        <w:t> </w:t>
      </w:r>
      <w:r>
        <w:rPr/>
        <w:t>canino (Andrade et al. , 2022).</w:t>
      </w:r>
    </w:p>
    <w:p>
      <w:pPr>
        <w:pStyle w:val="Heading3"/>
        <w:spacing w:before="239"/>
        <w:jc w:val="left"/>
      </w:pPr>
      <w:r>
        <w:rPr>
          <w:spacing w:val="-2"/>
        </w:rPr>
        <w:t>Contraindicaciones</w:t>
      </w:r>
    </w:p>
    <w:p>
      <w:pPr>
        <w:pStyle w:val="BodyText"/>
        <w:spacing w:before="104"/>
        <w:rPr>
          <w:b/>
        </w:rPr>
      </w:pPr>
    </w:p>
    <w:p>
      <w:pPr>
        <w:pStyle w:val="BodyText"/>
        <w:spacing w:line="362" w:lineRule="auto"/>
        <w:ind w:left="994" w:right="720"/>
        <w:jc w:val="both"/>
      </w:pPr>
      <w:r>
        <w:rPr/>
        <w:t>Su administración debe omitirse en pacientes con hipersensibilidad diagnosticada a cefalosporinas o penicilinas. En cuadros</w:t>
      </w:r>
      <w:r>
        <w:rPr>
          <w:spacing w:val="-1"/>
        </w:rPr>
        <w:t> </w:t>
      </w:r>
      <w:r>
        <w:rPr/>
        <w:t>de disfunción renal, se hace imperativo modificar la dosificación prescrita (Pereira et al. , 2021).</w:t>
      </w:r>
    </w:p>
    <w:p>
      <w:pPr>
        <w:pStyle w:val="Heading3"/>
        <w:spacing w:before="230"/>
        <w:jc w:val="left"/>
      </w:pPr>
      <w:r>
        <w:rPr/>
        <w:t>Efectos</w:t>
      </w:r>
      <w:r>
        <w:rPr>
          <w:spacing w:val="-5"/>
        </w:rPr>
        <w:t> </w:t>
      </w:r>
      <w:r>
        <w:rPr>
          <w:spacing w:val="-2"/>
        </w:rPr>
        <w:t>adversos</w:t>
      </w:r>
    </w:p>
    <w:p>
      <w:pPr>
        <w:pStyle w:val="BodyText"/>
        <w:spacing w:before="28"/>
        <w:rPr>
          <w:b/>
        </w:rPr>
      </w:pPr>
    </w:p>
    <w:p>
      <w:pPr>
        <w:pStyle w:val="BodyText"/>
        <w:spacing w:line="360" w:lineRule="auto" w:before="1"/>
        <w:ind w:left="994" w:right="700"/>
        <w:jc w:val="both"/>
      </w:pPr>
      <w:r>
        <w:rPr/>
        <w:t>Los efectos adversos son poco comunes. Puede aparecer vómito, diarrea o reacciones cutáneas leves. Las reacciones anafilácticas son raras, aunque posibles (Vuong et al., 2020).</w:t>
      </w:r>
    </w:p>
    <w:p>
      <w:pPr>
        <w:pStyle w:val="Heading3"/>
        <w:spacing w:before="238"/>
        <w:jc w:val="left"/>
      </w:pPr>
      <w:r>
        <w:rPr>
          <w:spacing w:val="-2"/>
        </w:rPr>
        <w:t>Farmacocinética</w:t>
      </w:r>
    </w:p>
    <w:p>
      <w:pPr>
        <w:pStyle w:val="Heading3"/>
        <w:spacing w:after="0"/>
        <w:jc w:val="left"/>
        <w:sectPr>
          <w:pgSz w:w="11900" w:h="16840"/>
          <w:pgMar w:top="1580" w:bottom="280" w:left="1275" w:right="992"/>
        </w:sectPr>
      </w:pPr>
    </w:p>
    <w:p>
      <w:pPr>
        <w:pStyle w:val="BodyText"/>
        <w:spacing w:line="360" w:lineRule="auto" w:before="76"/>
        <w:ind w:left="994" w:right="694"/>
        <w:jc w:val="both"/>
      </w:pPr>
      <w:r>
        <w:rPr/>
        <w:t>Buena</w:t>
      </w:r>
      <w:r>
        <w:rPr>
          <w:spacing w:val="-2"/>
        </w:rPr>
        <w:t> </w:t>
      </w:r>
      <w:r>
        <w:rPr/>
        <w:t>absorción</w:t>
      </w:r>
      <w:r>
        <w:rPr>
          <w:spacing w:val="-6"/>
        </w:rPr>
        <w:t> </w:t>
      </w:r>
      <w:r>
        <w:rPr/>
        <w:t>oral</w:t>
      </w:r>
      <w:r>
        <w:rPr>
          <w:spacing w:val="-6"/>
        </w:rPr>
        <w:t> </w:t>
      </w:r>
      <w:r>
        <w:rPr/>
        <w:t>(hasta</w:t>
      </w:r>
      <w:r>
        <w:rPr>
          <w:spacing w:val="-5"/>
        </w:rPr>
        <w:t> </w:t>
      </w:r>
      <w:r>
        <w:rPr/>
        <w:t>el</w:t>
      </w:r>
      <w:r>
        <w:rPr>
          <w:spacing w:val="-6"/>
        </w:rPr>
        <w:t> </w:t>
      </w:r>
      <w:r>
        <w:rPr/>
        <w:t>90</w:t>
      </w:r>
      <w:r>
        <w:rPr>
          <w:spacing w:val="-14"/>
        </w:rPr>
        <w:t> </w:t>
      </w:r>
      <w:r>
        <w:rPr/>
        <w:t>%),</w:t>
      </w:r>
      <w:r>
        <w:rPr>
          <w:spacing w:val="-7"/>
        </w:rPr>
        <w:t> </w:t>
      </w:r>
      <w:r>
        <w:rPr/>
        <w:t>distribución</w:t>
      </w:r>
      <w:r>
        <w:rPr>
          <w:spacing w:val="-6"/>
        </w:rPr>
        <w:t> </w:t>
      </w:r>
      <w:r>
        <w:rPr/>
        <w:t>eficaz</w:t>
      </w:r>
      <w:r>
        <w:rPr>
          <w:spacing w:val="-1"/>
        </w:rPr>
        <w:t> </w:t>
      </w:r>
      <w:r>
        <w:rPr/>
        <w:t>en</w:t>
      </w:r>
      <w:r>
        <w:rPr>
          <w:spacing w:val="-7"/>
        </w:rPr>
        <w:t> </w:t>
      </w:r>
      <w:r>
        <w:rPr/>
        <w:t>piel,</w:t>
      </w:r>
      <w:r>
        <w:rPr>
          <w:spacing w:val="-7"/>
        </w:rPr>
        <w:t> </w:t>
      </w:r>
      <w:r>
        <w:rPr/>
        <w:t>vejiga,</w:t>
      </w:r>
      <w:r>
        <w:rPr>
          <w:spacing w:val="-6"/>
        </w:rPr>
        <w:t> </w:t>
      </w:r>
      <w:r>
        <w:rPr/>
        <w:t>pulmones. No atraviesa fácilmente la barrera hematoencefálica. Eliminación renal sin metabolización significativa (Loeffler &amp; Lloyd, 2022).</w:t>
      </w:r>
    </w:p>
    <w:p>
      <w:pPr>
        <w:pStyle w:val="Heading3"/>
        <w:spacing w:before="59"/>
      </w:pPr>
      <w:r>
        <w:rPr/>
        <w:t>Interacciones</w:t>
      </w:r>
      <w:r>
        <w:rPr>
          <w:spacing w:val="-5"/>
        </w:rPr>
        <w:t> </w:t>
      </w:r>
      <w:r>
        <w:rPr>
          <w:spacing w:val="-2"/>
        </w:rPr>
        <w:t>medicamentosas</w:t>
      </w:r>
    </w:p>
    <w:p>
      <w:pPr>
        <w:pStyle w:val="BodyText"/>
        <w:spacing w:before="24"/>
        <w:rPr>
          <w:b/>
        </w:rPr>
      </w:pPr>
    </w:p>
    <w:p>
      <w:pPr>
        <w:pStyle w:val="BodyText"/>
        <w:spacing w:line="360" w:lineRule="auto"/>
        <w:ind w:left="994" w:right="698"/>
        <w:jc w:val="both"/>
      </w:pPr>
      <w:r>
        <w:rPr/>
        <w:t>Puede presentar interacciones cruzadas con otros β-lactámicos. Combinada con aminoglucósidos, puede aumentar el riesgo de nefrotoxicidad (Andrade et al., </w:t>
      </w:r>
      <w:r>
        <w:rPr>
          <w:spacing w:val="-2"/>
        </w:rPr>
        <w:t>2022).</w:t>
      </w:r>
    </w:p>
    <w:p>
      <w:pPr>
        <w:pStyle w:val="Heading3"/>
        <w:spacing w:before="242"/>
      </w:pPr>
      <w:r>
        <w:rPr/>
        <w:t>Espectro</w:t>
      </w:r>
      <w:r>
        <w:rPr>
          <w:spacing w:val="-6"/>
        </w:rPr>
        <w:t> </w:t>
      </w:r>
      <w:r>
        <w:rPr/>
        <w:t>de</w:t>
      </w:r>
      <w:r>
        <w:rPr>
          <w:spacing w:val="-4"/>
        </w:rPr>
        <w:t> </w:t>
      </w:r>
      <w:r>
        <w:rPr>
          <w:spacing w:val="-2"/>
        </w:rPr>
        <w:t>acción</w:t>
      </w:r>
    </w:p>
    <w:p>
      <w:pPr>
        <w:pStyle w:val="BodyText"/>
        <w:spacing w:before="24"/>
        <w:rPr>
          <w:b/>
        </w:rPr>
      </w:pPr>
    </w:p>
    <w:p>
      <w:pPr>
        <w:spacing w:line="360" w:lineRule="auto" w:before="0"/>
        <w:ind w:left="994" w:right="690" w:firstLine="0"/>
        <w:jc w:val="both"/>
        <w:rPr>
          <w:sz w:val="24"/>
        </w:rPr>
      </w:pPr>
      <w:r>
        <w:rPr>
          <w:sz w:val="24"/>
        </w:rPr>
        <w:t>Principalmente activo contra Gram positivas como </w:t>
      </w:r>
      <w:r>
        <w:rPr>
          <w:i/>
          <w:sz w:val="24"/>
        </w:rPr>
        <w:t>Staphylococcus pseudintermedius</w:t>
      </w:r>
      <w:r>
        <w:rPr>
          <w:i/>
          <w:spacing w:val="-3"/>
          <w:sz w:val="24"/>
        </w:rPr>
        <w:t> </w:t>
      </w:r>
      <w:r>
        <w:rPr>
          <w:sz w:val="24"/>
        </w:rPr>
        <w:t>y</w:t>
      </w:r>
      <w:r>
        <w:rPr>
          <w:spacing w:val="-7"/>
          <w:sz w:val="24"/>
        </w:rPr>
        <w:t> </w:t>
      </w:r>
      <w:r>
        <w:rPr>
          <w:i/>
          <w:sz w:val="24"/>
        </w:rPr>
        <w:t>S.</w:t>
      </w:r>
      <w:r>
        <w:rPr>
          <w:i/>
          <w:spacing w:val="-3"/>
          <w:sz w:val="24"/>
        </w:rPr>
        <w:t> </w:t>
      </w:r>
      <w:r>
        <w:rPr>
          <w:i/>
          <w:sz w:val="24"/>
        </w:rPr>
        <w:t>aureus</w:t>
      </w:r>
      <w:r>
        <w:rPr>
          <w:sz w:val="24"/>
        </w:rPr>
        <w:t>,</w:t>
      </w:r>
      <w:r>
        <w:rPr>
          <w:spacing w:val="-7"/>
          <w:sz w:val="24"/>
        </w:rPr>
        <w:t> </w:t>
      </w:r>
      <w:r>
        <w:rPr>
          <w:sz w:val="24"/>
        </w:rPr>
        <w:t>así</w:t>
      </w:r>
      <w:r>
        <w:rPr>
          <w:spacing w:val="-2"/>
          <w:sz w:val="24"/>
        </w:rPr>
        <w:t> </w:t>
      </w:r>
      <w:r>
        <w:rPr>
          <w:sz w:val="24"/>
        </w:rPr>
        <w:t>como</w:t>
      </w:r>
      <w:r>
        <w:rPr>
          <w:spacing w:val="-7"/>
          <w:sz w:val="24"/>
        </w:rPr>
        <w:t> </w:t>
      </w:r>
      <w:r>
        <w:rPr>
          <w:sz w:val="24"/>
        </w:rPr>
        <w:t>algunas</w:t>
      </w:r>
      <w:r>
        <w:rPr>
          <w:spacing w:val="-8"/>
          <w:sz w:val="24"/>
        </w:rPr>
        <w:t> </w:t>
      </w:r>
      <w:r>
        <w:rPr>
          <w:sz w:val="24"/>
        </w:rPr>
        <w:t>Gram</w:t>
      </w:r>
      <w:r>
        <w:rPr>
          <w:spacing w:val="-2"/>
          <w:sz w:val="24"/>
        </w:rPr>
        <w:t> </w:t>
      </w:r>
      <w:r>
        <w:rPr>
          <w:sz w:val="24"/>
        </w:rPr>
        <w:t>negativas</w:t>
      </w:r>
      <w:r>
        <w:rPr>
          <w:spacing w:val="-7"/>
          <w:sz w:val="24"/>
        </w:rPr>
        <w:t> </w:t>
      </w:r>
      <w:r>
        <w:rPr>
          <w:sz w:val="24"/>
        </w:rPr>
        <w:t>sensibles</w:t>
      </w:r>
      <w:r>
        <w:rPr>
          <w:spacing w:val="-7"/>
          <w:sz w:val="24"/>
        </w:rPr>
        <w:t> </w:t>
      </w:r>
      <w:r>
        <w:rPr>
          <w:sz w:val="24"/>
        </w:rPr>
        <w:t>como </w:t>
      </w:r>
      <w:r>
        <w:rPr>
          <w:i/>
          <w:sz w:val="24"/>
        </w:rPr>
        <w:t>E. coli </w:t>
      </w:r>
      <w:r>
        <w:rPr>
          <w:sz w:val="24"/>
        </w:rPr>
        <w:t>(Pereira et al., 2021).</w:t>
      </w:r>
    </w:p>
    <w:p>
      <w:pPr>
        <w:pStyle w:val="Heading3"/>
        <w:spacing w:before="235"/>
      </w:pPr>
      <w:r>
        <w:rPr/>
        <w:t>Clasificación</w:t>
      </w:r>
      <w:r>
        <w:rPr>
          <w:spacing w:val="-4"/>
        </w:rPr>
        <w:t> </w:t>
      </w:r>
      <w:r>
        <w:rPr>
          <w:spacing w:val="-2"/>
        </w:rPr>
        <w:t>farmacológica</w:t>
      </w:r>
    </w:p>
    <w:p>
      <w:pPr>
        <w:spacing w:line="652" w:lineRule="exact" w:before="3"/>
        <w:ind w:left="994" w:right="2540" w:firstLine="0"/>
        <w:jc w:val="both"/>
        <w:rPr>
          <w:b/>
          <w:sz w:val="24"/>
        </w:rPr>
      </w:pPr>
      <w:r>
        <w:rPr>
          <w:sz w:val="24"/>
        </w:rPr>
        <w:t>Antibiótico</w:t>
      </w:r>
      <w:r>
        <w:rPr>
          <w:spacing w:val="-5"/>
          <w:sz w:val="24"/>
        </w:rPr>
        <w:t> </w:t>
      </w:r>
      <w:r>
        <w:rPr>
          <w:sz w:val="24"/>
        </w:rPr>
        <w:t>β-lactámico</w:t>
      </w:r>
      <w:r>
        <w:rPr>
          <w:spacing w:val="-5"/>
          <w:sz w:val="24"/>
        </w:rPr>
        <w:t> </w:t>
      </w:r>
      <w:r>
        <w:rPr>
          <w:sz w:val="24"/>
        </w:rPr>
        <w:t>–</w:t>
      </w:r>
      <w:r>
        <w:rPr>
          <w:spacing w:val="-6"/>
          <w:sz w:val="24"/>
        </w:rPr>
        <w:t> </w:t>
      </w:r>
      <w:r>
        <w:rPr>
          <w:sz w:val="24"/>
        </w:rPr>
        <w:t>cefalosporina</w:t>
      </w:r>
      <w:r>
        <w:rPr>
          <w:spacing w:val="-4"/>
          <w:sz w:val="24"/>
        </w:rPr>
        <w:t> </w:t>
      </w:r>
      <w:r>
        <w:rPr>
          <w:sz w:val="24"/>
        </w:rPr>
        <w:t>de</w:t>
      </w:r>
      <w:r>
        <w:rPr>
          <w:spacing w:val="-4"/>
          <w:sz w:val="24"/>
        </w:rPr>
        <w:t> </w:t>
      </w:r>
      <w:r>
        <w:rPr>
          <w:sz w:val="24"/>
        </w:rPr>
        <w:t>primera</w:t>
      </w:r>
      <w:r>
        <w:rPr>
          <w:spacing w:val="-5"/>
          <w:sz w:val="24"/>
        </w:rPr>
        <w:t> </w:t>
      </w:r>
      <w:r>
        <w:rPr>
          <w:sz w:val="24"/>
        </w:rPr>
        <w:t>generación</w:t>
      </w:r>
      <w:r>
        <w:rPr>
          <w:b/>
          <w:sz w:val="24"/>
        </w:rPr>
        <w:t>. Resistencia bacteriana</w:t>
      </w:r>
    </w:p>
    <w:p>
      <w:pPr>
        <w:pStyle w:val="BodyText"/>
        <w:spacing w:line="360" w:lineRule="auto" w:before="225"/>
        <w:ind w:left="994" w:right="705"/>
        <w:jc w:val="both"/>
      </w:pPr>
      <w:r>
        <w:rPr/>
        <w:t>Ciertas cepas de </w:t>
      </w:r>
      <w:r>
        <w:rPr>
          <w:i/>
        </w:rPr>
        <w:t>Staphylococcus spp. </w:t>
      </w:r>
      <w:r>
        <w:rPr/>
        <w:t>pueden presentar resistencia mediante producción de β-lactamasas o alteración de PBPs. En infecciones persistentes, se requiere antibiograma previo (Andrade et al., 2022; Vuong et al., 2020).</w:t>
      </w:r>
    </w:p>
    <w:p>
      <w:pPr>
        <w:pStyle w:val="Heading3"/>
        <w:numPr>
          <w:ilvl w:val="1"/>
          <w:numId w:val="9"/>
        </w:numPr>
        <w:tabs>
          <w:tab w:pos="1426" w:val="left" w:leader="none"/>
        </w:tabs>
        <w:spacing w:line="240" w:lineRule="auto" w:before="235" w:after="0"/>
        <w:ind w:left="1426" w:right="0" w:hanging="432"/>
        <w:jc w:val="left"/>
      </w:pPr>
      <w:bookmarkStart w:name="_bookmark16" w:id="17"/>
      <w:bookmarkEnd w:id="17"/>
      <w:r>
        <w:rPr>
          <w:b w:val="0"/>
        </w:rPr>
      </w:r>
      <w:r>
        <w:rPr>
          <w:spacing w:val="-2"/>
        </w:rPr>
        <w:t>Piodermas</w:t>
      </w:r>
    </w:p>
    <w:p>
      <w:pPr>
        <w:pStyle w:val="BodyText"/>
        <w:spacing w:before="107"/>
        <w:rPr>
          <w:b/>
        </w:rPr>
      </w:pPr>
    </w:p>
    <w:p>
      <w:pPr>
        <w:pStyle w:val="BodyText"/>
        <w:spacing w:line="360" w:lineRule="auto" w:before="1"/>
        <w:ind w:left="994" w:right="702"/>
        <w:jc w:val="both"/>
      </w:pPr>
      <w:r>
        <w:rPr/>
        <w:t>Las piodermas caninas, esas molestas infecciones bacterianas cutáneas, admiten una</w:t>
      </w:r>
      <w:r>
        <w:rPr>
          <w:spacing w:val="-3"/>
        </w:rPr>
        <w:t> </w:t>
      </w:r>
      <w:r>
        <w:rPr/>
        <w:t>categorización</w:t>
      </w:r>
      <w:r>
        <w:rPr>
          <w:spacing w:val="-4"/>
        </w:rPr>
        <w:t> </w:t>
      </w:r>
      <w:r>
        <w:rPr/>
        <w:t>según</w:t>
      </w:r>
      <w:r>
        <w:rPr>
          <w:spacing w:val="-9"/>
        </w:rPr>
        <w:t> </w:t>
      </w:r>
      <w:r>
        <w:rPr/>
        <w:t>la</w:t>
      </w:r>
      <w:r>
        <w:rPr>
          <w:spacing w:val="-7"/>
        </w:rPr>
        <w:t> </w:t>
      </w:r>
      <w:r>
        <w:rPr/>
        <w:t>extensión</w:t>
      </w:r>
      <w:r>
        <w:rPr>
          <w:spacing w:val="-4"/>
        </w:rPr>
        <w:t> </w:t>
      </w:r>
      <w:r>
        <w:rPr/>
        <w:t>de</w:t>
      </w:r>
      <w:r>
        <w:rPr>
          <w:spacing w:val="-3"/>
        </w:rPr>
        <w:t> </w:t>
      </w:r>
      <w:r>
        <w:rPr/>
        <w:t>su</w:t>
      </w:r>
      <w:r>
        <w:rPr>
          <w:spacing w:val="-4"/>
        </w:rPr>
        <w:t> </w:t>
      </w:r>
      <w:r>
        <w:rPr/>
        <w:t>afectación</w:t>
      </w:r>
      <w:r>
        <w:rPr>
          <w:spacing w:val="-4"/>
        </w:rPr>
        <w:t> </w:t>
      </w:r>
      <w:r>
        <w:rPr/>
        <w:t>a</w:t>
      </w:r>
      <w:r>
        <w:rPr>
          <w:spacing w:val="-7"/>
        </w:rPr>
        <w:t> </w:t>
      </w:r>
      <w:r>
        <w:rPr/>
        <w:t>superficiales,</w:t>
      </w:r>
      <w:r>
        <w:rPr>
          <w:spacing w:val="-4"/>
        </w:rPr>
        <w:t> </w:t>
      </w:r>
      <w:r>
        <w:rPr/>
        <w:t>profundas</w:t>
      </w:r>
      <w:r>
        <w:rPr>
          <w:spacing w:val="-6"/>
        </w:rPr>
        <w:t> </w:t>
      </w:r>
      <w:r>
        <w:rPr/>
        <w:t>y mucocutáneas, distinguiéndose en función de la profundidad de la lesión hallada (Pereira et al. , 2021). Clínicamente, su presencia se delata mediante una serie de signos reveladores: pústulas, collaretes epidérmicos, áreas de alopecia, enrojecimiento difuso (eritema) y, en las situaciones más graves, la aparición de nódulos que emiten pus o incluso fístulas supurantes (Loeffler &amp; Lloyd, 2022). Estas afecciones, por desgracia, tienden a ser recurrentes, su desarrollo se ve facilitado por la presencia de circunstancias que las predisponen, tales como afecciones</w:t>
      </w:r>
      <w:r>
        <w:rPr>
          <w:spacing w:val="62"/>
        </w:rPr>
        <w:t> </w:t>
      </w:r>
      <w:r>
        <w:rPr/>
        <w:t>alérgicas,</w:t>
      </w:r>
      <w:r>
        <w:rPr>
          <w:spacing w:val="63"/>
        </w:rPr>
        <w:t> </w:t>
      </w:r>
      <w:r>
        <w:rPr/>
        <w:t>alteraciones</w:t>
      </w:r>
      <w:r>
        <w:rPr>
          <w:spacing w:val="62"/>
        </w:rPr>
        <w:t> </w:t>
      </w:r>
      <w:r>
        <w:rPr/>
        <w:t>en</w:t>
      </w:r>
      <w:r>
        <w:rPr>
          <w:spacing w:val="64"/>
        </w:rPr>
        <w:t> </w:t>
      </w:r>
      <w:r>
        <w:rPr/>
        <w:t>el</w:t>
      </w:r>
      <w:r>
        <w:rPr>
          <w:spacing w:val="60"/>
        </w:rPr>
        <w:t> </w:t>
      </w:r>
      <w:r>
        <w:rPr/>
        <w:t>funcionamiento</w:t>
      </w:r>
      <w:r>
        <w:rPr>
          <w:spacing w:val="59"/>
        </w:rPr>
        <w:t> </w:t>
      </w:r>
      <w:r>
        <w:rPr/>
        <w:t>endocrino</w:t>
      </w:r>
      <w:r>
        <w:rPr>
          <w:spacing w:val="63"/>
        </w:rPr>
        <w:t> </w:t>
      </w:r>
      <w:r>
        <w:rPr/>
        <w:t>del</w:t>
      </w:r>
      <w:r>
        <w:rPr>
          <w:spacing w:val="62"/>
        </w:rPr>
        <w:t> </w:t>
      </w:r>
      <w:r>
        <w:rPr>
          <w:spacing w:val="-2"/>
        </w:rPr>
        <w:t>animal,</w:t>
      </w:r>
    </w:p>
    <w:p>
      <w:pPr>
        <w:pStyle w:val="BodyText"/>
        <w:spacing w:after="0" w:line="360" w:lineRule="auto"/>
        <w:jc w:val="both"/>
        <w:sectPr>
          <w:pgSz w:w="11900" w:h="16840"/>
          <w:pgMar w:top="1840" w:bottom="280" w:left="1275" w:right="992"/>
        </w:sectPr>
      </w:pPr>
    </w:p>
    <w:p>
      <w:pPr>
        <w:pStyle w:val="BodyText"/>
        <w:spacing w:before="60"/>
        <w:ind w:left="994"/>
        <w:jc w:val="both"/>
      </w:pPr>
      <w:r>
        <w:rPr/>
        <w:t>sistemas</w:t>
      </w:r>
      <w:r>
        <w:rPr>
          <w:spacing w:val="-6"/>
        </w:rPr>
        <w:t> </w:t>
      </w:r>
      <w:r>
        <w:rPr/>
        <w:t>inmunitarios</w:t>
      </w:r>
      <w:r>
        <w:rPr>
          <w:spacing w:val="-4"/>
        </w:rPr>
        <w:t> </w:t>
      </w:r>
      <w:r>
        <w:rPr/>
        <w:t>debilitados</w:t>
      </w:r>
      <w:r>
        <w:rPr>
          <w:spacing w:val="-3"/>
        </w:rPr>
        <w:t> </w:t>
      </w:r>
      <w:r>
        <w:rPr/>
        <w:t>o</w:t>
      </w:r>
      <w:r>
        <w:rPr>
          <w:spacing w:val="-2"/>
        </w:rPr>
        <w:t> </w:t>
      </w:r>
      <w:r>
        <w:rPr/>
        <w:t>prácticas</w:t>
      </w:r>
      <w:r>
        <w:rPr>
          <w:spacing w:val="-3"/>
        </w:rPr>
        <w:t> </w:t>
      </w:r>
      <w:r>
        <w:rPr/>
        <w:t>de</w:t>
      </w:r>
      <w:r>
        <w:rPr>
          <w:spacing w:val="-1"/>
        </w:rPr>
        <w:t> </w:t>
      </w:r>
      <w:r>
        <w:rPr/>
        <w:t>higiene </w:t>
      </w:r>
      <w:r>
        <w:rPr>
          <w:spacing w:val="-2"/>
        </w:rPr>
        <w:t>deficientes.</w:t>
      </w:r>
    </w:p>
    <w:p>
      <w:pPr>
        <w:pStyle w:val="BodyText"/>
        <w:spacing w:before="20"/>
      </w:pPr>
    </w:p>
    <w:p>
      <w:pPr>
        <w:pStyle w:val="BodyText"/>
        <w:spacing w:line="360" w:lineRule="auto"/>
        <w:ind w:left="994" w:right="701"/>
        <w:jc w:val="both"/>
      </w:pPr>
      <w:r>
        <w:rPr/>
        <w:t>La incidencia de piodermas ha aumentado en las últimas décadas, en paralelo con la aparición de cepas bacterianas resistentes. Según Andrade et al. (2022), las piodermas representan un motivo principal para las visitas dermatológicas veterinarias</w:t>
      </w:r>
      <w:r>
        <w:rPr>
          <w:spacing w:val="-12"/>
        </w:rPr>
        <w:t> </w:t>
      </w:r>
      <w:r>
        <w:rPr/>
        <w:t>a</w:t>
      </w:r>
      <w:r>
        <w:rPr>
          <w:spacing w:val="-9"/>
        </w:rPr>
        <w:t> </w:t>
      </w:r>
      <w:r>
        <w:rPr/>
        <w:t>caninos</w:t>
      </w:r>
      <w:r>
        <w:rPr>
          <w:spacing w:val="-12"/>
        </w:rPr>
        <w:t> </w:t>
      </w:r>
      <w:r>
        <w:rPr/>
        <w:t>dentro</w:t>
      </w:r>
      <w:r>
        <w:rPr>
          <w:spacing w:val="-10"/>
        </w:rPr>
        <w:t> </w:t>
      </w:r>
      <w:r>
        <w:rPr/>
        <w:t>de</w:t>
      </w:r>
      <w:r>
        <w:rPr>
          <w:spacing w:val="-13"/>
        </w:rPr>
        <w:t> </w:t>
      </w:r>
      <w:r>
        <w:rPr/>
        <w:t>Ecuador,</w:t>
      </w:r>
      <w:r>
        <w:rPr>
          <w:spacing w:val="-14"/>
        </w:rPr>
        <w:t> </w:t>
      </w:r>
      <w:r>
        <w:rPr/>
        <w:t>manifestando</w:t>
      </w:r>
      <w:r>
        <w:rPr>
          <w:spacing w:val="-10"/>
        </w:rPr>
        <w:t> </w:t>
      </w:r>
      <w:r>
        <w:rPr/>
        <w:t>una</w:t>
      </w:r>
      <w:r>
        <w:rPr>
          <w:spacing w:val="-9"/>
        </w:rPr>
        <w:t> </w:t>
      </w:r>
      <w:r>
        <w:rPr/>
        <w:t>notable</w:t>
      </w:r>
      <w:r>
        <w:rPr>
          <w:spacing w:val="-9"/>
        </w:rPr>
        <w:t> </w:t>
      </w:r>
      <w:r>
        <w:rPr/>
        <w:t>propensión</w:t>
      </w:r>
      <w:r>
        <w:rPr>
          <w:spacing w:val="-10"/>
        </w:rPr>
        <w:t> </w:t>
      </w:r>
      <w:r>
        <w:rPr/>
        <w:t>a</w:t>
      </w:r>
      <w:r>
        <w:rPr>
          <w:spacing w:val="-13"/>
        </w:rPr>
        <w:t> </w:t>
      </w:r>
      <w:r>
        <w:rPr/>
        <w:t>la recurrencia si no se abordan y extirpan las causas de fondo. Simultáneamente, las afecciones de pioderma profunda exhiben una complejidad terapéutica acentuada, debido</w:t>
      </w:r>
      <w:r>
        <w:rPr>
          <w:spacing w:val="-7"/>
        </w:rPr>
        <w:t> </w:t>
      </w:r>
      <w:r>
        <w:rPr/>
        <w:t>a</w:t>
      </w:r>
      <w:r>
        <w:rPr>
          <w:spacing w:val="-5"/>
        </w:rPr>
        <w:t> </w:t>
      </w:r>
      <w:r>
        <w:rPr/>
        <w:t>que</w:t>
      </w:r>
      <w:r>
        <w:rPr>
          <w:spacing w:val="-9"/>
        </w:rPr>
        <w:t> </w:t>
      </w:r>
      <w:r>
        <w:rPr/>
        <w:t>los</w:t>
      </w:r>
      <w:r>
        <w:rPr>
          <w:spacing w:val="-8"/>
        </w:rPr>
        <w:t> </w:t>
      </w:r>
      <w:r>
        <w:rPr/>
        <w:t>agentes</w:t>
      </w:r>
      <w:r>
        <w:rPr>
          <w:spacing w:val="-8"/>
        </w:rPr>
        <w:t> </w:t>
      </w:r>
      <w:r>
        <w:rPr/>
        <w:t>bacterianos</w:t>
      </w:r>
      <w:r>
        <w:rPr>
          <w:spacing w:val="-8"/>
        </w:rPr>
        <w:t> </w:t>
      </w:r>
      <w:r>
        <w:rPr/>
        <w:t>pueden</w:t>
      </w:r>
      <w:r>
        <w:rPr>
          <w:spacing w:val="-7"/>
        </w:rPr>
        <w:t> </w:t>
      </w:r>
      <w:r>
        <w:rPr/>
        <w:t>constituir</w:t>
      </w:r>
      <w:r>
        <w:rPr>
          <w:spacing w:val="-6"/>
        </w:rPr>
        <w:t> </w:t>
      </w:r>
      <w:r>
        <w:rPr/>
        <w:t>biopelículas</w:t>
      </w:r>
      <w:r>
        <w:rPr>
          <w:spacing w:val="-8"/>
        </w:rPr>
        <w:t> </w:t>
      </w:r>
      <w:r>
        <w:rPr/>
        <w:t>protectoras</w:t>
      </w:r>
      <w:r>
        <w:rPr>
          <w:spacing w:val="-8"/>
        </w:rPr>
        <w:t> </w:t>
      </w:r>
      <w:r>
        <w:rPr/>
        <w:t>que sustraen</w:t>
      </w:r>
      <w:r>
        <w:rPr>
          <w:spacing w:val="-13"/>
        </w:rPr>
        <w:t> </w:t>
      </w:r>
      <w:r>
        <w:rPr/>
        <w:t>a</w:t>
      </w:r>
      <w:r>
        <w:rPr>
          <w:spacing w:val="-14"/>
        </w:rPr>
        <w:t> </w:t>
      </w:r>
      <w:r>
        <w:rPr/>
        <w:t>estos</w:t>
      </w:r>
      <w:r>
        <w:rPr>
          <w:spacing w:val="-13"/>
        </w:rPr>
        <w:t> </w:t>
      </w:r>
      <w:r>
        <w:rPr/>
        <w:t>microorganismos</w:t>
      </w:r>
      <w:r>
        <w:rPr>
          <w:spacing w:val="-13"/>
        </w:rPr>
        <w:t> </w:t>
      </w:r>
      <w:r>
        <w:rPr/>
        <w:t>del</w:t>
      </w:r>
      <w:r>
        <w:rPr>
          <w:spacing w:val="-14"/>
        </w:rPr>
        <w:t> </w:t>
      </w:r>
      <w:r>
        <w:rPr/>
        <w:t>efecto</w:t>
      </w:r>
      <w:r>
        <w:rPr>
          <w:spacing w:val="-11"/>
        </w:rPr>
        <w:t> </w:t>
      </w:r>
      <w:r>
        <w:rPr/>
        <w:t>de</w:t>
      </w:r>
      <w:r>
        <w:rPr>
          <w:spacing w:val="-10"/>
        </w:rPr>
        <w:t> </w:t>
      </w:r>
      <w:r>
        <w:rPr/>
        <w:t>los</w:t>
      </w:r>
      <w:r>
        <w:rPr>
          <w:spacing w:val="-15"/>
        </w:rPr>
        <w:t> </w:t>
      </w:r>
      <w:r>
        <w:rPr/>
        <w:t>agentes</w:t>
      </w:r>
      <w:r>
        <w:rPr>
          <w:spacing w:val="-13"/>
        </w:rPr>
        <w:t> </w:t>
      </w:r>
      <w:r>
        <w:rPr/>
        <w:t>antimicrobianos</w:t>
      </w:r>
      <w:r>
        <w:rPr>
          <w:spacing w:val="-13"/>
        </w:rPr>
        <w:t> </w:t>
      </w:r>
      <w:r>
        <w:rPr/>
        <w:t>(Vuong y colaboradores, 2020).</w:t>
      </w:r>
    </w:p>
    <w:p>
      <w:pPr>
        <w:pStyle w:val="BodyText"/>
        <w:spacing w:line="360" w:lineRule="auto" w:before="160"/>
        <w:ind w:left="994" w:right="716"/>
        <w:jc w:val="both"/>
      </w:pPr>
      <w:r>
        <w:rPr/>
        <w:t>La considerable incidencia y la ardua resolución clínica de las piodermas en la especie canina fundamentan la exploración de abordajes terapéuticos novedosos que</w:t>
      </w:r>
      <w:r>
        <w:rPr>
          <w:spacing w:val="-9"/>
        </w:rPr>
        <w:t> </w:t>
      </w:r>
      <w:r>
        <w:rPr/>
        <w:t>puedan</w:t>
      </w:r>
      <w:r>
        <w:rPr>
          <w:spacing w:val="-10"/>
        </w:rPr>
        <w:t> </w:t>
      </w:r>
      <w:r>
        <w:rPr/>
        <w:t>complementar</w:t>
      </w:r>
      <w:r>
        <w:rPr>
          <w:spacing w:val="-10"/>
        </w:rPr>
        <w:t> </w:t>
      </w:r>
      <w:r>
        <w:rPr/>
        <w:t>o</w:t>
      </w:r>
      <w:r>
        <w:rPr>
          <w:spacing w:val="-10"/>
        </w:rPr>
        <w:t> </w:t>
      </w:r>
      <w:r>
        <w:rPr/>
        <w:t>substituir</w:t>
      </w:r>
      <w:r>
        <w:rPr>
          <w:spacing w:val="-10"/>
        </w:rPr>
        <w:t> </w:t>
      </w:r>
      <w:r>
        <w:rPr/>
        <w:t>las</w:t>
      </w:r>
      <w:r>
        <w:rPr>
          <w:spacing w:val="-12"/>
        </w:rPr>
        <w:t> </w:t>
      </w:r>
      <w:r>
        <w:rPr/>
        <w:t>terapias</w:t>
      </w:r>
      <w:r>
        <w:rPr>
          <w:spacing w:val="-12"/>
        </w:rPr>
        <w:t> </w:t>
      </w:r>
      <w:r>
        <w:rPr/>
        <w:t>instauradas</w:t>
      </w:r>
      <w:r>
        <w:rPr>
          <w:spacing w:val="-12"/>
        </w:rPr>
        <w:t> </w:t>
      </w:r>
      <w:r>
        <w:rPr/>
        <w:t>cuando</w:t>
      </w:r>
      <w:r>
        <w:rPr>
          <w:spacing w:val="-10"/>
        </w:rPr>
        <w:t> </w:t>
      </w:r>
      <w:r>
        <w:rPr/>
        <w:t>estas</w:t>
      </w:r>
      <w:r>
        <w:rPr>
          <w:spacing w:val="-12"/>
        </w:rPr>
        <w:t> </w:t>
      </w:r>
      <w:r>
        <w:rPr/>
        <w:t>últimas resultan ineficaces.</w:t>
      </w:r>
    </w:p>
    <w:p>
      <w:pPr>
        <w:pStyle w:val="Heading4"/>
        <w:numPr>
          <w:ilvl w:val="1"/>
          <w:numId w:val="9"/>
        </w:numPr>
        <w:tabs>
          <w:tab w:pos="1426" w:val="left" w:leader="none"/>
        </w:tabs>
        <w:spacing w:line="240" w:lineRule="auto" w:before="236" w:after="0"/>
        <w:ind w:left="1426" w:right="0" w:hanging="432"/>
        <w:jc w:val="left"/>
      </w:pPr>
      <w:bookmarkStart w:name="_bookmark17" w:id="18"/>
      <w:bookmarkEnd w:id="18"/>
      <w:r>
        <w:rPr>
          <w:b w:val="0"/>
          <w:i w:val="0"/>
        </w:rPr>
      </w:r>
      <w:r>
        <w:rPr>
          <w:spacing w:val="-2"/>
        </w:rPr>
        <w:t>Staphylocuccus</w:t>
      </w:r>
      <w:r>
        <w:rPr>
          <w:spacing w:val="8"/>
        </w:rPr>
        <w:t> </w:t>
      </w:r>
      <w:r>
        <w:rPr>
          <w:spacing w:val="-2"/>
        </w:rPr>
        <w:t>Aureus</w:t>
      </w:r>
    </w:p>
    <w:p>
      <w:pPr>
        <w:pStyle w:val="BodyText"/>
        <w:spacing w:before="104"/>
        <w:rPr>
          <w:b/>
          <w:i/>
        </w:rPr>
      </w:pPr>
    </w:p>
    <w:p>
      <w:pPr>
        <w:pStyle w:val="BodyText"/>
        <w:spacing w:line="360" w:lineRule="auto"/>
        <w:ind w:left="994" w:right="694"/>
        <w:jc w:val="both"/>
      </w:pPr>
      <w:r>
        <w:rPr>
          <w:i/>
        </w:rPr>
        <w:t>Staphylococcus aureus </w:t>
      </w:r>
      <w:r>
        <w:rPr/>
        <w:t>es un coco Gram positivo oportunista, que forma parte del </w:t>
      </w:r>
      <w:r>
        <w:rPr>
          <w:spacing w:val="-2"/>
        </w:rPr>
        <w:t>microbiota</w:t>
      </w:r>
      <w:r>
        <w:rPr>
          <w:spacing w:val="-5"/>
        </w:rPr>
        <w:t> </w:t>
      </w:r>
      <w:r>
        <w:rPr>
          <w:spacing w:val="-2"/>
        </w:rPr>
        <w:t>normal</w:t>
      </w:r>
      <w:r>
        <w:rPr>
          <w:spacing w:val="-4"/>
        </w:rPr>
        <w:t> </w:t>
      </w:r>
      <w:r>
        <w:rPr>
          <w:spacing w:val="-2"/>
        </w:rPr>
        <w:t>de</w:t>
      </w:r>
      <w:r>
        <w:rPr>
          <w:spacing w:val="-4"/>
        </w:rPr>
        <w:t> </w:t>
      </w:r>
      <w:r>
        <w:rPr>
          <w:spacing w:val="-2"/>
        </w:rPr>
        <w:t>la</w:t>
      </w:r>
      <w:r>
        <w:rPr>
          <w:spacing w:val="-8"/>
        </w:rPr>
        <w:t> </w:t>
      </w:r>
      <w:r>
        <w:rPr>
          <w:spacing w:val="-2"/>
        </w:rPr>
        <w:t>piel</w:t>
      </w:r>
      <w:r>
        <w:rPr>
          <w:spacing w:val="-7"/>
        </w:rPr>
        <w:t> </w:t>
      </w:r>
      <w:r>
        <w:rPr>
          <w:spacing w:val="-2"/>
        </w:rPr>
        <w:t>y</w:t>
      </w:r>
      <w:r>
        <w:rPr>
          <w:spacing w:val="-9"/>
        </w:rPr>
        <w:t> </w:t>
      </w:r>
      <w:r>
        <w:rPr>
          <w:spacing w:val="-2"/>
        </w:rPr>
        <w:t>mucosas</w:t>
      </w:r>
      <w:r>
        <w:rPr>
          <w:spacing w:val="-13"/>
        </w:rPr>
        <w:t> </w:t>
      </w:r>
      <w:r>
        <w:rPr>
          <w:spacing w:val="-2"/>
        </w:rPr>
        <w:t>de</w:t>
      </w:r>
      <w:r>
        <w:rPr>
          <w:spacing w:val="-4"/>
        </w:rPr>
        <w:t> </w:t>
      </w:r>
      <w:r>
        <w:rPr>
          <w:spacing w:val="-2"/>
        </w:rPr>
        <w:t>humanos</w:t>
      </w:r>
      <w:r>
        <w:rPr>
          <w:spacing w:val="-10"/>
        </w:rPr>
        <w:t> </w:t>
      </w:r>
      <w:r>
        <w:rPr>
          <w:spacing w:val="-2"/>
        </w:rPr>
        <w:t>y</w:t>
      </w:r>
      <w:r>
        <w:rPr>
          <w:spacing w:val="-13"/>
        </w:rPr>
        <w:t> </w:t>
      </w:r>
      <w:r>
        <w:rPr>
          <w:spacing w:val="-2"/>
        </w:rPr>
        <w:t>animales</w:t>
      </w:r>
      <w:r>
        <w:rPr>
          <w:spacing w:val="-10"/>
        </w:rPr>
        <w:t> </w:t>
      </w:r>
      <w:r>
        <w:rPr>
          <w:spacing w:val="-2"/>
        </w:rPr>
        <w:t>(Vuong</w:t>
      </w:r>
      <w:r>
        <w:rPr>
          <w:spacing w:val="-13"/>
        </w:rPr>
        <w:t> </w:t>
      </w:r>
      <w:r>
        <w:rPr>
          <w:spacing w:val="-2"/>
        </w:rPr>
        <w:t>et</w:t>
      </w:r>
      <w:r>
        <w:rPr>
          <w:spacing w:val="-8"/>
        </w:rPr>
        <w:t> </w:t>
      </w:r>
      <w:r>
        <w:rPr>
          <w:spacing w:val="-2"/>
        </w:rPr>
        <w:t>al.,</w:t>
      </w:r>
      <w:r>
        <w:rPr>
          <w:spacing w:val="-9"/>
        </w:rPr>
        <w:t> </w:t>
      </w:r>
      <w:r>
        <w:rPr>
          <w:spacing w:val="-2"/>
        </w:rPr>
        <w:t>2020). </w:t>
      </w:r>
      <w:r>
        <w:rPr/>
        <w:t>En escenarios propicios, puede mutar a un agente patógeno, desencadenando afecciones de diversa índole; desde afecciones cutáneas superficiales hasta afecciones generalizadas de pronóstico sombrío y, a veces, fatal (Andrade et al., </w:t>
      </w:r>
      <w:r>
        <w:rPr>
          <w:spacing w:val="-2"/>
        </w:rPr>
        <w:t>2022).</w:t>
      </w:r>
    </w:p>
    <w:p>
      <w:pPr>
        <w:pStyle w:val="BodyText"/>
        <w:spacing w:line="360" w:lineRule="auto" w:before="165"/>
        <w:ind w:left="994" w:right="698"/>
        <w:jc w:val="both"/>
      </w:pPr>
      <w:r>
        <w:rPr/>
        <w:t>Su notable plasticidad evolutiva ha posibilitado la forja de escudos protectores </w:t>
      </w:r>
      <w:r>
        <w:rPr>
          <w:spacing w:val="-2"/>
        </w:rPr>
        <w:t>contra un espectro diverso de agentes</w:t>
      </w:r>
      <w:r>
        <w:rPr>
          <w:spacing w:val="-3"/>
        </w:rPr>
        <w:t> </w:t>
      </w:r>
      <w:r>
        <w:rPr>
          <w:spacing w:val="-2"/>
        </w:rPr>
        <w:t>terapéuticos</w:t>
      </w:r>
      <w:r>
        <w:rPr>
          <w:spacing w:val="-3"/>
        </w:rPr>
        <w:t> </w:t>
      </w:r>
      <w:r>
        <w:rPr>
          <w:spacing w:val="-2"/>
        </w:rPr>
        <w:t>antimicrobianos. Particularmente </w:t>
      </w:r>
      <w:r>
        <w:rPr/>
        <w:t>digno de mención es el linaje MRSA; este porta la proteína PBP2a, producto del gen mecA, lo que le confiere una coraza</w:t>
      </w:r>
      <w:r>
        <w:rPr>
          <w:spacing w:val="-2"/>
        </w:rPr>
        <w:t> </w:t>
      </w:r>
      <w:r>
        <w:rPr/>
        <w:t>inmunológica contra la meticilina y otros fármacos</w:t>
      </w:r>
      <w:r>
        <w:rPr>
          <w:spacing w:val="-15"/>
        </w:rPr>
        <w:t> </w:t>
      </w:r>
      <w:r>
        <w:rPr/>
        <w:t>beta-lactámicos</w:t>
      </w:r>
      <w:r>
        <w:rPr>
          <w:spacing w:val="-15"/>
        </w:rPr>
        <w:t> </w:t>
      </w:r>
      <w:r>
        <w:rPr/>
        <w:t>(WHO,</w:t>
      </w:r>
      <w:r>
        <w:rPr>
          <w:spacing w:val="-14"/>
        </w:rPr>
        <w:t> </w:t>
      </w:r>
      <w:r>
        <w:rPr/>
        <w:t>2021).</w:t>
      </w:r>
      <w:r>
        <w:rPr>
          <w:spacing w:val="-13"/>
        </w:rPr>
        <w:t> </w:t>
      </w:r>
      <w:r>
        <w:rPr/>
        <w:t>Además,</w:t>
      </w:r>
      <w:r>
        <w:rPr>
          <w:spacing w:val="-13"/>
        </w:rPr>
        <w:t> </w:t>
      </w:r>
      <w:r>
        <w:rPr/>
        <w:t>MRSA</w:t>
      </w:r>
      <w:r>
        <w:rPr>
          <w:spacing w:val="-15"/>
        </w:rPr>
        <w:t> </w:t>
      </w:r>
      <w:r>
        <w:rPr/>
        <w:t>se</w:t>
      </w:r>
      <w:r>
        <w:rPr>
          <w:spacing w:val="-13"/>
        </w:rPr>
        <w:t> </w:t>
      </w:r>
      <w:r>
        <w:rPr/>
        <w:t>considera</w:t>
      </w:r>
      <w:r>
        <w:rPr>
          <w:spacing w:val="-13"/>
        </w:rPr>
        <w:t> </w:t>
      </w:r>
      <w:r>
        <w:rPr/>
        <w:t>un</w:t>
      </w:r>
      <w:r>
        <w:rPr>
          <w:spacing w:val="-15"/>
        </w:rPr>
        <w:t> </w:t>
      </w:r>
      <w:r>
        <w:rPr/>
        <w:t>patógeno zoonótico porque puede pasar de animales a humanos y también en sentido contrario, lo que complica su manejo clínico (Loeffler &amp; Lloyd, 2022).</w:t>
      </w:r>
    </w:p>
    <w:p>
      <w:pPr>
        <w:pStyle w:val="Heading3"/>
        <w:numPr>
          <w:ilvl w:val="2"/>
          <w:numId w:val="9"/>
        </w:numPr>
        <w:tabs>
          <w:tab w:pos="1702" w:val="left" w:leader="none"/>
        </w:tabs>
        <w:spacing w:line="240" w:lineRule="auto" w:before="239" w:after="0"/>
        <w:ind w:left="1702" w:right="0" w:hanging="708"/>
        <w:jc w:val="left"/>
      </w:pPr>
      <w:bookmarkStart w:name="_bookmark18" w:id="19"/>
      <w:bookmarkEnd w:id="19"/>
      <w:r>
        <w:rPr>
          <w:b w:val="0"/>
        </w:rPr>
      </w:r>
      <w:r>
        <w:rPr/>
        <w:t>Resistencia</w:t>
      </w:r>
      <w:r>
        <w:rPr>
          <w:spacing w:val="-5"/>
        </w:rPr>
        <w:t> </w:t>
      </w:r>
      <w:r>
        <w:rPr>
          <w:spacing w:val="-2"/>
        </w:rPr>
        <w:t>bacteriana</w:t>
      </w:r>
    </w:p>
    <w:p>
      <w:pPr>
        <w:pStyle w:val="BodyText"/>
        <w:spacing w:before="100"/>
        <w:rPr>
          <w:b/>
        </w:rPr>
      </w:pPr>
    </w:p>
    <w:p>
      <w:pPr>
        <w:pStyle w:val="BodyText"/>
        <w:ind w:left="994"/>
        <w:jc w:val="both"/>
      </w:pPr>
      <w:r>
        <w:rPr/>
        <w:t>La</w:t>
      </w:r>
      <w:r>
        <w:rPr>
          <w:spacing w:val="5"/>
        </w:rPr>
        <w:t> </w:t>
      </w:r>
      <w:r>
        <w:rPr/>
        <w:t>resistencia</w:t>
      </w:r>
      <w:r>
        <w:rPr>
          <w:spacing w:val="5"/>
        </w:rPr>
        <w:t> </w:t>
      </w:r>
      <w:r>
        <w:rPr/>
        <w:t>bacteriana</w:t>
      </w:r>
      <w:r>
        <w:rPr>
          <w:spacing w:val="5"/>
        </w:rPr>
        <w:t> </w:t>
      </w:r>
      <w:r>
        <w:rPr/>
        <w:t>es</w:t>
      </w:r>
      <w:r>
        <w:rPr>
          <w:spacing w:val="3"/>
        </w:rPr>
        <w:t> </w:t>
      </w:r>
      <w:r>
        <w:rPr/>
        <w:t>la</w:t>
      </w:r>
      <w:r>
        <w:rPr>
          <w:spacing w:val="5"/>
        </w:rPr>
        <w:t> </w:t>
      </w:r>
      <w:r>
        <w:rPr/>
        <w:t>capacidad que</w:t>
      </w:r>
      <w:r>
        <w:rPr>
          <w:spacing w:val="5"/>
        </w:rPr>
        <w:t> </w:t>
      </w:r>
      <w:r>
        <w:rPr/>
        <w:t>tienen</w:t>
      </w:r>
      <w:r>
        <w:rPr>
          <w:spacing w:val="4"/>
        </w:rPr>
        <w:t> </w:t>
      </w:r>
      <w:r>
        <w:rPr/>
        <w:t>las</w:t>
      </w:r>
      <w:r>
        <w:rPr>
          <w:spacing w:val="2"/>
        </w:rPr>
        <w:t> </w:t>
      </w:r>
      <w:r>
        <w:rPr/>
        <w:t>bacterias</w:t>
      </w:r>
      <w:r>
        <w:rPr>
          <w:spacing w:val="2"/>
        </w:rPr>
        <w:t> </w:t>
      </w:r>
      <w:r>
        <w:rPr/>
        <w:t>para</w:t>
      </w:r>
      <w:r>
        <w:rPr>
          <w:spacing w:val="5"/>
        </w:rPr>
        <w:t> </w:t>
      </w:r>
      <w:r>
        <w:rPr/>
        <w:t>sobrevivir</w:t>
      </w:r>
      <w:r>
        <w:rPr>
          <w:spacing w:val="4"/>
        </w:rPr>
        <w:t> </w:t>
      </w:r>
      <w:r>
        <w:rPr>
          <w:spacing w:val="-10"/>
        </w:rPr>
        <w:t>y</w:t>
      </w:r>
    </w:p>
    <w:p>
      <w:pPr>
        <w:pStyle w:val="BodyText"/>
        <w:spacing w:after="0"/>
        <w:jc w:val="both"/>
        <w:sectPr>
          <w:pgSz w:w="11900" w:h="16840"/>
          <w:pgMar w:top="1580" w:bottom="280" w:left="1275" w:right="992"/>
        </w:sectPr>
      </w:pPr>
    </w:p>
    <w:p>
      <w:pPr>
        <w:pStyle w:val="BodyText"/>
        <w:spacing w:line="360" w:lineRule="auto" w:before="60"/>
        <w:ind w:left="994" w:right="704"/>
        <w:jc w:val="both"/>
      </w:pPr>
      <w:r>
        <w:rPr/>
        <w:t>multiplicarse aun cuando están expuestas a concentraciones terapéuticas de un antimicrobiano (WHO, 2021). Puede aparecer de forma natural, pero se acelera cuando los antibióticos se usan de manera incorrecta. En la esfera de la medicina veterinaria, la práctica de la administración terapéutica sin la validación previa de pruebas de sensibilidad a los antibióticos, ha actuado como un catalizador en la proliferación de cepas bacterianas que exhiben multirresistencia, tal es el caso de MRSA (Andrade et al., 2022).</w:t>
      </w:r>
    </w:p>
    <w:p>
      <w:pPr>
        <w:pStyle w:val="BodyText"/>
        <w:spacing w:line="360" w:lineRule="auto" w:before="163"/>
        <w:ind w:left="994" w:right="701"/>
        <w:jc w:val="both"/>
      </w:pPr>
      <w:r>
        <w:rPr/>
        <w:t>Dichas bacterias de resistencia elevada se encuentran, intrínsecamente, asociadas con una extensión en</w:t>
      </w:r>
      <w:r>
        <w:rPr>
          <w:spacing w:val="-2"/>
        </w:rPr>
        <w:t> </w:t>
      </w:r>
      <w:r>
        <w:rPr/>
        <w:t>la cronología de las afecciones infecciosas, un agravamiento de la probabilidad de que surjan secuelas complicadas, y una elevación general de los desembolsos financieros ligados a la gestión terapéutica. Wassmann et al. (2020),</w:t>
      </w:r>
      <w:r>
        <w:rPr>
          <w:spacing w:val="-15"/>
        </w:rPr>
        <w:t> </w:t>
      </w:r>
      <w:r>
        <w:rPr/>
        <w:t>emphaticamente</w:t>
      </w:r>
      <w:r>
        <w:rPr>
          <w:spacing w:val="-15"/>
        </w:rPr>
        <w:t> </w:t>
      </w:r>
      <w:r>
        <w:rPr/>
        <w:t>destacan</w:t>
      </w:r>
      <w:r>
        <w:rPr>
          <w:spacing w:val="-15"/>
        </w:rPr>
        <w:t> </w:t>
      </w:r>
      <w:r>
        <w:rPr/>
        <w:t>la</w:t>
      </w:r>
      <w:r>
        <w:rPr>
          <w:spacing w:val="-15"/>
        </w:rPr>
        <w:t> </w:t>
      </w:r>
      <w:r>
        <w:rPr/>
        <w:t>formación</w:t>
      </w:r>
      <w:r>
        <w:rPr>
          <w:spacing w:val="-15"/>
        </w:rPr>
        <w:t> </w:t>
      </w:r>
      <w:r>
        <w:rPr/>
        <w:t>de</w:t>
      </w:r>
      <w:r>
        <w:rPr>
          <w:spacing w:val="-15"/>
        </w:rPr>
        <w:t> </w:t>
      </w:r>
      <w:r>
        <w:rPr/>
        <w:t>biopelículas</w:t>
      </w:r>
      <w:r>
        <w:rPr>
          <w:spacing w:val="-15"/>
        </w:rPr>
        <w:t> </w:t>
      </w:r>
      <w:r>
        <w:rPr/>
        <w:t>como</w:t>
      </w:r>
      <w:r>
        <w:rPr>
          <w:spacing w:val="-15"/>
        </w:rPr>
        <w:t> </w:t>
      </w:r>
      <w:r>
        <w:rPr/>
        <w:t>un</w:t>
      </w:r>
      <w:r>
        <w:rPr>
          <w:spacing w:val="-15"/>
        </w:rPr>
        <w:t> </w:t>
      </w:r>
      <w:r>
        <w:rPr/>
        <w:t>mecanismo defensivo bacteriano de vital importancia. Dicha arquitectura biofílmica, lejos de ser un mero epifenómeno, dificulta sobremanera la acción penetrante de los fármacos antimicrobianos y, en paralelo, erige una barrera protectora contra las defensas inmunes del organismo hospedador. En consecuencia, la exploración de enfoques terapéuticos alternativos, tales como el canabidiol (CBD), cuyos modos de</w:t>
      </w:r>
      <w:r>
        <w:rPr>
          <w:spacing w:val="-10"/>
        </w:rPr>
        <w:t> </w:t>
      </w:r>
      <w:r>
        <w:rPr/>
        <w:t>acción</w:t>
      </w:r>
      <w:r>
        <w:rPr>
          <w:spacing w:val="-11"/>
        </w:rPr>
        <w:t> </w:t>
      </w:r>
      <w:r>
        <w:rPr/>
        <w:t>difieren</w:t>
      </w:r>
      <w:r>
        <w:rPr>
          <w:spacing w:val="-11"/>
        </w:rPr>
        <w:t> </w:t>
      </w:r>
      <w:r>
        <w:rPr/>
        <w:t>intrínsecamente</w:t>
      </w:r>
      <w:r>
        <w:rPr>
          <w:spacing w:val="-10"/>
        </w:rPr>
        <w:t> </w:t>
      </w:r>
      <w:r>
        <w:rPr/>
        <w:t>de</w:t>
      </w:r>
      <w:r>
        <w:rPr>
          <w:spacing w:val="-10"/>
        </w:rPr>
        <w:t> </w:t>
      </w:r>
      <w:r>
        <w:rPr/>
        <w:t>los</w:t>
      </w:r>
      <w:r>
        <w:rPr>
          <w:spacing w:val="-13"/>
        </w:rPr>
        <w:t> </w:t>
      </w:r>
      <w:r>
        <w:rPr/>
        <w:t>fármacos</w:t>
      </w:r>
      <w:r>
        <w:rPr>
          <w:spacing w:val="-13"/>
        </w:rPr>
        <w:t> </w:t>
      </w:r>
      <w:r>
        <w:rPr/>
        <w:t>convencionales,</w:t>
      </w:r>
      <w:r>
        <w:rPr>
          <w:spacing w:val="-11"/>
        </w:rPr>
        <w:t> </w:t>
      </w:r>
      <w:r>
        <w:rPr/>
        <w:t>se</w:t>
      </w:r>
      <w:r>
        <w:rPr>
          <w:spacing w:val="-10"/>
        </w:rPr>
        <w:t> </w:t>
      </w:r>
      <w:r>
        <w:rPr/>
        <w:t>perfila</w:t>
      </w:r>
      <w:r>
        <w:rPr>
          <w:spacing w:val="-10"/>
        </w:rPr>
        <w:t> </w:t>
      </w:r>
      <w:r>
        <w:rPr/>
        <w:t>como una vía exploratoria sumamente prometedora y pertinentemente requerida.</w:t>
      </w:r>
    </w:p>
    <w:p>
      <w:pPr>
        <w:pStyle w:val="Heading3"/>
        <w:spacing w:before="162"/>
      </w:pPr>
      <w:bookmarkStart w:name="_bookmark19" w:id="20"/>
      <w:bookmarkEnd w:id="20"/>
      <w:r>
        <w:rPr>
          <w:b w:val="0"/>
        </w:rPr>
      </w:r>
      <w:r>
        <w:rPr>
          <w:spacing w:val="-4"/>
        </w:rPr>
        <w:t>Tabla</w:t>
      </w:r>
      <w:r>
        <w:rPr>
          <w:spacing w:val="-7"/>
        </w:rPr>
        <w:t> </w:t>
      </w:r>
      <w:r>
        <w:rPr>
          <w:spacing w:val="-12"/>
        </w:rPr>
        <w:t>2</w:t>
      </w:r>
    </w:p>
    <w:p>
      <w:pPr>
        <w:pStyle w:val="BodyText"/>
        <w:rPr>
          <w:b/>
        </w:rPr>
      </w:pPr>
    </w:p>
    <w:p>
      <w:pPr>
        <w:spacing w:before="0"/>
        <w:ind w:left="994" w:right="0" w:firstLine="0"/>
        <w:jc w:val="both"/>
        <w:rPr>
          <w:i/>
          <w:sz w:val="24"/>
        </w:rPr>
      </w:pPr>
      <w:r>
        <w:rPr>
          <w:i/>
          <w:sz w:val="24"/>
        </w:rPr>
        <w:t>Mecanismos</w:t>
      </w:r>
      <w:r>
        <w:rPr>
          <w:i/>
          <w:spacing w:val="-7"/>
          <w:sz w:val="24"/>
        </w:rPr>
        <w:t> </w:t>
      </w:r>
      <w:r>
        <w:rPr>
          <w:i/>
          <w:sz w:val="24"/>
        </w:rPr>
        <w:t>de Resistencia</w:t>
      </w:r>
      <w:r>
        <w:rPr>
          <w:i/>
          <w:spacing w:val="-5"/>
          <w:sz w:val="24"/>
        </w:rPr>
        <w:t> </w:t>
      </w:r>
      <w:r>
        <w:rPr>
          <w:i/>
          <w:sz w:val="24"/>
        </w:rPr>
        <w:t>del </w:t>
      </w:r>
      <w:r>
        <w:rPr>
          <w:i/>
          <w:spacing w:val="-4"/>
          <w:sz w:val="24"/>
        </w:rPr>
        <w:t>MRSA</w:t>
      </w:r>
    </w:p>
    <w:p>
      <w:pPr>
        <w:pStyle w:val="BodyText"/>
        <w:spacing w:before="20"/>
        <w:rPr>
          <w:i/>
          <w:sz w:val="20"/>
        </w:rPr>
      </w:pPr>
      <w:r>
        <w:rPr>
          <w:i/>
          <w:sz w:val="20"/>
        </w:rPr>
        <mc:AlternateContent>
          <mc:Choice Requires="wps">
            <w:drawing>
              <wp:anchor distT="0" distB="0" distL="0" distR="0" allowOverlap="1" layoutInCell="1" locked="0" behindDoc="1" simplePos="0" relativeHeight="487589888">
                <wp:simplePos x="0" y="0"/>
                <wp:positionH relativeFrom="page">
                  <wp:posOffset>1440815</wp:posOffset>
                </wp:positionH>
                <wp:positionV relativeFrom="paragraph">
                  <wp:posOffset>174585</wp:posOffset>
                </wp:positionV>
                <wp:extent cx="5038725" cy="508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038725" cy="5080"/>
                        </a:xfrm>
                        <a:custGeom>
                          <a:avLst/>
                          <a:gdLst/>
                          <a:ahLst/>
                          <a:cxnLst/>
                          <a:rect l="l" t="t" r="r" b="b"/>
                          <a:pathLst>
                            <a:path w="5038725" h="5080">
                              <a:moveTo>
                                <a:pt x="5038458" y="0"/>
                              </a:moveTo>
                              <a:lnTo>
                                <a:pt x="3363976" y="0"/>
                              </a:lnTo>
                              <a:lnTo>
                                <a:pt x="0" y="0"/>
                              </a:lnTo>
                              <a:lnTo>
                                <a:pt x="0" y="5080"/>
                              </a:lnTo>
                              <a:lnTo>
                                <a:pt x="3363976" y="5080"/>
                              </a:lnTo>
                              <a:lnTo>
                                <a:pt x="5038458" y="5080"/>
                              </a:lnTo>
                              <a:lnTo>
                                <a:pt x="5038458" y="0"/>
                              </a:lnTo>
                              <a:close/>
                            </a:path>
                          </a:pathLst>
                        </a:custGeom>
                        <a:solidFill>
                          <a:srgbClr val="7D7D7D"/>
                        </a:solidFill>
                      </wps:spPr>
                      <wps:bodyPr wrap="square" lIns="0" tIns="0" rIns="0" bIns="0" rtlCol="0">
                        <a:prstTxWarp prst="textNoShape">
                          <a:avLst/>
                        </a:prstTxWarp>
                        <a:noAutofit/>
                      </wps:bodyPr>
                    </wps:wsp>
                  </a:graphicData>
                </a:graphic>
              </wp:anchor>
            </w:drawing>
          </mc:Choice>
          <mc:Fallback>
            <w:pict>
              <v:shape style="position:absolute;margin-left:113.450005pt;margin-top:13.7469pt;width:396.75pt;height:.4pt;mso-position-horizontal-relative:page;mso-position-vertical-relative:paragraph;z-index:-15726592;mso-wrap-distance-left:0;mso-wrap-distance-right:0" id="docshape1" coordorigin="2269,275" coordsize="7935,8" path="m10204,275l7567,275,2269,275,2269,283,7567,283,10204,283,10204,275xe" filled="true" fillcolor="#7d7d7d" stroked="false">
                <v:path arrowok="t"/>
                <v:fill type="solid"/>
                <w10:wrap type="topAndBottom"/>
              </v:shape>
            </w:pict>
          </mc:Fallback>
        </mc:AlternateContent>
      </w:r>
    </w:p>
    <w:p>
      <w:pPr>
        <w:tabs>
          <w:tab w:pos="6395" w:val="left" w:leader="none"/>
        </w:tabs>
        <w:spacing w:before="2"/>
        <w:ind w:left="1101" w:right="0" w:firstLine="0"/>
        <w:jc w:val="both"/>
        <w:rPr>
          <w:b/>
          <w:sz w:val="20"/>
        </w:rPr>
      </w:pPr>
      <w:r>
        <w:rPr>
          <w:b/>
          <w:sz w:val="20"/>
        </w:rPr>
        <w:t>Mecanismo de resistencia</w:t>
      </w:r>
      <w:r>
        <w:rPr>
          <w:b/>
          <w:spacing w:val="74"/>
          <w:w w:val="150"/>
          <w:sz w:val="20"/>
        </w:rPr>
        <w:t>   </w:t>
      </w:r>
      <w:r>
        <w:rPr>
          <w:b/>
          <w:sz w:val="20"/>
        </w:rPr>
        <w:t>Gen</w:t>
      </w:r>
      <w:r>
        <w:rPr>
          <w:b/>
          <w:spacing w:val="3"/>
          <w:sz w:val="20"/>
        </w:rPr>
        <w:t> </w:t>
      </w:r>
      <w:r>
        <w:rPr>
          <w:b/>
          <w:spacing w:val="-2"/>
          <w:sz w:val="20"/>
        </w:rPr>
        <w:t>asociado</w:t>
      </w:r>
      <w:r>
        <w:rPr>
          <w:b/>
          <w:sz w:val="20"/>
        </w:rPr>
        <w:tab/>
      </w:r>
      <w:r>
        <w:rPr>
          <w:b/>
          <w:spacing w:val="-2"/>
          <w:sz w:val="20"/>
        </w:rPr>
        <w:t>Consecuencia</w:t>
      </w:r>
      <w:r>
        <w:rPr>
          <w:b/>
          <w:spacing w:val="8"/>
          <w:sz w:val="20"/>
        </w:rPr>
        <w:t> </w:t>
      </w:r>
      <w:r>
        <w:rPr>
          <w:b/>
          <w:spacing w:val="-2"/>
          <w:sz w:val="20"/>
        </w:rPr>
        <w:t>terapéutica</w:t>
      </w:r>
    </w:p>
    <w:p>
      <w:pPr>
        <w:pStyle w:val="BodyText"/>
        <w:rPr>
          <w:b/>
          <w:sz w:val="20"/>
        </w:rPr>
      </w:pPr>
    </w:p>
    <w:p>
      <w:pPr>
        <w:pStyle w:val="BodyText"/>
        <w:spacing w:before="148"/>
        <w:rPr>
          <w:b/>
          <w:sz w:val="20"/>
        </w:rPr>
      </w:pPr>
      <w:r>
        <w:rPr>
          <w:b/>
          <w:sz w:val="20"/>
        </w:rPr>
        <mc:AlternateContent>
          <mc:Choice Requires="wps">
            <w:drawing>
              <wp:anchor distT="0" distB="0" distL="0" distR="0" allowOverlap="1" layoutInCell="1" locked="0" behindDoc="1" simplePos="0" relativeHeight="487590400">
                <wp:simplePos x="0" y="0"/>
                <wp:positionH relativeFrom="page">
                  <wp:posOffset>1440815</wp:posOffset>
                </wp:positionH>
                <wp:positionV relativeFrom="paragraph">
                  <wp:posOffset>255294</wp:posOffset>
                </wp:positionV>
                <wp:extent cx="5038725" cy="508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038725" cy="5080"/>
                        </a:xfrm>
                        <a:custGeom>
                          <a:avLst/>
                          <a:gdLst/>
                          <a:ahLst/>
                          <a:cxnLst/>
                          <a:rect l="l" t="t" r="r" b="b"/>
                          <a:pathLst>
                            <a:path w="5038725" h="5080">
                              <a:moveTo>
                                <a:pt x="5038458" y="25"/>
                              </a:moveTo>
                              <a:lnTo>
                                <a:pt x="3363976" y="25"/>
                              </a:lnTo>
                              <a:lnTo>
                                <a:pt x="0" y="0"/>
                              </a:lnTo>
                              <a:lnTo>
                                <a:pt x="0" y="5080"/>
                              </a:lnTo>
                              <a:lnTo>
                                <a:pt x="3363976" y="5080"/>
                              </a:lnTo>
                              <a:lnTo>
                                <a:pt x="5038458" y="5080"/>
                              </a:lnTo>
                              <a:lnTo>
                                <a:pt x="5038458" y="25"/>
                              </a:lnTo>
                              <a:close/>
                            </a:path>
                          </a:pathLst>
                        </a:custGeom>
                        <a:solidFill>
                          <a:srgbClr val="7D7D7D"/>
                        </a:solidFill>
                      </wps:spPr>
                      <wps:bodyPr wrap="square" lIns="0" tIns="0" rIns="0" bIns="0" rtlCol="0">
                        <a:prstTxWarp prst="textNoShape">
                          <a:avLst/>
                        </a:prstTxWarp>
                        <a:noAutofit/>
                      </wps:bodyPr>
                    </wps:wsp>
                  </a:graphicData>
                </a:graphic>
              </wp:anchor>
            </w:drawing>
          </mc:Choice>
          <mc:Fallback>
            <w:pict>
              <v:shape style="position:absolute;margin-left:113.450005pt;margin-top:20.101942pt;width:396.75pt;height:.4pt;mso-position-horizontal-relative:page;mso-position-vertical-relative:paragraph;z-index:-15726080;mso-wrap-distance-left:0;mso-wrap-distance-right:0" id="docshape2" coordorigin="2269,402" coordsize="7935,8" path="m10204,402l7567,402,2269,402,2269,410,7567,410,10204,410,10204,402xe" filled="true" fillcolor="#7d7d7d" stroked="false">
                <v:path arrowok="t"/>
                <v:fill type="solid"/>
                <w10:wrap type="topAndBottom"/>
              </v:shape>
            </w:pict>
          </mc:Fallback>
        </mc:AlternateContent>
      </w:r>
    </w:p>
    <w:p>
      <w:pPr>
        <w:tabs>
          <w:tab w:pos="3746" w:val="left" w:leader="none"/>
          <w:tab w:pos="6395" w:val="left" w:leader="none"/>
          <w:tab w:pos="7063" w:val="left" w:leader="none"/>
          <w:tab w:pos="8028" w:val="left" w:leader="none"/>
          <w:tab w:pos="8424" w:val="left" w:leader="none"/>
        </w:tabs>
        <w:spacing w:before="6"/>
        <w:ind w:left="6395" w:right="817" w:hanging="5294"/>
        <w:jc w:val="left"/>
        <w:rPr>
          <w:sz w:val="20"/>
        </w:rPr>
      </w:pPr>
      <w:r>
        <w:rPr>
          <w:sz w:val="20"/>
        </w:rPr>
        <w:t>Producción de PBP2a</w:t>
        <w:tab/>
      </w:r>
      <w:r>
        <w:rPr>
          <w:spacing w:val="-4"/>
          <w:sz w:val="20"/>
        </w:rPr>
        <w:t>mecA</w:t>
      </w:r>
      <w:r>
        <w:rPr>
          <w:sz w:val="20"/>
        </w:rPr>
        <w:tab/>
      </w:r>
      <w:r>
        <w:rPr>
          <w:spacing w:val="-4"/>
          <w:sz w:val="20"/>
        </w:rPr>
        <w:t>Baja</w:t>
      </w:r>
      <w:r>
        <w:rPr>
          <w:sz w:val="20"/>
        </w:rPr>
        <w:tab/>
      </w:r>
      <w:r>
        <w:rPr>
          <w:spacing w:val="-2"/>
          <w:sz w:val="20"/>
        </w:rPr>
        <w:t>afinidad</w:t>
      </w:r>
      <w:r>
        <w:rPr>
          <w:sz w:val="20"/>
        </w:rPr>
        <w:tab/>
      </w:r>
      <w:r>
        <w:rPr>
          <w:spacing w:val="-10"/>
          <w:sz w:val="20"/>
        </w:rPr>
        <w:t>a</w:t>
      </w:r>
      <w:r>
        <w:rPr>
          <w:sz w:val="20"/>
        </w:rPr>
        <w:tab/>
      </w:r>
      <w:r>
        <w:rPr>
          <w:spacing w:val="-4"/>
          <w:sz w:val="20"/>
        </w:rPr>
        <w:t>beta- </w:t>
      </w:r>
      <w:r>
        <w:rPr>
          <w:spacing w:val="-2"/>
          <w:sz w:val="20"/>
        </w:rPr>
        <w:t>lactámicos</w:t>
      </w:r>
    </w:p>
    <w:p>
      <w:pPr>
        <w:pStyle w:val="BodyText"/>
        <w:spacing w:before="7"/>
        <w:rPr>
          <w:sz w:val="11"/>
        </w:rPr>
      </w:pPr>
      <w:r>
        <w:rPr>
          <w:sz w:val="11"/>
        </w:rPr>
        <mc:AlternateContent>
          <mc:Choice Requires="wps">
            <w:drawing>
              <wp:anchor distT="0" distB="0" distL="0" distR="0" allowOverlap="1" layoutInCell="1" locked="0" behindDoc="1" simplePos="0" relativeHeight="487590912">
                <wp:simplePos x="0" y="0"/>
                <wp:positionH relativeFrom="page">
                  <wp:posOffset>1440815</wp:posOffset>
                </wp:positionH>
                <wp:positionV relativeFrom="paragraph">
                  <wp:posOffset>100354</wp:posOffset>
                </wp:positionV>
                <wp:extent cx="5038725" cy="508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038725" cy="5080"/>
                        </a:xfrm>
                        <a:custGeom>
                          <a:avLst/>
                          <a:gdLst/>
                          <a:ahLst/>
                          <a:cxnLst/>
                          <a:rect l="l" t="t" r="r" b="b"/>
                          <a:pathLst>
                            <a:path w="5038725" h="5080">
                              <a:moveTo>
                                <a:pt x="5038458" y="25"/>
                              </a:moveTo>
                              <a:lnTo>
                                <a:pt x="3363976" y="25"/>
                              </a:lnTo>
                              <a:lnTo>
                                <a:pt x="0" y="0"/>
                              </a:lnTo>
                              <a:lnTo>
                                <a:pt x="0" y="5080"/>
                              </a:lnTo>
                              <a:lnTo>
                                <a:pt x="3363976" y="5080"/>
                              </a:lnTo>
                              <a:lnTo>
                                <a:pt x="5038458" y="5080"/>
                              </a:lnTo>
                              <a:lnTo>
                                <a:pt x="5038458" y="25"/>
                              </a:lnTo>
                              <a:close/>
                            </a:path>
                          </a:pathLst>
                        </a:custGeom>
                        <a:solidFill>
                          <a:srgbClr val="7D7D7D"/>
                        </a:solidFill>
                      </wps:spPr>
                      <wps:bodyPr wrap="square" lIns="0" tIns="0" rIns="0" bIns="0" rtlCol="0">
                        <a:prstTxWarp prst="textNoShape">
                          <a:avLst/>
                        </a:prstTxWarp>
                        <a:noAutofit/>
                      </wps:bodyPr>
                    </wps:wsp>
                  </a:graphicData>
                </a:graphic>
              </wp:anchor>
            </w:drawing>
          </mc:Choice>
          <mc:Fallback>
            <w:pict>
              <v:shape style="position:absolute;margin-left:113.450005pt;margin-top:7.901943pt;width:396.75pt;height:.4pt;mso-position-horizontal-relative:page;mso-position-vertical-relative:paragraph;z-index:-15725568;mso-wrap-distance-left:0;mso-wrap-distance-right:0" id="docshape3" coordorigin="2269,158" coordsize="7935,8" path="m10204,158l7567,158,2269,158,2269,166,7567,166,10204,166,10204,158xe" filled="true" fillcolor="#7d7d7d" stroked="false">
                <v:path arrowok="t"/>
                <v:fill type="solid"/>
                <w10:wrap type="topAndBottom"/>
              </v:shape>
            </w:pict>
          </mc:Fallback>
        </mc:AlternateContent>
      </w:r>
    </w:p>
    <w:p>
      <w:pPr>
        <w:tabs>
          <w:tab w:pos="3746" w:val="left" w:leader="none"/>
          <w:tab w:pos="6395" w:val="left" w:leader="none"/>
        </w:tabs>
        <w:spacing w:before="3"/>
        <w:ind w:left="1101" w:right="0" w:firstLine="0"/>
        <w:jc w:val="both"/>
        <w:rPr>
          <w:sz w:val="20"/>
        </w:rPr>
      </w:pPr>
      <w:r>
        <w:rPr>
          <w:sz w:val="20"/>
        </w:rPr>
        <w:t>Formación</w:t>
      </w:r>
      <w:r>
        <w:rPr>
          <w:spacing w:val="1"/>
          <w:sz w:val="20"/>
        </w:rPr>
        <w:t> </w:t>
      </w:r>
      <w:r>
        <w:rPr>
          <w:sz w:val="20"/>
        </w:rPr>
        <w:t>de</w:t>
      </w:r>
      <w:r>
        <w:rPr>
          <w:spacing w:val="1"/>
          <w:sz w:val="20"/>
        </w:rPr>
        <w:t> </w:t>
      </w:r>
      <w:r>
        <w:rPr>
          <w:spacing w:val="-2"/>
          <w:sz w:val="20"/>
        </w:rPr>
        <w:t>biopelículas</w:t>
      </w:r>
      <w:r>
        <w:rPr>
          <w:sz w:val="20"/>
        </w:rPr>
        <w:tab/>
        <w:t>Diversos</w:t>
      </w:r>
      <w:r>
        <w:rPr>
          <w:spacing w:val="-7"/>
          <w:sz w:val="20"/>
        </w:rPr>
        <w:t> </w:t>
      </w:r>
      <w:r>
        <w:rPr>
          <w:spacing w:val="-4"/>
          <w:sz w:val="20"/>
        </w:rPr>
        <w:t>genes</w:t>
      </w:r>
      <w:r>
        <w:rPr>
          <w:sz w:val="20"/>
        </w:rPr>
        <w:tab/>
        <w:t>Protección</w:t>
      </w:r>
      <w:r>
        <w:rPr>
          <w:spacing w:val="-8"/>
          <w:sz w:val="20"/>
        </w:rPr>
        <w:t> </w:t>
      </w:r>
      <w:r>
        <w:rPr>
          <w:sz w:val="20"/>
        </w:rPr>
        <w:t>bacteriana</w:t>
      </w:r>
      <w:r>
        <w:rPr>
          <w:spacing w:val="-4"/>
          <w:sz w:val="20"/>
        </w:rPr>
        <w:t> </w:t>
      </w:r>
      <w:r>
        <w:rPr>
          <w:sz w:val="20"/>
        </w:rPr>
        <w:t>frente</w:t>
      </w:r>
      <w:r>
        <w:rPr>
          <w:spacing w:val="-3"/>
          <w:sz w:val="20"/>
        </w:rPr>
        <w:t> </w:t>
      </w:r>
      <w:r>
        <w:rPr>
          <w:spacing w:val="-5"/>
          <w:sz w:val="20"/>
        </w:rPr>
        <w:t>al</w:t>
      </w:r>
    </w:p>
    <w:p>
      <w:pPr>
        <w:spacing w:before="2"/>
        <w:ind w:left="6395" w:right="0" w:firstLine="0"/>
        <w:jc w:val="left"/>
        <w:rPr>
          <w:sz w:val="20"/>
        </w:rPr>
      </w:pPr>
      <w:r>
        <w:rPr>
          <w:sz w:val="20"/>
        </w:rPr>
        <w:t>sistema</w:t>
      </w:r>
      <w:r>
        <w:rPr>
          <w:spacing w:val="-1"/>
          <w:sz w:val="20"/>
        </w:rPr>
        <w:t> </w:t>
      </w:r>
      <w:r>
        <w:rPr>
          <w:sz w:val="20"/>
        </w:rPr>
        <w:t>inmune</w:t>
      </w:r>
      <w:r>
        <w:rPr>
          <w:spacing w:val="-1"/>
          <w:sz w:val="20"/>
        </w:rPr>
        <w:t> </w:t>
      </w:r>
      <w:r>
        <w:rPr>
          <w:sz w:val="20"/>
        </w:rPr>
        <w:t>y</w:t>
      </w:r>
      <w:r>
        <w:rPr>
          <w:spacing w:val="1"/>
          <w:sz w:val="20"/>
        </w:rPr>
        <w:t> </w:t>
      </w:r>
      <w:r>
        <w:rPr>
          <w:spacing w:val="-2"/>
          <w:sz w:val="20"/>
        </w:rPr>
        <w:t>fármacos</w:t>
      </w:r>
    </w:p>
    <w:p>
      <w:pPr>
        <w:pStyle w:val="BodyText"/>
        <w:spacing w:before="198" w:after="1"/>
        <w:rPr>
          <w:sz w:val="20"/>
        </w:rPr>
      </w:pPr>
    </w:p>
    <w:tbl>
      <w:tblPr>
        <w:tblW w:w="0" w:type="auto"/>
        <w:jc w:val="left"/>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36"/>
        <w:gridCol w:w="2424"/>
        <w:gridCol w:w="1952"/>
        <w:gridCol w:w="897"/>
        <w:gridCol w:w="533"/>
      </w:tblGrid>
      <w:tr>
        <w:trPr>
          <w:trHeight w:val="618" w:hRule="atLeast"/>
        </w:trPr>
        <w:tc>
          <w:tcPr>
            <w:tcW w:w="2136" w:type="dxa"/>
            <w:tcBorders>
              <w:top w:val="single" w:sz="4" w:space="0" w:color="7D7D7D"/>
              <w:bottom w:val="single" w:sz="4" w:space="0" w:color="7D7D7D"/>
            </w:tcBorders>
          </w:tcPr>
          <w:p>
            <w:pPr>
              <w:pStyle w:val="TableParagraph"/>
              <w:ind w:left="118"/>
              <w:rPr>
                <w:sz w:val="20"/>
              </w:rPr>
            </w:pPr>
            <w:r>
              <w:rPr>
                <w:sz w:val="20"/>
              </w:rPr>
              <w:t>Bombas</w:t>
            </w:r>
            <w:r>
              <w:rPr>
                <w:spacing w:val="-10"/>
                <w:sz w:val="20"/>
              </w:rPr>
              <w:t> </w:t>
            </w:r>
            <w:r>
              <w:rPr>
                <w:sz w:val="20"/>
              </w:rPr>
              <w:t>de</w:t>
            </w:r>
            <w:r>
              <w:rPr>
                <w:spacing w:val="-6"/>
                <w:sz w:val="20"/>
              </w:rPr>
              <w:t> </w:t>
            </w:r>
            <w:r>
              <w:rPr>
                <w:spacing w:val="-2"/>
                <w:sz w:val="20"/>
              </w:rPr>
              <w:t>eflujo</w:t>
            </w:r>
          </w:p>
        </w:tc>
        <w:tc>
          <w:tcPr>
            <w:tcW w:w="2424" w:type="dxa"/>
            <w:tcBorders>
              <w:top w:val="single" w:sz="4" w:space="0" w:color="7D7D7D"/>
              <w:bottom w:val="single" w:sz="4" w:space="0" w:color="7D7D7D"/>
            </w:tcBorders>
          </w:tcPr>
          <w:p>
            <w:pPr>
              <w:pStyle w:val="TableParagraph"/>
              <w:ind w:left="627"/>
              <w:rPr>
                <w:i/>
                <w:sz w:val="20"/>
              </w:rPr>
            </w:pPr>
            <w:r>
              <w:rPr>
                <w:i/>
                <w:sz w:val="20"/>
              </w:rPr>
              <w:t>norA</w:t>
            </w:r>
            <w:r>
              <w:rPr>
                <w:sz w:val="20"/>
              </w:rPr>
              <w:t>,</w:t>
            </w:r>
            <w:r>
              <w:rPr>
                <w:spacing w:val="1"/>
                <w:sz w:val="20"/>
              </w:rPr>
              <w:t> </w:t>
            </w:r>
            <w:r>
              <w:rPr>
                <w:i/>
                <w:spacing w:val="-4"/>
                <w:sz w:val="20"/>
              </w:rPr>
              <w:t>mepA</w:t>
            </w:r>
          </w:p>
        </w:tc>
        <w:tc>
          <w:tcPr>
            <w:tcW w:w="1952" w:type="dxa"/>
            <w:tcBorders>
              <w:top w:val="single" w:sz="4" w:space="0" w:color="7D7D7D"/>
              <w:bottom w:val="single" w:sz="4" w:space="0" w:color="7D7D7D"/>
            </w:tcBorders>
          </w:tcPr>
          <w:p>
            <w:pPr>
              <w:pStyle w:val="TableParagraph"/>
              <w:spacing w:line="247" w:lineRule="auto" w:before="4"/>
              <w:ind w:left="852"/>
              <w:rPr>
                <w:sz w:val="20"/>
              </w:rPr>
            </w:pPr>
            <w:r>
              <w:rPr>
                <w:spacing w:val="-2"/>
                <w:sz w:val="20"/>
              </w:rPr>
              <w:t>Expulsión </w:t>
            </w:r>
            <w:r>
              <w:rPr>
                <w:spacing w:val="-4"/>
                <w:sz w:val="20"/>
              </w:rPr>
              <w:t>antibióticos</w:t>
            </w:r>
          </w:p>
        </w:tc>
        <w:tc>
          <w:tcPr>
            <w:tcW w:w="897" w:type="dxa"/>
            <w:tcBorders>
              <w:top w:val="single" w:sz="4" w:space="0" w:color="7D7D7D"/>
              <w:bottom w:val="single" w:sz="4" w:space="0" w:color="7D7D7D"/>
            </w:tcBorders>
          </w:tcPr>
          <w:p>
            <w:pPr>
              <w:pStyle w:val="TableParagraph"/>
              <w:spacing w:line="226" w:lineRule="exact"/>
              <w:ind w:right="46"/>
              <w:jc w:val="center"/>
              <w:rPr>
                <w:sz w:val="20"/>
              </w:rPr>
            </w:pPr>
            <w:r>
              <w:rPr>
                <w:spacing w:val="-2"/>
                <w:sz w:val="20"/>
              </w:rPr>
              <w:t>activa</w:t>
            </w:r>
          </w:p>
        </w:tc>
        <w:tc>
          <w:tcPr>
            <w:tcW w:w="533" w:type="dxa"/>
            <w:tcBorders>
              <w:top w:val="single" w:sz="4" w:space="0" w:color="7D7D7D"/>
              <w:bottom w:val="single" w:sz="4" w:space="0" w:color="7D7D7D"/>
            </w:tcBorders>
          </w:tcPr>
          <w:p>
            <w:pPr>
              <w:pStyle w:val="TableParagraph"/>
              <w:spacing w:line="226" w:lineRule="exact"/>
              <w:ind w:left="135"/>
              <w:jc w:val="center"/>
              <w:rPr>
                <w:sz w:val="20"/>
              </w:rPr>
            </w:pPr>
            <w:r>
              <w:rPr>
                <w:spacing w:val="-5"/>
                <w:sz w:val="20"/>
              </w:rPr>
              <w:t>de</w:t>
            </w:r>
          </w:p>
        </w:tc>
      </w:tr>
      <w:tr>
        <w:trPr>
          <w:trHeight w:val="626" w:hRule="atLeast"/>
        </w:trPr>
        <w:tc>
          <w:tcPr>
            <w:tcW w:w="2136" w:type="dxa"/>
            <w:tcBorders>
              <w:top w:val="single" w:sz="4" w:space="0" w:color="7D7D7D"/>
              <w:bottom w:val="single" w:sz="4" w:space="0" w:color="7D7D7D"/>
            </w:tcBorders>
          </w:tcPr>
          <w:p>
            <w:pPr>
              <w:pStyle w:val="TableParagraph"/>
              <w:spacing w:before="4"/>
              <w:ind w:left="118"/>
              <w:rPr>
                <w:sz w:val="20"/>
              </w:rPr>
            </w:pPr>
            <w:r>
              <w:rPr>
                <w:sz w:val="20"/>
              </w:rPr>
              <w:t>Bombas</w:t>
            </w:r>
            <w:r>
              <w:rPr>
                <w:spacing w:val="-10"/>
                <w:sz w:val="20"/>
              </w:rPr>
              <w:t> </w:t>
            </w:r>
            <w:r>
              <w:rPr>
                <w:sz w:val="20"/>
              </w:rPr>
              <w:t>de</w:t>
            </w:r>
            <w:r>
              <w:rPr>
                <w:spacing w:val="-6"/>
                <w:sz w:val="20"/>
              </w:rPr>
              <w:t> </w:t>
            </w:r>
            <w:r>
              <w:rPr>
                <w:spacing w:val="-2"/>
                <w:sz w:val="20"/>
              </w:rPr>
              <w:t>eflujo</w:t>
            </w:r>
          </w:p>
        </w:tc>
        <w:tc>
          <w:tcPr>
            <w:tcW w:w="2424" w:type="dxa"/>
            <w:tcBorders>
              <w:top w:val="single" w:sz="4" w:space="0" w:color="7D7D7D"/>
              <w:bottom w:val="single" w:sz="4" w:space="0" w:color="7D7D7D"/>
            </w:tcBorders>
          </w:tcPr>
          <w:p>
            <w:pPr>
              <w:pStyle w:val="TableParagraph"/>
              <w:spacing w:before="4"/>
              <w:ind w:left="627"/>
              <w:rPr>
                <w:i/>
                <w:sz w:val="20"/>
              </w:rPr>
            </w:pPr>
            <w:r>
              <w:rPr>
                <w:i/>
                <w:sz w:val="20"/>
              </w:rPr>
              <w:t>norA</w:t>
            </w:r>
            <w:r>
              <w:rPr>
                <w:sz w:val="20"/>
              </w:rPr>
              <w:t>,</w:t>
            </w:r>
            <w:r>
              <w:rPr>
                <w:spacing w:val="1"/>
                <w:sz w:val="20"/>
              </w:rPr>
              <w:t> </w:t>
            </w:r>
            <w:r>
              <w:rPr>
                <w:i/>
                <w:spacing w:val="-4"/>
                <w:sz w:val="20"/>
              </w:rPr>
              <w:t>mepA</w:t>
            </w:r>
          </w:p>
        </w:tc>
        <w:tc>
          <w:tcPr>
            <w:tcW w:w="1952" w:type="dxa"/>
            <w:tcBorders>
              <w:top w:val="single" w:sz="4" w:space="0" w:color="7D7D7D"/>
              <w:bottom w:val="single" w:sz="4" w:space="0" w:color="7D7D7D"/>
            </w:tcBorders>
          </w:tcPr>
          <w:p>
            <w:pPr>
              <w:pStyle w:val="TableParagraph"/>
              <w:spacing w:line="242" w:lineRule="auto" w:before="4"/>
              <w:ind w:left="852"/>
              <w:rPr>
                <w:sz w:val="20"/>
              </w:rPr>
            </w:pPr>
            <w:r>
              <w:rPr>
                <w:spacing w:val="-2"/>
                <w:sz w:val="20"/>
              </w:rPr>
              <w:t>Expulsión </w:t>
            </w:r>
            <w:r>
              <w:rPr>
                <w:spacing w:val="-4"/>
                <w:sz w:val="20"/>
              </w:rPr>
              <w:t>antibióticos</w:t>
            </w:r>
          </w:p>
        </w:tc>
        <w:tc>
          <w:tcPr>
            <w:tcW w:w="897" w:type="dxa"/>
            <w:tcBorders>
              <w:top w:val="single" w:sz="4" w:space="0" w:color="7D7D7D"/>
              <w:bottom w:val="single" w:sz="4" w:space="0" w:color="7D7D7D"/>
            </w:tcBorders>
          </w:tcPr>
          <w:p>
            <w:pPr>
              <w:pStyle w:val="TableParagraph"/>
              <w:ind w:right="46"/>
              <w:jc w:val="center"/>
              <w:rPr>
                <w:sz w:val="20"/>
              </w:rPr>
            </w:pPr>
            <w:r>
              <w:rPr>
                <w:spacing w:val="-2"/>
                <w:sz w:val="20"/>
              </w:rPr>
              <w:t>activa</w:t>
            </w:r>
          </w:p>
        </w:tc>
        <w:tc>
          <w:tcPr>
            <w:tcW w:w="533" w:type="dxa"/>
            <w:tcBorders>
              <w:top w:val="single" w:sz="4" w:space="0" w:color="7D7D7D"/>
              <w:bottom w:val="single" w:sz="4" w:space="0" w:color="7D7D7D"/>
            </w:tcBorders>
          </w:tcPr>
          <w:p>
            <w:pPr>
              <w:pStyle w:val="TableParagraph"/>
              <w:ind w:left="135"/>
              <w:jc w:val="center"/>
              <w:rPr>
                <w:sz w:val="20"/>
              </w:rPr>
            </w:pPr>
            <w:r>
              <w:rPr>
                <w:spacing w:val="-5"/>
                <w:sz w:val="20"/>
              </w:rPr>
              <w:t>de</w:t>
            </w:r>
          </w:p>
        </w:tc>
      </w:tr>
    </w:tbl>
    <w:p>
      <w:pPr>
        <w:spacing w:before="0"/>
        <w:ind w:left="994" w:right="0" w:firstLine="0"/>
        <w:jc w:val="left"/>
        <w:rPr>
          <w:sz w:val="20"/>
        </w:rPr>
      </w:pPr>
      <w:r>
        <w:rPr>
          <w:i/>
          <w:sz w:val="20"/>
        </w:rPr>
        <w:t>Nota.</w:t>
      </w:r>
      <w:r>
        <w:rPr>
          <w:i/>
          <w:spacing w:val="4"/>
          <w:sz w:val="20"/>
        </w:rPr>
        <w:t> </w:t>
      </w:r>
      <w:r>
        <w:rPr>
          <w:sz w:val="20"/>
        </w:rPr>
        <w:t>Van</w:t>
      </w:r>
      <w:r>
        <w:rPr>
          <w:spacing w:val="-6"/>
          <w:sz w:val="20"/>
        </w:rPr>
        <w:t> </w:t>
      </w:r>
      <w:r>
        <w:rPr>
          <w:sz w:val="20"/>
        </w:rPr>
        <w:t>Duijkeren</w:t>
      </w:r>
      <w:r>
        <w:rPr>
          <w:spacing w:val="-1"/>
          <w:sz w:val="20"/>
        </w:rPr>
        <w:t> </w:t>
      </w:r>
      <w:r>
        <w:rPr>
          <w:sz w:val="20"/>
        </w:rPr>
        <w:t>et</w:t>
      </w:r>
      <w:r>
        <w:rPr>
          <w:spacing w:val="-5"/>
          <w:sz w:val="20"/>
        </w:rPr>
        <w:t> </w:t>
      </w:r>
      <w:r>
        <w:rPr>
          <w:sz w:val="20"/>
        </w:rPr>
        <w:t>al.</w:t>
      </w:r>
      <w:r>
        <w:rPr>
          <w:spacing w:val="-3"/>
          <w:sz w:val="20"/>
        </w:rPr>
        <w:t> </w:t>
      </w:r>
      <w:r>
        <w:rPr>
          <w:sz w:val="20"/>
        </w:rPr>
        <w:t>(2011);</w:t>
      </w:r>
      <w:r>
        <w:rPr>
          <w:spacing w:val="-3"/>
          <w:sz w:val="20"/>
        </w:rPr>
        <w:t> </w:t>
      </w:r>
      <w:r>
        <w:rPr>
          <w:sz w:val="20"/>
        </w:rPr>
        <w:t>Pisanu</w:t>
      </w:r>
      <w:r>
        <w:rPr>
          <w:spacing w:val="-1"/>
          <w:sz w:val="20"/>
        </w:rPr>
        <w:t> </w:t>
      </w:r>
      <w:r>
        <w:rPr>
          <w:sz w:val="20"/>
        </w:rPr>
        <w:t>et</w:t>
      </w:r>
      <w:r>
        <w:rPr>
          <w:spacing w:val="-2"/>
          <w:sz w:val="20"/>
        </w:rPr>
        <w:t> </w:t>
      </w:r>
      <w:r>
        <w:rPr>
          <w:sz w:val="20"/>
        </w:rPr>
        <w:t>al.</w:t>
      </w:r>
      <w:r>
        <w:rPr>
          <w:spacing w:val="-2"/>
          <w:sz w:val="20"/>
        </w:rPr>
        <w:t> (2020).</w:t>
      </w:r>
    </w:p>
    <w:p>
      <w:pPr>
        <w:spacing w:after="0"/>
        <w:jc w:val="left"/>
        <w:rPr>
          <w:sz w:val="20"/>
        </w:rPr>
        <w:sectPr>
          <w:pgSz w:w="11900" w:h="16840"/>
          <w:pgMar w:top="1580" w:bottom="280" w:left="1275" w:right="992"/>
        </w:sectPr>
      </w:pPr>
    </w:p>
    <w:p>
      <w:pPr>
        <w:pStyle w:val="Heading3"/>
        <w:numPr>
          <w:ilvl w:val="1"/>
          <w:numId w:val="9"/>
        </w:numPr>
        <w:tabs>
          <w:tab w:pos="1426" w:val="left" w:leader="none"/>
        </w:tabs>
        <w:spacing w:line="240" w:lineRule="auto" w:before="60" w:after="0"/>
        <w:ind w:left="1426" w:right="0" w:hanging="432"/>
        <w:jc w:val="left"/>
      </w:pPr>
      <w:bookmarkStart w:name="_bookmark20" w:id="21"/>
      <w:bookmarkEnd w:id="21"/>
      <w:r>
        <w:rPr>
          <w:b w:val="0"/>
        </w:rPr>
      </w:r>
      <w:r>
        <w:rPr/>
        <w:t>Técnicas</w:t>
      </w:r>
      <w:r>
        <w:rPr>
          <w:spacing w:val="1"/>
        </w:rPr>
        <w:t> </w:t>
      </w:r>
      <w:r>
        <w:rPr>
          <w:spacing w:val="-2"/>
        </w:rPr>
        <w:t>Microbiológicas</w:t>
      </w:r>
    </w:p>
    <w:p>
      <w:pPr>
        <w:pStyle w:val="BodyText"/>
        <w:spacing w:before="104"/>
        <w:rPr>
          <w:b/>
        </w:rPr>
      </w:pPr>
    </w:p>
    <w:p>
      <w:pPr>
        <w:pStyle w:val="BodyText"/>
        <w:spacing w:line="360" w:lineRule="auto"/>
        <w:ind w:left="994" w:right="705"/>
        <w:jc w:val="both"/>
      </w:pPr>
      <w:r>
        <w:rPr/>
        <w:t>Las técnicas microbiológicas reúnen procedimientos necesarios para aislar, identificar y evaluar microorganismos en estudios clínicos y experimentales. Dentro de ellas, los cultivos permiten observar el crecimiento bacteriano en condiciones controladas. Por esta razón, son útiles para pruebas de sensibilidad y análisis morfológicos (CLSI, 2020).</w:t>
      </w:r>
    </w:p>
    <w:p>
      <w:pPr>
        <w:pStyle w:val="BodyText"/>
        <w:spacing w:line="360" w:lineRule="auto" w:before="239"/>
        <w:ind w:left="994" w:right="707"/>
        <w:jc w:val="both"/>
      </w:pPr>
      <w:r>
        <w:rPr/>
        <w:t>Para el análisis de Staphylococcus aureus resistente a meticilina (MRSA), los cultivos</w:t>
      </w:r>
      <w:r>
        <w:rPr>
          <w:spacing w:val="-13"/>
        </w:rPr>
        <w:t> </w:t>
      </w:r>
      <w:r>
        <w:rPr/>
        <w:t>bacterianos</w:t>
      </w:r>
      <w:r>
        <w:rPr>
          <w:spacing w:val="-13"/>
        </w:rPr>
        <w:t> </w:t>
      </w:r>
      <w:r>
        <w:rPr/>
        <w:t>pueden</w:t>
      </w:r>
      <w:r>
        <w:rPr>
          <w:spacing w:val="-11"/>
        </w:rPr>
        <w:t> </w:t>
      </w:r>
      <w:r>
        <w:rPr/>
        <w:t>trabajarse</w:t>
      </w:r>
      <w:r>
        <w:rPr>
          <w:spacing w:val="-10"/>
        </w:rPr>
        <w:t> </w:t>
      </w:r>
      <w:r>
        <w:rPr/>
        <w:t>en</w:t>
      </w:r>
      <w:r>
        <w:rPr>
          <w:spacing w:val="-15"/>
        </w:rPr>
        <w:t> </w:t>
      </w:r>
      <w:r>
        <w:rPr/>
        <w:t>medios</w:t>
      </w:r>
      <w:r>
        <w:rPr>
          <w:spacing w:val="-13"/>
        </w:rPr>
        <w:t> </w:t>
      </w:r>
      <w:r>
        <w:rPr/>
        <w:t>sólidos</w:t>
      </w:r>
      <w:r>
        <w:rPr>
          <w:spacing w:val="-13"/>
        </w:rPr>
        <w:t> </w:t>
      </w:r>
      <w:r>
        <w:rPr/>
        <w:t>o</w:t>
      </w:r>
      <w:r>
        <w:rPr>
          <w:spacing w:val="-11"/>
        </w:rPr>
        <w:t> </w:t>
      </w:r>
      <w:r>
        <w:rPr/>
        <w:t>líquidos,</w:t>
      </w:r>
      <w:r>
        <w:rPr>
          <w:spacing w:val="-11"/>
        </w:rPr>
        <w:t> </w:t>
      </w:r>
      <w:r>
        <w:rPr/>
        <w:t>según</w:t>
      </w:r>
      <w:r>
        <w:rPr>
          <w:spacing w:val="-11"/>
        </w:rPr>
        <w:t> </w:t>
      </w:r>
      <w:r>
        <w:rPr/>
        <w:t>el</w:t>
      </w:r>
      <w:r>
        <w:rPr>
          <w:spacing w:val="-14"/>
        </w:rPr>
        <w:t> </w:t>
      </w:r>
      <w:r>
        <w:rPr/>
        <w:t>medio elegido y el objetivo del ensayo. Una técnica usada con frecuencia es la estría en medio</w:t>
      </w:r>
      <w:r>
        <w:rPr>
          <w:spacing w:val="-8"/>
        </w:rPr>
        <w:t> </w:t>
      </w:r>
      <w:r>
        <w:rPr/>
        <w:t>sólido,</w:t>
      </w:r>
      <w:r>
        <w:rPr>
          <w:spacing w:val="-8"/>
        </w:rPr>
        <w:t> </w:t>
      </w:r>
      <w:r>
        <w:rPr/>
        <w:t>ya</w:t>
      </w:r>
      <w:r>
        <w:rPr>
          <w:spacing w:val="-6"/>
        </w:rPr>
        <w:t> </w:t>
      </w:r>
      <w:r>
        <w:rPr/>
        <w:t>que</w:t>
      </w:r>
      <w:r>
        <w:rPr>
          <w:spacing w:val="-6"/>
        </w:rPr>
        <w:t> </w:t>
      </w:r>
      <w:r>
        <w:rPr/>
        <w:t>permite</w:t>
      </w:r>
      <w:r>
        <w:rPr>
          <w:spacing w:val="-10"/>
        </w:rPr>
        <w:t> </w:t>
      </w:r>
      <w:r>
        <w:rPr/>
        <w:t>obtener</w:t>
      </w:r>
      <w:r>
        <w:rPr>
          <w:spacing w:val="-7"/>
        </w:rPr>
        <w:t> </w:t>
      </w:r>
      <w:r>
        <w:rPr/>
        <w:t>colonias</w:t>
      </w:r>
      <w:r>
        <w:rPr>
          <w:spacing w:val="-9"/>
        </w:rPr>
        <w:t> </w:t>
      </w:r>
      <w:r>
        <w:rPr/>
        <w:t>puras</w:t>
      </w:r>
      <w:r>
        <w:rPr>
          <w:spacing w:val="-9"/>
        </w:rPr>
        <w:t> </w:t>
      </w:r>
      <w:r>
        <w:rPr/>
        <w:t>por</w:t>
      </w:r>
      <w:r>
        <w:rPr>
          <w:spacing w:val="-7"/>
        </w:rPr>
        <w:t> </w:t>
      </w:r>
      <w:r>
        <w:rPr/>
        <w:t>siembra</w:t>
      </w:r>
      <w:r>
        <w:rPr>
          <w:spacing w:val="-6"/>
        </w:rPr>
        <w:t> </w:t>
      </w:r>
      <w:r>
        <w:rPr/>
        <w:t>en</w:t>
      </w:r>
      <w:r>
        <w:rPr>
          <w:spacing w:val="-12"/>
        </w:rPr>
        <w:t> </w:t>
      </w:r>
      <w:r>
        <w:rPr/>
        <w:t>cuadrantes</w:t>
      </w:r>
      <w:r>
        <w:rPr>
          <w:spacing w:val="-13"/>
        </w:rPr>
        <w:t> </w:t>
      </w:r>
      <w:r>
        <w:rPr/>
        <w:t>con asa estéril. Este procedimiento ayuda a separar cepas</w:t>
      </w:r>
      <w:r>
        <w:rPr>
          <w:spacing w:val="-1"/>
        </w:rPr>
        <w:t> </w:t>
      </w:r>
      <w:r>
        <w:rPr/>
        <w:t>individuales</w:t>
      </w:r>
      <w:r>
        <w:rPr>
          <w:spacing w:val="-1"/>
        </w:rPr>
        <w:t> </w:t>
      </w:r>
      <w:r>
        <w:rPr/>
        <w:t>y revisar rasgos como forma, tamaño, color y hemólisis (Andrade et al., 2022; Loeffler &amp; Lloyd, </w:t>
      </w:r>
      <w:r>
        <w:rPr>
          <w:spacing w:val="-2"/>
        </w:rPr>
        <w:t>2022).</w:t>
      </w:r>
    </w:p>
    <w:p>
      <w:pPr>
        <w:pStyle w:val="BodyText"/>
        <w:spacing w:line="360" w:lineRule="auto" w:before="243"/>
        <w:ind w:left="994" w:right="701"/>
        <w:jc w:val="both"/>
      </w:pPr>
      <w:r>
        <w:rPr/>
        <w:t>Para</w:t>
      </w:r>
      <w:r>
        <w:rPr>
          <w:spacing w:val="-15"/>
        </w:rPr>
        <w:t> </w:t>
      </w:r>
      <w:r>
        <w:rPr/>
        <w:t>propiciar</w:t>
      </w:r>
      <w:r>
        <w:rPr>
          <w:spacing w:val="-15"/>
        </w:rPr>
        <w:t> </w:t>
      </w:r>
      <w:r>
        <w:rPr/>
        <w:t>el</w:t>
      </w:r>
      <w:r>
        <w:rPr>
          <w:spacing w:val="-15"/>
        </w:rPr>
        <w:t> </w:t>
      </w:r>
      <w:r>
        <w:rPr/>
        <w:t>desarrollo</w:t>
      </w:r>
      <w:r>
        <w:rPr>
          <w:spacing w:val="-15"/>
        </w:rPr>
        <w:t> </w:t>
      </w:r>
      <w:r>
        <w:rPr/>
        <w:t>microbiano,</w:t>
      </w:r>
      <w:r>
        <w:rPr>
          <w:spacing w:val="-15"/>
        </w:rPr>
        <w:t> </w:t>
      </w:r>
      <w:r>
        <w:rPr/>
        <w:t>la</w:t>
      </w:r>
      <w:r>
        <w:rPr>
          <w:spacing w:val="-15"/>
        </w:rPr>
        <w:t> </w:t>
      </w:r>
      <w:r>
        <w:rPr/>
        <w:t>incubación</w:t>
      </w:r>
      <w:r>
        <w:rPr>
          <w:spacing w:val="-15"/>
        </w:rPr>
        <w:t> </w:t>
      </w:r>
      <w:r>
        <w:rPr/>
        <w:t>en</w:t>
      </w:r>
      <w:r>
        <w:rPr>
          <w:spacing w:val="-15"/>
        </w:rPr>
        <w:t> </w:t>
      </w:r>
      <w:r>
        <w:rPr/>
        <w:t>un</w:t>
      </w:r>
      <w:r>
        <w:rPr>
          <w:spacing w:val="-15"/>
        </w:rPr>
        <w:t> </w:t>
      </w:r>
      <w:r>
        <w:rPr/>
        <w:t>medio</w:t>
      </w:r>
      <w:r>
        <w:rPr>
          <w:spacing w:val="-15"/>
        </w:rPr>
        <w:t> </w:t>
      </w:r>
      <w:r>
        <w:rPr/>
        <w:t>líquido,</w:t>
      </w:r>
      <w:r>
        <w:rPr>
          <w:spacing w:val="-15"/>
        </w:rPr>
        <w:t> </w:t>
      </w:r>
      <w:r>
        <w:rPr/>
        <w:t>tal</w:t>
      </w:r>
      <w:r>
        <w:rPr>
          <w:spacing w:val="-15"/>
        </w:rPr>
        <w:t> </w:t>
      </w:r>
      <w:r>
        <w:rPr/>
        <w:t>como el caldo tripticasa soya, cumple un rol primordial en la amplificación de bacterias en medios fluidos. Esta estrategia se revela útil en la obtención de suspensiones bacterianas homogéneas, las cuales, seguidamente, se destinan a la evaluación de la sensibilidad a los antimicrobianos por medio de ensayos tipo difusión en agar, empleando el método Kirby-Bauer (Vuong et al., 2020).</w:t>
      </w:r>
    </w:p>
    <w:p>
      <w:pPr>
        <w:pStyle w:val="BodyText"/>
        <w:spacing w:line="360" w:lineRule="auto" w:before="245"/>
        <w:ind w:left="994" w:right="707"/>
        <w:jc w:val="both"/>
      </w:pPr>
      <w:r>
        <w:rPr/>
        <w:t>Una modalidad alternativa, de igual trascendencia, consiste en el sembrado por agotamiento o estría. En este particular método, la distribución uniforme de la suspensión de bacterias</w:t>
      </w:r>
      <w:r>
        <w:rPr>
          <w:spacing w:val="-1"/>
        </w:rPr>
        <w:t> </w:t>
      </w:r>
      <w:r>
        <w:rPr/>
        <w:t>sobre la capa de agar se consigue valiendose de un hisopo </w:t>
      </w:r>
      <w:r>
        <w:rPr>
          <w:spacing w:val="-2"/>
        </w:rPr>
        <w:t>estéril.</w:t>
      </w:r>
    </w:p>
    <w:p>
      <w:pPr>
        <w:pStyle w:val="BodyText"/>
        <w:spacing w:line="360" w:lineRule="auto" w:before="236"/>
        <w:ind w:left="994" w:right="701"/>
        <w:jc w:val="both"/>
      </w:pPr>
      <w:r>
        <w:rPr/>
        <w:t>Otras metodologías cuantitativas se presentan también, como el cultivo por extensión en placa (spread plate) y el cultivo por vertido (pour plate). Estos se aplican con el fin de determinar el número de unidades formadoras de colonia (UFC) a partir de diluciones seriadas. De esta manera, permiten estimar bacterias viables en una muestra y revisar el efecto bactericida de compuestos como el cannabidiol (Blaskovich et al., 2021).</w:t>
      </w:r>
    </w:p>
    <w:p>
      <w:pPr>
        <w:pStyle w:val="BodyText"/>
        <w:spacing w:before="241"/>
        <w:ind w:left="994"/>
        <w:jc w:val="both"/>
      </w:pPr>
      <w:r>
        <w:rPr/>
        <w:t>La</w:t>
      </w:r>
      <w:r>
        <w:rPr>
          <w:spacing w:val="-1"/>
        </w:rPr>
        <w:t> </w:t>
      </w:r>
      <w:r>
        <w:rPr/>
        <w:t>selección</w:t>
      </w:r>
      <w:r>
        <w:rPr>
          <w:spacing w:val="-2"/>
        </w:rPr>
        <w:t> </w:t>
      </w:r>
      <w:r>
        <w:rPr/>
        <w:t>y</w:t>
      </w:r>
      <w:r>
        <w:rPr>
          <w:spacing w:val="-7"/>
        </w:rPr>
        <w:t> </w:t>
      </w:r>
      <w:r>
        <w:rPr/>
        <w:t>distinción</w:t>
      </w:r>
      <w:r>
        <w:rPr>
          <w:spacing w:val="-2"/>
        </w:rPr>
        <w:t> </w:t>
      </w:r>
      <w:r>
        <w:rPr/>
        <w:t>de</w:t>
      </w:r>
      <w:r>
        <w:rPr>
          <w:spacing w:val="-1"/>
        </w:rPr>
        <w:t> </w:t>
      </w:r>
      <w:r>
        <w:rPr/>
        <w:t>microorganismos</w:t>
      </w:r>
      <w:r>
        <w:rPr>
          <w:spacing w:val="-4"/>
        </w:rPr>
        <w:t> </w:t>
      </w:r>
      <w:r>
        <w:rPr/>
        <w:t>se</w:t>
      </w:r>
      <w:r>
        <w:rPr>
          <w:spacing w:val="-1"/>
        </w:rPr>
        <w:t> </w:t>
      </w:r>
      <w:r>
        <w:rPr/>
        <w:t>logra</w:t>
      </w:r>
      <w:r>
        <w:rPr>
          <w:spacing w:val="-5"/>
        </w:rPr>
        <w:t> </w:t>
      </w:r>
      <w:r>
        <w:rPr/>
        <w:t>efectivamente</w:t>
      </w:r>
      <w:r>
        <w:rPr>
          <w:spacing w:val="-5"/>
        </w:rPr>
        <w:t> </w:t>
      </w:r>
      <w:r>
        <w:rPr/>
        <w:t>por</w:t>
      </w:r>
      <w:r>
        <w:rPr>
          <w:spacing w:val="-2"/>
        </w:rPr>
        <w:t> </w:t>
      </w:r>
      <w:r>
        <w:rPr/>
        <w:t>medio</w:t>
      </w:r>
      <w:r>
        <w:rPr>
          <w:spacing w:val="-1"/>
        </w:rPr>
        <w:t> </w:t>
      </w:r>
      <w:r>
        <w:rPr>
          <w:spacing w:val="-5"/>
        </w:rPr>
        <w:t>de</w:t>
      </w:r>
    </w:p>
    <w:p>
      <w:pPr>
        <w:pStyle w:val="BodyText"/>
        <w:spacing w:after="0"/>
        <w:jc w:val="both"/>
        <w:sectPr>
          <w:pgSz w:w="11900" w:h="16840"/>
          <w:pgMar w:top="1580" w:bottom="280" w:left="1275" w:right="992"/>
        </w:sectPr>
      </w:pPr>
    </w:p>
    <w:p>
      <w:pPr>
        <w:pStyle w:val="BodyText"/>
        <w:spacing w:line="360" w:lineRule="auto" w:before="60"/>
        <w:ind w:left="994" w:right="696"/>
        <w:jc w:val="both"/>
      </w:pPr>
      <w:r>
        <w:rPr/>
        <w:t>sustratos</w:t>
      </w:r>
      <w:r>
        <w:rPr>
          <w:spacing w:val="-5"/>
        </w:rPr>
        <w:t> </w:t>
      </w:r>
      <w:r>
        <w:rPr/>
        <w:t>selectivos</w:t>
      </w:r>
      <w:r>
        <w:rPr>
          <w:spacing w:val="-5"/>
        </w:rPr>
        <w:t> </w:t>
      </w:r>
      <w:r>
        <w:rPr/>
        <w:t>y</w:t>
      </w:r>
      <w:r>
        <w:rPr>
          <w:spacing w:val="-3"/>
        </w:rPr>
        <w:t> </w:t>
      </w:r>
      <w:r>
        <w:rPr/>
        <w:t>diferenciales,</w:t>
      </w:r>
      <w:r>
        <w:rPr>
          <w:spacing w:val="-3"/>
        </w:rPr>
        <w:t> </w:t>
      </w:r>
      <w:r>
        <w:rPr/>
        <w:t>tal</w:t>
      </w:r>
      <w:r>
        <w:rPr>
          <w:spacing w:val="-2"/>
        </w:rPr>
        <w:t> </w:t>
      </w:r>
      <w:r>
        <w:rPr/>
        <w:t>es</w:t>
      </w:r>
      <w:r>
        <w:rPr>
          <w:spacing w:val="-8"/>
        </w:rPr>
        <w:t> </w:t>
      </w:r>
      <w:r>
        <w:rPr/>
        <w:t>el</w:t>
      </w:r>
      <w:r>
        <w:rPr>
          <w:spacing w:val="-2"/>
        </w:rPr>
        <w:t> </w:t>
      </w:r>
      <w:r>
        <w:rPr/>
        <w:t>caso</w:t>
      </w:r>
      <w:r>
        <w:rPr>
          <w:spacing w:val="-3"/>
        </w:rPr>
        <w:t> </w:t>
      </w:r>
      <w:r>
        <w:rPr/>
        <w:t>del</w:t>
      </w:r>
      <w:r>
        <w:rPr>
          <w:spacing w:val="-7"/>
        </w:rPr>
        <w:t> </w:t>
      </w:r>
      <w:r>
        <w:rPr/>
        <w:t>agar</w:t>
      </w:r>
      <w:r>
        <w:rPr>
          <w:spacing w:val="-7"/>
        </w:rPr>
        <w:t> </w:t>
      </w:r>
      <w:r>
        <w:rPr/>
        <w:t>manitol</w:t>
      </w:r>
      <w:r>
        <w:rPr>
          <w:spacing w:val="-2"/>
        </w:rPr>
        <w:t> </w:t>
      </w:r>
      <w:r>
        <w:rPr/>
        <w:t>salado,</w:t>
      </w:r>
      <w:r>
        <w:rPr>
          <w:spacing w:val="-3"/>
        </w:rPr>
        <w:t> </w:t>
      </w:r>
      <w:r>
        <w:rPr/>
        <w:t>conocido por sus siglas MSA, que optimiza el proceso de identificación de S. aureus. Dicho sustrato, este medio tiene la particularidad de restringir el desarrollo de bacterias que no toleran la salinidad, y al mismo tiempo, posibilita la identificación de </w:t>
      </w:r>
      <w:r>
        <w:rPr>
          <w:i/>
        </w:rPr>
        <w:t>S. aureus </w:t>
      </w:r>
      <w:r>
        <w:rPr/>
        <w:t>exhibe su propensión a la fermentación del manitol, una reacción bioquímica que trae aparejado un visible viraje cromático del medio (Andrade et al., 2022).</w:t>
      </w:r>
    </w:p>
    <w:p>
      <w:pPr>
        <w:pStyle w:val="BodyText"/>
        <w:spacing w:line="360" w:lineRule="auto" w:before="243"/>
        <w:ind w:left="994" w:right="714"/>
        <w:jc w:val="both"/>
      </w:pPr>
      <w:r>
        <w:rPr/>
        <w:t>La sinérgica unificación de estos procedimientos posibilita la exhaustiva caracterización de las estirpes bacterianas, abarcando desde su génesis hasta la valoración de su reacción frente a terapias antimicrobianas tanto convencionales como las emergentes, dígase el CBD.</w:t>
      </w:r>
    </w:p>
    <w:p>
      <w:pPr>
        <w:pStyle w:val="Heading3"/>
        <w:numPr>
          <w:ilvl w:val="1"/>
          <w:numId w:val="9"/>
        </w:numPr>
        <w:tabs>
          <w:tab w:pos="1426" w:val="left" w:leader="none"/>
        </w:tabs>
        <w:spacing w:line="240" w:lineRule="auto" w:before="160" w:after="0"/>
        <w:ind w:left="1426" w:right="0" w:hanging="432"/>
        <w:jc w:val="both"/>
      </w:pPr>
      <w:bookmarkStart w:name="_bookmark21" w:id="22"/>
      <w:bookmarkEnd w:id="22"/>
      <w:r>
        <w:rPr>
          <w:b w:val="0"/>
        </w:rPr>
      </w:r>
      <w:r>
        <w:rPr/>
        <w:t>Antibiograma</w:t>
      </w:r>
      <w:r>
        <w:rPr>
          <w:spacing w:val="-6"/>
        </w:rPr>
        <w:t> </w:t>
      </w:r>
      <w:r>
        <w:rPr/>
        <w:t>Con</w:t>
      </w:r>
      <w:r>
        <w:rPr>
          <w:spacing w:val="-9"/>
        </w:rPr>
        <w:t> </w:t>
      </w:r>
      <w:r>
        <w:rPr/>
        <w:t>Discos</w:t>
      </w:r>
      <w:r>
        <w:rPr>
          <w:spacing w:val="-8"/>
        </w:rPr>
        <w:t> </w:t>
      </w:r>
      <w:r>
        <w:rPr/>
        <w:t>De</w:t>
      </w:r>
      <w:r>
        <w:rPr>
          <w:spacing w:val="-1"/>
        </w:rPr>
        <w:t> </w:t>
      </w:r>
      <w:r>
        <w:rPr>
          <w:spacing w:val="-2"/>
        </w:rPr>
        <w:t>Sensibilidad</w:t>
      </w:r>
    </w:p>
    <w:p>
      <w:pPr>
        <w:pStyle w:val="BodyText"/>
        <w:spacing w:before="104"/>
        <w:rPr>
          <w:b/>
        </w:rPr>
      </w:pPr>
    </w:p>
    <w:p>
      <w:pPr>
        <w:pStyle w:val="BodyText"/>
        <w:spacing w:line="360" w:lineRule="auto"/>
        <w:ind w:left="994" w:right="716"/>
        <w:jc w:val="both"/>
      </w:pPr>
      <w:r>
        <w:rPr/>
        <w:t>El antibiograma, prueba auxiliar fundada en la difusión por agar, emplea discos comerciales, ya estandarizados con distintos antibióticos, para dilucidar la aquiescencia o la elusión bacteriana ante agentes farmacológicos precisos (Wassmann et al. , 2020). Esta metodología afianza la elucidación del patrón de resistencia</w:t>
      </w:r>
      <w:r>
        <w:rPr>
          <w:spacing w:val="-6"/>
        </w:rPr>
        <w:t> </w:t>
      </w:r>
      <w:r>
        <w:rPr/>
        <w:t>de</w:t>
      </w:r>
      <w:r>
        <w:rPr>
          <w:spacing w:val="-6"/>
        </w:rPr>
        <w:t> </w:t>
      </w:r>
      <w:r>
        <w:rPr/>
        <w:t>los</w:t>
      </w:r>
      <w:r>
        <w:rPr>
          <w:spacing w:val="-9"/>
        </w:rPr>
        <w:t> </w:t>
      </w:r>
      <w:r>
        <w:rPr/>
        <w:t>aislamientos</w:t>
      </w:r>
      <w:r>
        <w:rPr>
          <w:spacing w:val="-9"/>
        </w:rPr>
        <w:t> </w:t>
      </w:r>
      <w:r>
        <w:rPr/>
        <w:t>de</w:t>
      </w:r>
      <w:r>
        <w:rPr>
          <w:spacing w:val="-6"/>
        </w:rPr>
        <w:t> </w:t>
      </w:r>
      <w:r>
        <w:rPr/>
        <w:t>MRSA</w:t>
      </w:r>
      <w:r>
        <w:rPr>
          <w:spacing w:val="-9"/>
        </w:rPr>
        <w:t> </w:t>
      </w:r>
      <w:r>
        <w:rPr/>
        <w:t>empleados</w:t>
      </w:r>
      <w:r>
        <w:rPr>
          <w:spacing w:val="-9"/>
        </w:rPr>
        <w:t> </w:t>
      </w:r>
      <w:r>
        <w:rPr/>
        <w:t>en</w:t>
      </w:r>
      <w:r>
        <w:rPr>
          <w:spacing w:val="-11"/>
        </w:rPr>
        <w:t> </w:t>
      </w:r>
      <w:r>
        <w:rPr/>
        <w:t>la</w:t>
      </w:r>
      <w:r>
        <w:rPr>
          <w:spacing w:val="-6"/>
        </w:rPr>
        <w:t> </w:t>
      </w:r>
      <w:r>
        <w:rPr/>
        <w:t>investigación</w:t>
      </w:r>
      <w:r>
        <w:rPr>
          <w:spacing w:val="-8"/>
        </w:rPr>
        <w:t> </w:t>
      </w:r>
      <w:r>
        <w:rPr/>
        <w:t>y</w:t>
      </w:r>
      <w:r>
        <w:rPr>
          <w:spacing w:val="-8"/>
        </w:rPr>
        <w:t> </w:t>
      </w:r>
      <w:r>
        <w:rPr/>
        <w:t>valida</w:t>
      </w:r>
      <w:r>
        <w:rPr>
          <w:spacing w:val="-6"/>
        </w:rPr>
        <w:t> </w:t>
      </w:r>
      <w:r>
        <w:rPr/>
        <w:t>su elusión a la meticilina y a otros compuestos beta-lactámicos.</w:t>
      </w:r>
    </w:p>
    <w:p>
      <w:pPr>
        <w:pStyle w:val="BodyText"/>
        <w:spacing w:line="360" w:lineRule="auto" w:before="242"/>
        <w:ind w:left="994" w:right="704"/>
        <w:jc w:val="both"/>
      </w:pPr>
      <w:r>
        <w:rPr/>
        <w:t>Los</w:t>
      </w:r>
      <w:r>
        <w:rPr>
          <w:spacing w:val="-3"/>
        </w:rPr>
        <w:t> </w:t>
      </w:r>
      <w:r>
        <w:rPr/>
        <w:t>veredictos</w:t>
      </w:r>
      <w:r>
        <w:rPr>
          <w:spacing w:val="-3"/>
        </w:rPr>
        <w:t> </w:t>
      </w:r>
      <w:r>
        <w:rPr/>
        <w:t>emanados</w:t>
      </w:r>
      <w:r>
        <w:rPr>
          <w:spacing w:val="-4"/>
        </w:rPr>
        <w:t> </w:t>
      </w:r>
      <w:r>
        <w:rPr/>
        <w:t>del</w:t>
      </w:r>
      <w:r>
        <w:rPr>
          <w:spacing w:val="-1"/>
        </w:rPr>
        <w:t> </w:t>
      </w:r>
      <w:r>
        <w:rPr/>
        <w:t>antibiograma</w:t>
      </w:r>
      <w:r>
        <w:rPr>
          <w:spacing w:val="-1"/>
        </w:rPr>
        <w:t> </w:t>
      </w:r>
      <w:r>
        <w:rPr/>
        <w:t>se</w:t>
      </w:r>
      <w:r>
        <w:rPr>
          <w:spacing w:val="-1"/>
        </w:rPr>
        <w:t> </w:t>
      </w:r>
      <w:r>
        <w:rPr/>
        <w:t>interpretan</w:t>
      </w:r>
      <w:r>
        <w:rPr>
          <w:spacing w:val="-2"/>
        </w:rPr>
        <w:t> </w:t>
      </w:r>
      <w:r>
        <w:rPr/>
        <w:t>con</w:t>
      </w:r>
      <w:r>
        <w:rPr>
          <w:spacing w:val="-2"/>
        </w:rPr>
        <w:t> </w:t>
      </w:r>
      <w:r>
        <w:rPr/>
        <w:t>arreglo</w:t>
      </w:r>
      <w:r>
        <w:rPr>
          <w:spacing w:val="-2"/>
        </w:rPr>
        <w:t> </w:t>
      </w:r>
      <w:r>
        <w:rPr/>
        <w:t>a</w:t>
      </w:r>
      <w:r>
        <w:rPr>
          <w:spacing w:val="-1"/>
        </w:rPr>
        <w:t> </w:t>
      </w:r>
      <w:r>
        <w:rPr/>
        <w:t>criterios</w:t>
      </w:r>
      <w:r>
        <w:rPr>
          <w:spacing w:val="-3"/>
        </w:rPr>
        <w:t> </w:t>
      </w:r>
      <w:r>
        <w:rPr/>
        <w:t>de referencia prefijados por organismos de gran prestigo, cual el Clinical and Laboratory Standards Institute CLSI. A tenor de tales directrices, los aislamientos microbianos se segmentan cual sensibles, intermedios o bien, renuentes. Dicha información resulta fundamental para fundamentar la aplicación de opciones terapéuticas alternativas, como el CBD.</w:t>
      </w:r>
    </w:p>
    <w:p>
      <w:pPr>
        <w:pStyle w:val="Heading3"/>
        <w:numPr>
          <w:ilvl w:val="1"/>
          <w:numId w:val="9"/>
        </w:numPr>
        <w:tabs>
          <w:tab w:pos="1426" w:val="left" w:leader="none"/>
        </w:tabs>
        <w:spacing w:line="240" w:lineRule="auto" w:before="160" w:after="0"/>
        <w:ind w:left="1426" w:right="0" w:hanging="432"/>
        <w:jc w:val="both"/>
      </w:pPr>
      <w:bookmarkStart w:name="_bookmark22" w:id="23"/>
      <w:bookmarkEnd w:id="23"/>
      <w:r>
        <w:rPr>
          <w:b w:val="0"/>
        </w:rPr>
      </w:r>
      <w:r>
        <w:rPr/>
        <w:t>Concentracion</w:t>
      </w:r>
      <w:r>
        <w:rPr>
          <w:spacing w:val="-6"/>
        </w:rPr>
        <w:t> </w:t>
      </w:r>
      <w:r>
        <w:rPr/>
        <w:t>Minima</w:t>
      </w:r>
      <w:r>
        <w:rPr>
          <w:spacing w:val="-5"/>
        </w:rPr>
        <w:t> </w:t>
      </w:r>
      <w:r>
        <w:rPr/>
        <w:t>Inhibitoria</w:t>
      </w:r>
      <w:r>
        <w:rPr>
          <w:spacing w:val="-5"/>
        </w:rPr>
        <w:t> </w:t>
      </w:r>
      <w:r>
        <w:rPr>
          <w:spacing w:val="-4"/>
        </w:rPr>
        <w:t>(Cmi)</w:t>
      </w:r>
    </w:p>
    <w:p>
      <w:pPr>
        <w:pStyle w:val="BodyText"/>
        <w:spacing w:before="100"/>
        <w:rPr>
          <w:b/>
        </w:rPr>
      </w:pPr>
    </w:p>
    <w:p>
      <w:pPr>
        <w:pStyle w:val="BodyText"/>
        <w:spacing w:line="360" w:lineRule="auto" w:before="1"/>
        <w:ind w:left="994" w:right="698"/>
        <w:jc w:val="both"/>
      </w:pPr>
      <w:r>
        <w:rPr/>
        <w:t>Definida la Concentración Mínima Inhibitoria (CMI) también conocida internacionalmente como Minimum Inhibitory Concentration (MIC), como la concentración más baja de una sustancia antimicrobiana que impide el desarrollo visible de un microorganismo tras un periodo de incubación de 18 a 24 horas bajo condiciones</w:t>
      </w:r>
      <w:r>
        <w:rPr>
          <w:spacing w:val="9"/>
        </w:rPr>
        <w:t> </w:t>
      </w:r>
      <w:r>
        <w:rPr/>
        <w:t>controladas</w:t>
      </w:r>
      <w:r>
        <w:rPr>
          <w:spacing w:val="10"/>
        </w:rPr>
        <w:t> </w:t>
      </w:r>
      <w:r>
        <w:rPr/>
        <w:t>(CLSI,</w:t>
      </w:r>
      <w:r>
        <w:rPr>
          <w:spacing w:val="11"/>
        </w:rPr>
        <w:t> </w:t>
      </w:r>
      <w:r>
        <w:rPr/>
        <w:t>2020).</w:t>
      </w:r>
      <w:r>
        <w:rPr>
          <w:spacing w:val="16"/>
        </w:rPr>
        <w:t> </w:t>
      </w:r>
      <w:r>
        <w:rPr/>
        <w:t>Esta</w:t>
      </w:r>
      <w:r>
        <w:rPr>
          <w:spacing w:val="12"/>
        </w:rPr>
        <w:t> </w:t>
      </w:r>
      <w:r>
        <w:rPr/>
        <w:t>intervención</w:t>
      </w:r>
      <w:r>
        <w:rPr>
          <w:spacing w:val="11"/>
        </w:rPr>
        <w:t> </w:t>
      </w:r>
      <w:r>
        <w:rPr/>
        <w:t>revela</w:t>
      </w:r>
      <w:r>
        <w:rPr>
          <w:spacing w:val="13"/>
        </w:rPr>
        <w:t> </w:t>
      </w:r>
      <w:r>
        <w:rPr/>
        <w:t>ser</w:t>
      </w:r>
      <w:r>
        <w:rPr>
          <w:spacing w:val="11"/>
        </w:rPr>
        <w:t> </w:t>
      </w:r>
      <w:r>
        <w:rPr/>
        <w:t>crucial</w:t>
      </w:r>
      <w:r>
        <w:rPr>
          <w:spacing w:val="12"/>
        </w:rPr>
        <w:t> </w:t>
      </w:r>
      <w:r>
        <w:rPr>
          <w:spacing w:val="-2"/>
        </w:rPr>
        <w:t>dentro</w:t>
      </w:r>
    </w:p>
    <w:p>
      <w:pPr>
        <w:pStyle w:val="BodyText"/>
        <w:spacing w:after="0" w:line="360" w:lineRule="auto"/>
        <w:jc w:val="both"/>
        <w:sectPr>
          <w:pgSz w:w="11900" w:h="16840"/>
          <w:pgMar w:top="1580" w:bottom="280" w:left="1275" w:right="992"/>
        </w:sectPr>
      </w:pPr>
    </w:p>
    <w:p>
      <w:pPr>
        <w:pStyle w:val="BodyText"/>
        <w:spacing w:line="360" w:lineRule="auto" w:before="60"/>
        <w:ind w:left="994" w:right="706"/>
        <w:jc w:val="both"/>
      </w:pPr>
      <w:r>
        <w:rPr/>
        <w:t>del ámbito</w:t>
      </w:r>
      <w:r>
        <w:rPr>
          <w:spacing w:val="-5"/>
        </w:rPr>
        <w:t> </w:t>
      </w:r>
      <w:r>
        <w:rPr/>
        <w:t>de</w:t>
      </w:r>
      <w:r>
        <w:rPr>
          <w:spacing w:val="-3"/>
        </w:rPr>
        <w:t> </w:t>
      </w:r>
      <w:r>
        <w:rPr/>
        <w:t>investigaciones</w:t>
      </w:r>
      <w:r>
        <w:rPr>
          <w:spacing w:val="-2"/>
        </w:rPr>
        <w:t> </w:t>
      </w:r>
      <w:r>
        <w:rPr/>
        <w:t>focalizadas</w:t>
      </w:r>
      <w:r>
        <w:rPr>
          <w:spacing w:val="-6"/>
        </w:rPr>
        <w:t> </w:t>
      </w:r>
      <w:r>
        <w:rPr/>
        <w:t>en</w:t>
      </w:r>
      <w:r>
        <w:rPr>
          <w:spacing w:val="-1"/>
        </w:rPr>
        <w:t> </w:t>
      </w:r>
      <w:r>
        <w:rPr/>
        <w:t>la</w:t>
      </w:r>
      <w:r>
        <w:rPr>
          <w:spacing w:val="-3"/>
        </w:rPr>
        <w:t> </w:t>
      </w:r>
      <w:r>
        <w:rPr/>
        <w:t>susceptibilidad</w:t>
      </w:r>
      <w:r>
        <w:rPr>
          <w:spacing w:val="-1"/>
        </w:rPr>
        <w:t> </w:t>
      </w:r>
      <w:r>
        <w:rPr/>
        <w:t>de bacterias;</w:t>
      </w:r>
      <w:r>
        <w:rPr>
          <w:spacing w:val="-3"/>
        </w:rPr>
        <w:t> </w:t>
      </w:r>
      <w:r>
        <w:rPr/>
        <w:t>eso</w:t>
      </w:r>
      <w:r>
        <w:rPr>
          <w:spacing w:val="-1"/>
        </w:rPr>
        <w:t> </w:t>
      </w:r>
      <w:r>
        <w:rPr/>
        <w:t>es así, dado que su aplicación facilita la inferencia directa de la potencia que exhibe un compuesto antimicrobiano frente a un microorganismo específico y particular.</w:t>
      </w:r>
    </w:p>
    <w:p>
      <w:pPr>
        <w:pStyle w:val="BodyText"/>
        <w:spacing w:line="360" w:lineRule="auto" w:before="243"/>
        <w:ind w:left="994" w:right="712"/>
        <w:jc w:val="both"/>
      </w:pPr>
      <w:r>
        <w:rPr/>
        <w:t>Una Concentración Mínima Inhibitoria (CMI) que se presente con valores bajos denota indiscutiblemente la sensibilidad que posee el microorganismo hacia el agente</w:t>
      </w:r>
      <w:r>
        <w:rPr>
          <w:spacing w:val="-2"/>
        </w:rPr>
        <w:t> </w:t>
      </w:r>
      <w:r>
        <w:rPr/>
        <w:t>antimicrobiano</w:t>
      </w:r>
      <w:r>
        <w:rPr>
          <w:spacing w:val="-3"/>
        </w:rPr>
        <w:t> </w:t>
      </w:r>
      <w:r>
        <w:rPr/>
        <w:t>administrado. Por el contrario, un valor de CMI que resulte considerablemente alto pudiera implicar una resistencia inherente, o quizás, una capacidad inhibitoria menguada por parte del compuesto que está bajo escrutinio riguroso (EUCAST, 2023).</w:t>
      </w:r>
    </w:p>
    <w:p>
      <w:pPr>
        <w:pStyle w:val="Heading3"/>
        <w:numPr>
          <w:ilvl w:val="2"/>
          <w:numId w:val="9"/>
        </w:numPr>
        <w:tabs>
          <w:tab w:pos="1702" w:val="left" w:leader="none"/>
        </w:tabs>
        <w:spacing w:line="240" w:lineRule="auto" w:before="160" w:after="0"/>
        <w:ind w:left="1702" w:right="0" w:hanging="708"/>
        <w:jc w:val="both"/>
      </w:pPr>
      <w:bookmarkStart w:name="_bookmark23" w:id="24"/>
      <w:bookmarkEnd w:id="24"/>
      <w:r>
        <w:rPr>
          <w:b w:val="0"/>
        </w:rPr>
      </w:r>
      <w:r>
        <w:rPr/>
        <w:t>Importancia</w:t>
      </w:r>
      <w:r>
        <w:rPr>
          <w:spacing w:val="-6"/>
        </w:rPr>
        <w:t> </w:t>
      </w:r>
      <w:r>
        <w:rPr/>
        <w:t>de</w:t>
      </w:r>
      <w:r>
        <w:rPr>
          <w:spacing w:val="-1"/>
        </w:rPr>
        <w:t> </w:t>
      </w:r>
      <w:r>
        <w:rPr/>
        <w:t>la</w:t>
      </w:r>
      <w:r>
        <w:rPr>
          <w:spacing w:val="-6"/>
        </w:rPr>
        <w:t> </w:t>
      </w:r>
      <w:r>
        <w:rPr/>
        <w:t>CMI</w:t>
      </w:r>
      <w:r>
        <w:rPr>
          <w:spacing w:val="-7"/>
        </w:rPr>
        <w:t> </w:t>
      </w:r>
      <w:r>
        <w:rPr/>
        <w:t>en</w:t>
      </w:r>
      <w:r>
        <w:rPr>
          <w:spacing w:val="-8"/>
        </w:rPr>
        <w:t> </w:t>
      </w:r>
      <w:r>
        <w:rPr/>
        <w:t>estudios</w:t>
      </w:r>
      <w:r>
        <w:rPr>
          <w:spacing w:val="-2"/>
        </w:rPr>
        <w:t> antimicrobianos</w:t>
      </w:r>
    </w:p>
    <w:p>
      <w:pPr>
        <w:pStyle w:val="BodyText"/>
        <w:spacing w:before="104"/>
        <w:rPr>
          <w:b/>
        </w:rPr>
      </w:pPr>
    </w:p>
    <w:p>
      <w:pPr>
        <w:pStyle w:val="BodyText"/>
        <w:spacing w:line="360" w:lineRule="auto"/>
        <w:ind w:left="994" w:right="705"/>
        <w:jc w:val="both"/>
      </w:pPr>
      <w:r>
        <w:rPr/>
        <w:t>En definitiva, la CMI provee un medio invaluable para cuantificar y discernir la eficacia genuina de agentes antimicrobianos, ya sean estos de naturaleza farmacológica consolidada o derivados de fuentes naturales con potencial terapéutico. Su uso se encuentra estandarizado por organismos internacionales como el Clinical and Laboratory Standards Institute (CLSI) y el European Committee on Antimicrobial Susceptibility Testing (EUCAST). Estas entidades definen</w:t>
      </w:r>
      <w:r>
        <w:rPr>
          <w:spacing w:val="-12"/>
        </w:rPr>
        <w:t> </w:t>
      </w:r>
      <w:r>
        <w:rPr/>
        <w:t>parámetros</w:t>
      </w:r>
      <w:r>
        <w:rPr>
          <w:spacing w:val="-14"/>
        </w:rPr>
        <w:t> </w:t>
      </w:r>
      <w:r>
        <w:rPr/>
        <w:t>técnicos</w:t>
      </w:r>
      <w:r>
        <w:rPr>
          <w:spacing w:val="-14"/>
        </w:rPr>
        <w:t> </w:t>
      </w:r>
      <w:r>
        <w:rPr/>
        <w:t>para</w:t>
      </w:r>
      <w:r>
        <w:rPr>
          <w:spacing w:val="-11"/>
        </w:rPr>
        <w:t> </w:t>
      </w:r>
      <w:r>
        <w:rPr/>
        <w:t>medirla</w:t>
      </w:r>
      <w:r>
        <w:rPr>
          <w:spacing w:val="-11"/>
        </w:rPr>
        <w:t> </w:t>
      </w:r>
      <w:r>
        <w:rPr/>
        <w:t>mediante</w:t>
      </w:r>
      <w:r>
        <w:rPr>
          <w:spacing w:val="-11"/>
        </w:rPr>
        <w:t> </w:t>
      </w:r>
      <w:r>
        <w:rPr/>
        <w:t>métodos</w:t>
      </w:r>
      <w:r>
        <w:rPr>
          <w:spacing w:val="-11"/>
        </w:rPr>
        <w:t> </w:t>
      </w:r>
      <w:r>
        <w:rPr/>
        <w:t>como</w:t>
      </w:r>
      <w:r>
        <w:rPr>
          <w:spacing w:val="-12"/>
        </w:rPr>
        <w:t> </w:t>
      </w:r>
      <w:r>
        <w:rPr/>
        <w:t>la</w:t>
      </w:r>
      <w:r>
        <w:rPr>
          <w:spacing w:val="-15"/>
        </w:rPr>
        <w:t> </w:t>
      </w:r>
      <w:r>
        <w:rPr/>
        <w:t>microdilución en caldo (CLSI, 2020; EUCAST, 2023).</w:t>
      </w:r>
    </w:p>
    <w:p>
      <w:pPr>
        <w:pStyle w:val="BodyText"/>
        <w:spacing w:before="162"/>
        <w:ind w:left="994"/>
        <w:jc w:val="both"/>
      </w:pPr>
      <w:r>
        <w:rPr/>
        <w:t>El CMI</w:t>
      </w:r>
      <w:r>
        <w:rPr>
          <w:spacing w:val="-1"/>
        </w:rPr>
        <w:t> </w:t>
      </w:r>
      <w:r>
        <w:rPr>
          <w:spacing w:val="-2"/>
        </w:rPr>
        <w:t>permitirá:</w:t>
      </w:r>
    </w:p>
    <w:p>
      <w:pPr>
        <w:pStyle w:val="BodyText"/>
        <w:spacing w:before="235"/>
      </w:pPr>
    </w:p>
    <w:p>
      <w:pPr>
        <w:pStyle w:val="ListParagraph"/>
        <w:numPr>
          <w:ilvl w:val="3"/>
          <w:numId w:val="9"/>
        </w:numPr>
        <w:tabs>
          <w:tab w:pos="1713" w:val="left" w:leader="none"/>
        </w:tabs>
        <w:spacing w:line="240" w:lineRule="auto" w:before="0" w:after="0"/>
        <w:ind w:left="1713" w:right="0" w:hanging="360"/>
        <w:jc w:val="left"/>
        <w:rPr>
          <w:sz w:val="24"/>
        </w:rPr>
      </w:pPr>
      <w:r>
        <w:rPr>
          <w:sz w:val="24"/>
        </w:rPr>
        <w:t>Cuantificar</w:t>
      </w:r>
      <w:r>
        <w:rPr>
          <w:spacing w:val="-6"/>
          <w:sz w:val="24"/>
        </w:rPr>
        <w:t> </w:t>
      </w:r>
      <w:r>
        <w:rPr>
          <w:sz w:val="24"/>
        </w:rPr>
        <w:t>la</w:t>
      </w:r>
      <w:r>
        <w:rPr>
          <w:spacing w:val="-1"/>
          <w:sz w:val="24"/>
        </w:rPr>
        <w:t> </w:t>
      </w:r>
      <w:r>
        <w:rPr>
          <w:sz w:val="24"/>
        </w:rPr>
        <w:t>actividad</w:t>
      </w:r>
      <w:r>
        <w:rPr>
          <w:spacing w:val="-6"/>
          <w:sz w:val="24"/>
        </w:rPr>
        <w:t> </w:t>
      </w:r>
      <w:r>
        <w:rPr>
          <w:sz w:val="24"/>
        </w:rPr>
        <w:t>antimicrobiana</w:t>
      </w:r>
      <w:r>
        <w:rPr>
          <w:spacing w:val="1"/>
          <w:sz w:val="24"/>
        </w:rPr>
        <w:t> </w:t>
      </w:r>
      <w:r>
        <w:rPr>
          <w:sz w:val="24"/>
        </w:rPr>
        <w:t>del</w:t>
      </w:r>
      <w:r>
        <w:rPr>
          <w:spacing w:val="-1"/>
          <w:sz w:val="24"/>
        </w:rPr>
        <w:t> </w:t>
      </w:r>
      <w:r>
        <w:rPr>
          <w:spacing w:val="-4"/>
          <w:sz w:val="24"/>
        </w:rPr>
        <w:t>CBD.</w:t>
      </w:r>
    </w:p>
    <w:p>
      <w:pPr>
        <w:pStyle w:val="BodyText"/>
        <w:spacing w:before="1"/>
      </w:pPr>
    </w:p>
    <w:p>
      <w:pPr>
        <w:pStyle w:val="ListParagraph"/>
        <w:numPr>
          <w:ilvl w:val="3"/>
          <w:numId w:val="9"/>
        </w:numPr>
        <w:tabs>
          <w:tab w:pos="1713" w:val="left" w:leader="none"/>
        </w:tabs>
        <w:spacing w:line="240" w:lineRule="auto" w:before="1" w:after="0"/>
        <w:ind w:left="1713" w:right="0" w:hanging="360"/>
        <w:jc w:val="left"/>
        <w:rPr>
          <w:sz w:val="24"/>
        </w:rPr>
      </w:pPr>
      <w:r>
        <w:rPr>
          <w:sz w:val="24"/>
        </w:rPr>
        <w:t>Explorar</w:t>
      </w:r>
      <w:r>
        <w:rPr>
          <w:spacing w:val="-4"/>
          <w:sz w:val="24"/>
        </w:rPr>
        <w:t> </w:t>
      </w:r>
      <w:r>
        <w:rPr>
          <w:sz w:val="24"/>
        </w:rPr>
        <w:t>la reactividad</w:t>
      </w:r>
      <w:r>
        <w:rPr>
          <w:spacing w:val="-1"/>
          <w:sz w:val="24"/>
        </w:rPr>
        <w:t> </w:t>
      </w:r>
      <w:r>
        <w:rPr>
          <w:sz w:val="24"/>
        </w:rPr>
        <w:t>de MRSA</w:t>
      </w:r>
      <w:r>
        <w:rPr>
          <w:spacing w:val="-3"/>
          <w:sz w:val="24"/>
        </w:rPr>
        <w:t> </w:t>
      </w:r>
      <w:r>
        <w:rPr>
          <w:sz w:val="24"/>
        </w:rPr>
        <w:t>frente a</w:t>
      </w:r>
      <w:r>
        <w:rPr>
          <w:spacing w:val="-4"/>
          <w:sz w:val="24"/>
        </w:rPr>
        <w:t> </w:t>
      </w:r>
      <w:r>
        <w:rPr>
          <w:sz w:val="24"/>
        </w:rPr>
        <w:t>diversas</w:t>
      </w:r>
      <w:r>
        <w:rPr>
          <w:spacing w:val="-3"/>
          <w:sz w:val="24"/>
        </w:rPr>
        <w:t> </w:t>
      </w:r>
      <w:r>
        <w:rPr>
          <w:sz w:val="24"/>
        </w:rPr>
        <w:t>terapias</w:t>
      </w:r>
      <w:r>
        <w:rPr>
          <w:spacing w:val="-2"/>
          <w:sz w:val="24"/>
        </w:rPr>
        <w:t> antibióticas.</w:t>
      </w:r>
    </w:p>
    <w:p>
      <w:pPr>
        <w:pStyle w:val="ListParagraph"/>
        <w:numPr>
          <w:ilvl w:val="3"/>
          <w:numId w:val="9"/>
        </w:numPr>
        <w:tabs>
          <w:tab w:pos="1713" w:val="left" w:leader="none"/>
        </w:tabs>
        <w:spacing w:line="240" w:lineRule="auto" w:before="269" w:after="0"/>
        <w:ind w:left="1713" w:right="0" w:hanging="360"/>
        <w:jc w:val="left"/>
        <w:rPr>
          <w:sz w:val="24"/>
        </w:rPr>
      </w:pPr>
      <w:r>
        <w:rPr>
          <w:sz w:val="24"/>
        </w:rPr>
        <w:t>Investigar</w:t>
      </w:r>
      <w:r>
        <w:rPr>
          <w:spacing w:val="-2"/>
          <w:sz w:val="24"/>
        </w:rPr>
        <w:t> </w:t>
      </w:r>
      <w:r>
        <w:rPr>
          <w:sz w:val="24"/>
        </w:rPr>
        <w:t>si</w:t>
      </w:r>
      <w:r>
        <w:rPr>
          <w:spacing w:val="-1"/>
          <w:sz w:val="24"/>
        </w:rPr>
        <w:t> </w:t>
      </w:r>
      <w:r>
        <w:rPr>
          <w:sz w:val="24"/>
        </w:rPr>
        <w:t>el CBD</w:t>
      </w:r>
      <w:r>
        <w:rPr>
          <w:spacing w:val="-4"/>
          <w:sz w:val="24"/>
        </w:rPr>
        <w:t> </w:t>
      </w:r>
      <w:r>
        <w:rPr>
          <w:sz w:val="24"/>
        </w:rPr>
        <w:t>potentia la</w:t>
      </w:r>
      <w:r>
        <w:rPr>
          <w:spacing w:val="-1"/>
          <w:sz w:val="24"/>
        </w:rPr>
        <w:t> </w:t>
      </w:r>
      <w:r>
        <w:rPr>
          <w:sz w:val="24"/>
        </w:rPr>
        <w:t>supresión</w:t>
      </w:r>
      <w:r>
        <w:rPr>
          <w:spacing w:val="-6"/>
          <w:sz w:val="24"/>
        </w:rPr>
        <w:t> </w:t>
      </w:r>
      <w:r>
        <w:rPr>
          <w:sz w:val="24"/>
        </w:rPr>
        <w:t>antibiótica reduciendo</w:t>
      </w:r>
      <w:r>
        <w:rPr>
          <w:spacing w:val="-2"/>
          <w:sz w:val="24"/>
        </w:rPr>
        <w:t> </w:t>
      </w:r>
      <w:r>
        <w:rPr>
          <w:sz w:val="24"/>
        </w:rPr>
        <w:t>su</w:t>
      </w:r>
      <w:r>
        <w:rPr>
          <w:spacing w:val="-1"/>
          <w:sz w:val="24"/>
        </w:rPr>
        <w:t> </w:t>
      </w:r>
      <w:r>
        <w:rPr>
          <w:spacing w:val="-4"/>
          <w:sz w:val="24"/>
        </w:rPr>
        <w:t>MIC.</w:t>
      </w:r>
    </w:p>
    <w:p>
      <w:pPr>
        <w:pStyle w:val="BodyText"/>
        <w:spacing w:before="3"/>
      </w:pPr>
    </w:p>
    <w:p>
      <w:pPr>
        <w:pStyle w:val="ListParagraph"/>
        <w:numPr>
          <w:ilvl w:val="3"/>
          <w:numId w:val="9"/>
        </w:numPr>
        <w:tabs>
          <w:tab w:pos="1712" w:val="left" w:leader="none"/>
        </w:tabs>
        <w:spacing w:line="240" w:lineRule="auto" w:before="0" w:after="0"/>
        <w:ind w:left="1712" w:right="0" w:hanging="359"/>
        <w:jc w:val="both"/>
        <w:rPr>
          <w:sz w:val="24"/>
        </w:rPr>
      </w:pPr>
      <w:r>
        <w:rPr>
          <w:sz w:val="24"/>
        </w:rPr>
        <w:t>Cuantificar</w:t>
      </w:r>
      <w:r>
        <w:rPr>
          <w:spacing w:val="-2"/>
          <w:sz w:val="24"/>
        </w:rPr>
        <w:t> </w:t>
      </w:r>
      <w:r>
        <w:rPr>
          <w:sz w:val="24"/>
        </w:rPr>
        <w:t>la sinergia</w:t>
      </w:r>
      <w:r>
        <w:rPr>
          <w:spacing w:val="-1"/>
          <w:sz w:val="24"/>
        </w:rPr>
        <w:t> </w:t>
      </w:r>
      <w:r>
        <w:rPr>
          <w:sz w:val="24"/>
        </w:rPr>
        <w:t>CBD-antibiótico</w:t>
      </w:r>
      <w:r>
        <w:rPr>
          <w:spacing w:val="-1"/>
          <w:sz w:val="24"/>
        </w:rPr>
        <w:t> </w:t>
      </w:r>
      <w:r>
        <w:rPr>
          <w:sz w:val="24"/>
        </w:rPr>
        <w:t>a</w:t>
      </w:r>
      <w:r>
        <w:rPr>
          <w:spacing w:val="-4"/>
          <w:sz w:val="24"/>
        </w:rPr>
        <w:t> </w:t>
      </w:r>
      <w:r>
        <w:rPr>
          <w:sz w:val="24"/>
        </w:rPr>
        <w:t>través</w:t>
      </w:r>
      <w:r>
        <w:rPr>
          <w:spacing w:val="-4"/>
          <w:sz w:val="24"/>
        </w:rPr>
        <w:t> </w:t>
      </w:r>
      <w:r>
        <w:rPr>
          <w:sz w:val="24"/>
        </w:rPr>
        <w:t>del índice </w:t>
      </w:r>
      <w:r>
        <w:rPr>
          <w:spacing w:val="-4"/>
          <w:sz w:val="24"/>
        </w:rPr>
        <w:t>FIC.</w:t>
      </w:r>
    </w:p>
    <w:p>
      <w:pPr>
        <w:pStyle w:val="ListParagraph"/>
        <w:numPr>
          <w:ilvl w:val="3"/>
          <w:numId w:val="9"/>
        </w:numPr>
        <w:tabs>
          <w:tab w:pos="1713" w:val="left" w:leader="none"/>
        </w:tabs>
        <w:spacing w:line="456" w:lineRule="auto" w:before="270" w:after="0"/>
        <w:ind w:left="1713" w:right="1830" w:hanging="360"/>
        <w:jc w:val="both"/>
        <w:rPr>
          <w:sz w:val="24"/>
        </w:rPr>
      </w:pPr>
      <w:r>
        <w:rPr>
          <w:sz w:val="24"/>
        </w:rPr>
        <w:t>Proporcionar</w:t>
      </w:r>
      <w:r>
        <w:rPr>
          <w:spacing w:val="-4"/>
          <w:sz w:val="24"/>
        </w:rPr>
        <w:t> </w:t>
      </w:r>
      <w:r>
        <w:rPr>
          <w:sz w:val="24"/>
        </w:rPr>
        <w:t>datos</w:t>
      </w:r>
      <w:r>
        <w:rPr>
          <w:spacing w:val="-6"/>
          <w:sz w:val="24"/>
        </w:rPr>
        <w:t> </w:t>
      </w:r>
      <w:r>
        <w:rPr>
          <w:sz w:val="24"/>
        </w:rPr>
        <w:t>científicos</w:t>
      </w:r>
      <w:r>
        <w:rPr>
          <w:spacing w:val="-6"/>
          <w:sz w:val="24"/>
        </w:rPr>
        <w:t> </w:t>
      </w:r>
      <w:r>
        <w:rPr>
          <w:sz w:val="24"/>
        </w:rPr>
        <w:t>que</w:t>
      </w:r>
      <w:r>
        <w:rPr>
          <w:spacing w:val="-3"/>
          <w:sz w:val="24"/>
        </w:rPr>
        <w:t> </w:t>
      </w:r>
      <w:r>
        <w:rPr>
          <w:sz w:val="24"/>
        </w:rPr>
        <w:t>respalden</w:t>
      </w:r>
      <w:r>
        <w:rPr>
          <w:spacing w:val="-4"/>
          <w:sz w:val="24"/>
        </w:rPr>
        <w:t> </w:t>
      </w:r>
      <w:r>
        <w:rPr>
          <w:sz w:val="24"/>
        </w:rPr>
        <w:t>el</w:t>
      </w:r>
      <w:r>
        <w:rPr>
          <w:spacing w:val="-3"/>
          <w:sz w:val="24"/>
        </w:rPr>
        <w:t> </w:t>
      </w:r>
      <w:r>
        <w:rPr>
          <w:sz w:val="24"/>
        </w:rPr>
        <w:t>uso</w:t>
      </w:r>
      <w:r>
        <w:rPr>
          <w:spacing w:val="-4"/>
          <w:sz w:val="24"/>
        </w:rPr>
        <w:t> </w:t>
      </w:r>
      <w:r>
        <w:rPr>
          <w:sz w:val="24"/>
        </w:rPr>
        <w:t>del</w:t>
      </w:r>
      <w:r>
        <w:rPr>
          <w:spacing w:val="-3"/>
          <w:sz w:val="24"/>
        </w:rPr>
        <w:t> </w:t>
      </w:r>
      <w:r>
        <w:rPr>
          <w:sz w:val="24"/>
        </w:rPr>
        <w:t>CBD</w:t>
      </w:r>
      <w:r>
        <w:rPr>
          <w:spacing w:val="-6"/>
          <w:sz w:val="24"/>
        </w:rPr>
        <w:t> </w:t>
      </w:r>
      <w:r>
        <w:rPr>
          <w:sz w:val="24"/>
        </w:rPr>
        <w:t>en infecciones resistentes.</w:t>
      </w:r>
    </w:p>
    <w:p>
      <w:pPr>
        <w:pStyle w:val="BodyText"/>
        <w:spacing w:line="357" w:lineRule="auto" w:before="231"/>
        <w:ind w:left="994" w:right="712"/>
        <w:jc w:val="both"/>
      </w:pPr>
      <w:r>
        <w:rPr/>
        <w:t>Recientemente,</w:t>
      </w:r>
      <w:r>
        <w:rPr>
          <w:spacing w:val="-5"/>
        </w:rPr>
        <w:t> </w:t>
      </w:r>
      <w:r>
        <w:rPr/>
        <w:t>la</w:t>
      </w:r>
      <w:r>
        <w:rPr>
          <w:spacing w:val="-4"/>
        </w:rPr>
        <w:t> </w:t>
      </w:r>
      <w:r>
        <w:rPr/>
        <w:t>MIC</w:t>
      </w:r>
      <w:r>
        <w:rPr>
          <w:spacing w:val="-5"/>
        </w:rPr>
        <w:t> </w:t>
      </w:r>
      <w:r>
        <w:rPr/>
        <w:t>ha</w:t>
      </w:r>
      <w:r>
        <w:rPr>
          <w:spacing w:val="-4"/>
        </w:rPr>
        <w:t> </w:t>
      </w:r>
      <w:r>
        <w:rPr/>
        <w:t>sido</w:t>
      </w:r>
      <w:r>
        <w:rPr>
          <w:spacing w:val="-5"/>
        </w:rPr>
        <w:t> </w:t>
      </w:r>
      <w:r>
        <w:rPr/>
        <w:t>utilizada</w:t>
      </w:r>
      <w:r>
        <w:rPr>
          <w:spacing w:val="-4"/>
        </w:rPr>
        <w:t> </w:t>
      </w:r>
      <w:r>
        <w:rPr/>
        <w:t>para</w:t>
      </w:r>
      <w:r>
        <w:rPr>
          <w:spacing w:val="-4"/>
        </w:rPr>
        <w:t> </w:t>
      </w:r>
      <w:r>
        <w:rPr/>
        <w:t>evaluar</w:t>
      </w:r>
      <w:r>
        <w:rPr>
          <w:spacing w:val="-8"/>
        </w:rPr>
        <w:t> </w:t>
      </w:r>
      <w:r>
        <w:rPr/>
        <w:t>compuestos</w:t>
      </w:r>
      <w:r>
        <w:rPr>
          <w:spacing w:val="-7"/>
        </w:rPr>
        <w:t> </w:t>
      </w:r>
      <w:r>
        <w:rPr/>
        <w:t>novedosos,</w:t>
      </w:r>
      <w:r>
        <w:rPr>
          <w:spacing w:val="-5"/>
        </w:rPr>
        <w:t> </w:t>
      </w:r>
      <w:r>
        <w:rPr/>
        <w:t>tales como cannabinoides, aceites esenciales y extractos de origen natural, gracias a su habilidad</w:t>
      </w:r>
      <w:r>
        <w:rPr>
          <w:spacing w:val="51"/>
        </w:rPr>
        <w:t> </w:t>
      </w:r>
      <w:r>
        <w:rPr/>
        <w:t>de</w:t>
      </w:r>
      <w:r>
        <w:rPr>
          <w:spacing w:val="52"/>
        </w:rPr>
        <w:t> </w:t>
      </w:r>
      <w:r>
        <w:rPr/>
        <w:t>modular</w:t>
      </w:r>
      <w:r>
        <w:rPr>
          <w:spacing w:val="54"/>
        </w:rPr>
        <w:t> </w:t>
      </w:r>
      <w:r>
        <w:rPr/>
        <w:t>o</w:t>
      </w:r>
      <w:r>
        <w:rPr>
          <w:spacing w:val="50"/>
        </w:rPr>
        <w:t> </w:t>
      </w:r>
      <w:r>
        <w:rPr/>
        <w:t>amplificar</w:t>
      </w:r>
      <w:r>
        <w:rPr>
          <w:spacing w:val="50"/>
        </w:rPr>
        <w:t> </w:t>
      </w:r>
      <w:r>
        <w:rPr/>
        <w:t>la</w:t>
      </w:r>
      <w:r>
        <w:rPr>
          <w:spacing w:val="51"/>
        </w:rPr>
        <w:t> </w:t>
      </w:r>
      <w:r>
        <w:rPr/>
        <w:t>efectividad</w:t>
      </w:r>
      <w:r>
        <w:rPr>
          <w:spacing w:val="54"/>
        </w:rPr>
        <w:t> </w:t>
      </w:r>
      <w:r>
        <w:rPr/>
        <w:t>de</w:t>
      </w:r>
      <w:r>
        <w:rPr>
          <w:spacing w:val="52"/>
        </w:rPr>
        <w:t> </w:t>
      </w:r>
      <w:r>
        <w:rPr/>
        <w:t>antibióticos</w:t>
      </w:r>
      <w:r>
        <w:rPr>
          <w:spacing w:val="53"/>
        </w:rPr>
        <w:t> </w:t>
      </w:r>
      <w:r>
        <w:rPr/>
        <w:t>ya</w:t>
      </w:r>
      <w:r>
        <w:rPr>
          <w:spacing w:val="52"/>
        </w:rPr>
        <w:t> </w:t>
      </w:r>
      <w:r>
        <w:rPr>
          <w:spacing w:val="-2"/>
        </w:rPr>
        <w:t>existentes</w:t>
      </w:r>
    </w:p>
    <w:p>
      <w:pPr>
        <w:pStyle w:val="BodyText"/>
        <w:spacing w:after="0" w:line="357" w:lineRule="auto"/>
        <w:jc w:val="both"/>
        <w:sectPr>
          <w:pgSz w:w="11900" w:h="16840"/>
          <w:pgMar w:top="1580" w:bottom="280" w:left="1275" w:right="992"/>
        </w:sectPr>
      </w:pPr>
    </w:p>
    <w:p>
      <w:pPr>
        <w:pStyle w:val="BodyText"/>
        <w:spacing w:before="60"/>
        <w:ind w:left="994"/>
        <w:jc w:val="both"/>
      </w:pPr>
      <w:r>
        <w:rPr/>
        <w:t>(Blaskovich et</w:t>
      </w:r>
      <w:r>
        <w:rPr>
          <w:spacing w:val="1"/>
        </w:rPr>
        <w:t> </w:t>
      </w:r>
      <w:r>
        <w:rPr/>
        <w:t>al.,</w:t>
      </w:r>
      <w:r>
        <w:rPr>
          <w:spacing w:val="1"/>
        </w:rPr>
        <w:t> </w:t>
      </w:r>
      <w:r>
        <w:rPr>
          <w:spacing w:val="-2"/>
        </w:rPr>
        <w:t>2021).</w:t>
      </w:r>
    </w:p>
    <w:p>
      <w:pPr>
        <w:pStyle w:val="BodyText"/>
        <w:spacing w:before="20"/>
      </w:pPr>
    </w:p>
    <w:p>
      <w:pPr>
        <w:pStyle w:val="Heading3"/>
        <w:numPr>
          <w:ilvl w:val="2"/>
          <w:numId w:val="9"/>
        </w:numPr>
        <w:tabs>
          <w:tab w:pos="1426" w:val="left" w:leader="none"/>
          <w:tab w:pos="1702" w:val="left" w:leader="none"/>
        </w:tabs>
        <w:spacing w:line="357" w:lineRule="auto" w:before="0" w:after="0"/>
        <w:ind w:left="1426" w:right="709" w:hanging="432"/>
        <w:jc w:val="left"/>
      </w:pPr>
      <w:bookmarkStart w:name="_bookmark24" w:id="25"/>
      <w:bookmarkEnd w:id="25"/>
      <w:r>
        <w:rPr>
          <w:b w:val="0"/>
        </w:rPr>
      </w:r>
      <w:r>
        <w:rPr/>
        <w:t>Mecanismo</w:t>
      </w:r>
      <w:r>
        <w:rPr>
          <w:spacing w:val="40"/>
        </w:rPr>
        <w:t> </w:t>
      </w:r>
      <w:r>
        <w:rPr/>
        <w:t>de</w:t>
      </w:r>
      <w:r>
        <w:rPr>
          <w:spacing w:val="40"/>
        </w:rPr>
        <w:t> </w:t>
      </w:r>
      <w:r>
        <w:rPr/>
        <w:t>acción</w:t>
      </w:r>
      <w:r>
        <w:rPr>
          <w:spacing w:val="40"/>
        </w:rPr>
        <w:t> </w:t>
      </w:r>
      <w:r>
        <w:rPr/>
        <w:t>del</w:t>
      </w:r>
      <w:r>
        <w:rPr>
          <w:spacing w:val="40"/>
        </w:rPr>
        <w:t> </w:t>
      </w:r>
      <w:r>
        <w:rPr/>
        <w:t>CMI:</w:t>
      </w:r>
      <w:r>
        <w:rPr>
          <w:spacing w:val="40"/>
        </w:rPr>
        <w:t> </w:t>
      </w:r>
      <w:r>
        <w:rPr/>
        <w:t>cómo</w:t>
      </w:r>
      <w:r>
        <w:rPr>
          <w:spacing w:val="40"/>
        </w:rPr>
        <w:t> </w:t>
      </w:r>
      <w:r>
        <w:rPr/>
        <w:t>un</w:t>
      </w:r>
      <w:r>
        <w:rPr>
          <w:spacing w:val="40"/>
        </w:rPr>
        <w:t> </w:t>
      </w:r>
      <w:r>
        <w:rPr/>
        <w:t>antimicrobiano</w:t>
      </w:r>
      <w:r>
        <w:rPr>
          <w:spacing w:val="40"/>
        </w:rPr>
        <w:t> </w:t>
      </w:r>
      <w:r>
        <w:rPr/>
        <w:t>inhibe</w:t>
      </w:r>
      <w:r>
        <w:rPr>
          <w:spacing w:val="40"/>
        </w:rPr>
        <w:t> </w:t>
      </w:r>
      <w:r>
        <w:rPr/>
        <w:t>el crecimiento bacteriano</w:t>
      </w:r>
    </w:p>
    <w:p>
      <w:pPr>
        <w:pStyle w:val="BodyText"/>
        <w:spacing w:line="357" w:lineRule="auto" w:before="250"/>
        <w:ind w:left="994" w:right="714"/>
        <w:jc w:val="both"/>
      </w:pPr>
      <w:r>
        <w:rPr/>
        <w:t>Para que un MIC sea eficaz, los compuestos antimicrobianos han de interferir con procesos vitales de la bacteria. Dentro de los mecanismos preponderantes, se </w:t>
      </w:r>
      <w:r>
        <w:rPr>
          <w:spacing w:val="-2"/>
        </w:rPr>
        <w:t>incluyen:</w:t>
      </w:r>
    </w:p>
    <w:p>
      <w:pPr>
        <w:pStyle w:val="Heading3"/>
        <w:spacing w:before="163"/>
      </w:pPr>
      <w:r>
        <w:rPr/>
        <w:t>Alteración</w:t>
      </w:r>
      <w:r>
        <w:rPr>
          <w:spacing w:val="-6"/>
        </w:rPr>
        <w:t> </w:t>
      </w:r>
      <w:r>
        <w:rPr/>
        <w:t>de</w:t>
      </w:r>
      <w:r>
        <w:rPr>
          <w:spacing w:val="-4"/>
        </w:rPr>
        <w:t> </w:t>
      </w:r>
      <w:r>
        <w:rPr/>
        <w:t>la</w:t>
      </w:r>
      <w:r>
        <w:rPr>
          <w:spacing w:val="-5"/>
        </w:rPr>
        <w:t> </w:t>
      </w:r>
      <w:r>
        <w:rPr/>
        <w:t>membrana</w:t>
      </w:r>
      <w:r>
        <w:rPr>
          <w:spacing w:val="1"/>
        </w:rPr>
        <w:t> </w:t>
      </w:r>
      <w:r>
        <w:rPr>
          <w:spacing w:val="-2"/>
        </w:rPr>
        <w:t>celular</w:t>
      </w:r>
    </w:p>
    <w:p>
      <w:pPr>
        <w:pStyle w:val="BodyText"/>
        <w:spacing w:before="28"/>
        <w:rPr>
          <w:b/>
        </w:rPr>
      </w:pPr>
    </w:p>
    <w:p>
      <w:pPr>
        <w:pStyle w:val="BodyText"/>
        <w:spacing w:line="360" w:lineRule="auto"/>
        <w:ind w:left="994" w:right="707"/>
        <w:jc w:val="both"/>
      </w:pPr>
      <w:r>
        <w:rPr/>
        <w:t>Determinados compuestos, ejemplificado por el cannabidiol (CBD), interactúan con las bacterias mediante la desestabilización de su membrana, incrementando la permeabilidad y promoviendo la liberación de contenidos intracelulares (Wassmann</w:t>
      </w:r>
      <w:r>
        <w:rPr>
          <w:spacing w:val="-15"/>
        </w:rPr>
        <w:t> </w:t>
      </w:r>
      <w:r>
        <w:rPr/>
        <w:t>et</w:t>
      </w:r>
      <w:r>
        <w:rPr>
          <w:spacing w:val="-15"/>
        </w:rPr>
        <w:t> </w:t>
      </w:r>
      <w:r>
        <w:rPr/>
        <w:t>al.,</w:t>
      </w:r>
      <w:r>
        <w:rPr>
          <w:spacing w:val="-15"/>
        </w:rPr>
        <w:t> </w:t>
      </w:r>
      <w:r>
        <w:rPr/>
        <w:t>2020).</w:t>
      </w:r>
      <w:r>
        <w:rPr>
          <w:spacing w:val="-15"/>
        </w:rPr>
        <w:t> </w:t>
      </w:r>
      <w:r>
        <w:rPr/>
        <w:t>Dicha</w:t>
      </w:r>
      <w:r>
        <w:rPr>
          <w:spacing w:val="-15"/>
        </w:rPr>
        <w:t> </w:t>
      </w:r>
      <w:r>
        <w:rPr/>
        <w:t>alteración</w:t>
      </w:r>
      <w:r>
        <w:rPr>
          <w:spacing w:val="-15"/>
        </w:rPr>
        <w:t> </w:t>
      </w:r>
      <w:r>
        <w:rPr/>
        <w:t>compromete</w:t>
      </w:r>
      <w:r>
        <w:rPr>
          <w:spacing w:val="-15"/>
        </w:rPr>
        <w:t> </w:t>
      </w:r>
      <w:r>
        <w:rPr/>
        <w:t>la</w:t>
      </w:r>
      <w:r>
        <w:rPr>
          <w:spacing w:val="-15"/>
        </w:rPr>
        <w:t> </w:t>
      </w:r>
      <w:r>
        <w:rPr/>
        <w:t>viabilidad</w:t>
      </w:r>
      <w:r>
        <w:rPr>
          <w:spacing w:val="-15"/>
        </w:rPr>
        <w:t> </w:t>
      </w:r>
      <w:r>
        <w:rPr/>
        <w:t>celular</w:t>
      </w:r>
      <w:r>
        <w:rPr>
          <w:spacing w:val="-15"/>
        </w:rPr>
        <w:t> </w:t>
      </w:r>
      <w:r>
        <w:rPr/>
        <w:t>y</w:t>
      </w:r>
      <w:r>
        <w:rPr>
          <w:spacing w:val="-15"/>
        </w:rPr>
        <w:t> </w:t>
      </w:r>
      <w:r>
        <w:rPr/>
        <w:t>puede potenciar el impacto de otros agentes antimicrobianos.</w:t>
      </w:r>
    </w:p>
    <w:p>
      <w:pPr>
        <w:pStyle w:val="Heading3"/>
        <w:spacing w:before="154"/>
      </w:pPr>
      <w:r>
        <w:rPr/>
        <w:t>Inhibición</w:t>
      </w:r>
      <w:r>
        <w:rPr>
          <w:spacing w:val="-7"/>
        </w:rPr>
        <w:t> </w:t>
      </w:r>
      <w:r>
        <w:rPr/>
        <w:t>de</w:t>
      </w:r>
      <w:r>
        <w:rPr>
          <w:spacing w:val="-5"/>
        </w:rPr>
        <w:t> </w:t>
      </w:r>
      <w:r>
        <w:rPr/>
        <w:t>la</w:t>
      </w:r>
      <w:r>
        <w:rPr>
          <w:spacing w:val="-6"/>
        </w:rPr>
        <w:t> </w:t>
      </w:r>
      <w:r>
        <w:rPr/>
        <w:t>síntesis</w:t>
      </w:r>
      <w:r>
        <w:rPr>
          <w:spacing w:val="-3"/>
        </w:rPr>
        <w:t> </w:t>
      </w:r>
      <w:r>
        <w:rPr/>
        <w:t>de</w:t>
      </w:r>
      <w:r>
        <w:rPr>
          <w:spacing w:val="-5"/>
        </w:rPr>
        <w:t> </w:t>
      </w:r>
      <w:r>
        <w:rPr/>
        <w:t>pared</w:t>
      </w:r>
      <w:r>
        <w:rPr>
          <w:spacing w:val="-3"/>
        </w:rPr>
        <w:t> </w:t>
      </w:r>
      <w:r>
        <w:rPr>
          <w:spacing w:val="-2"/>
        </w:rPr>
        <w:t>bacteriana</w:t>
      </w:r>
    </w:p>
    <w:p>
      <w:pPr>
        <w:pStyle w:val="BodyText"/>
        <w:spacing w:before="25"/>
        <w:rPr>
          <w:b/>
        </w:rPr>
      </w:pPr>
    </w:p>
    <w:p>
      <w:pPr>
        <w:pStyle w:val="BodyText"/>
        <w:spacing w:line="360" w:lineRule="auto"/>
        <w:ind w:left="994" w:right="699"/>
        <w:jc w:val="both"/>
      </w:pPr>
      <w:r>
        <w:rPr/>
        <w:t>Los antibióticos de la clase beta-lactámicos, incluyendo la amoxicilina y la cefalexina, actúan inhibiendo las proteínas de unión a penicilina (PBP). Mediante esta acción impiden la genesis del peptidoglicano y fragilizan el muro bacteriano (Turner et al. , 2022).</w:t>
      </w:r>
    </w:p>
    <w:p>
      <w:pPr>
        <w:pStyle w:val="BodyText"/>
        <w:spacing w:before="120"/>
      </w:pPr>
    </w:p>
    <w:p>
      <w:pPr>
        <w:pStyle w:val="Heading3"/>
      </w:pPr>
      <w:r>
        <w:rPr/>
        <w:t>Inhibición</w:t>
      </w:r>
      <w:r>
        <w:rPr>
          <w:spacing w:val="-11"/>
        </w:rPr>
        <w:t> </w:t>
      </w:r>
      <w:r>
        <w:rPr/>
        <w:t>de la</w:t>
      </w:r>
      <w:r>
        <w:rPr>
          <w:spacing w:val="-6"/>
        </w:rPr>
        <w:t> </w:t>
      </w:r>
      <w:r>
        <w:rPr/>
        <w:t>replicación</w:t>
      </w:r>
      <w:r>
        <w:rPr>
          <w:spacing w:val="-5"/>
        </w:rPr>
        <w:t> </w:t>
      </w:r>
      <w:r>
        <w:rPr/>
        <w:t>del</w:t>
      </w:r>
      <w:r>
        <w:rPr>
          <w:spacing w:val="-12"/>
        </w:rPr>
        <w:t> </w:t>
      </w:r>
      <w:r>
        <w:rPr>
          <w:spacing w:val="-5"/>
        </w:rPr>
        <w:t>ADN</w:t>
      </w:r>
    </w:p>
    <w:p>
      <w:pPr>
        <w:pStyle w:val="BodyText"/>
        <w:spacing w:before="25"/>
        <w:rPr>
          <w:b/>
        </w:rPr>
      </w:pPr>
    </w:p>
    <w:p>
      <w:pPr>
        <w:pStyle w:val="BodyText"/>
        <w:spacing w:line="360" w:lineRule="auto"/>
        <w:ind w:left="994" w:right="718"/>
        <w:jc w:val="both"/>
      </w:pPr>
      <w:r>
        <w:rPr/>
        <w:t>Como miembro de las fluoroquinolonas, la enrofloxacina opera bloqueando la ADN girasa y la topoisomerasa IV, enzimas crucial para la propagación y codificación del ADN de las bacterias (Hooper &amp; Jacoby, 2016).</w:t>
      </w:r>
    </w:p>
    <w:p>
      <w:pPr>
        <w:pStyle w:val="Heading3"/>
        <w:numPr>
          <w:ilvl w:val="2"/>
          <w:numId w:val="9"/>
        </w:numPr>
        <w:tabs>
          <w:tab w:pos="1702" w:val="left" w:leader="none"/>
        </w:tabs>
        <w:spacing w:line="240" w:lineRule="auto" w:before="162" w:after="0"/>
        <w:ind w:left="1702" w:right="0" w:hanging="708"/>
        <w:jc w:val="both"/>
      </w:pPr>
      <w:bookmarkStart w:name="_bookmark25" w:id="26"/>
      <w:bookmarkEnd w:id="26"/>
      <w:r>
        <w:rPr>
          <w:b w:val="0"/>
        </w:rPr>
      </w:r>
      <w:r>
        <w:rPr/>
        <w:t>Relevancia</w:t>
      </w:r>
      <w:r>
        <w:rPr>
          <w:spacing w:val="-1"/>
        </w:rPr>
        <w:t> </w:t>
      </w:r>
      <w:r>
        <w:rPr/>
        <w:t>de</w:t>
      </w:r>
      <w:r>
        <w:rPr>
          <w:spacing w:val="-4"/>
        </w:rPr>
        <w:t> </w:t>
      </w:r>
      <w:r>
        <w:rPr/>
        <w:t>la</w:t>
      </w:r>
      <w:r>
        <w:rPr>
          <w:spacing w:val="-2"/>
        </w:rPr>
        <w:t> </w:t>
      </w:r>
      <w:r>
        <w:rPr/>
        <w:t>CMI</w:t>
      </w:r>
      <w:r>
        <w:rPr>
          <w:spacing w:val="-7"/>
        </w:rPr>
        <w:t> </w:t>
      </w:r>
      <w:r>
        <w:rPr/>
        <w:t>en</w:t>
      </w:r>
      <w:r>
        <w:rPr>
          <w:spacing w:val="-7"/>
        </w:rPr>
        <w:t> </w:t>
      </w:r>
      <w:r>
        <w:rPr/>
        <w:t>el estudio</w:t>
      </w:r>
      <w:r>
        <w:rPr>
          <w:spacing w:val="-4"/>
        </w:rPr>
        <w:t> </w:t>
      </w:r>
      <w:r>
        <w:rPr/>
        <w:t>del</w:t>
      </w:r>
      <w:r>
        <w:rPr>
          <w:spacing w:val="-5"/>
        </w:rPr>
        <w:t> </w:t>
      </w:r>
      <w:r>
        <w:rPr/>
        <w:t>CBD</w:t>
      </w:r>
      <w:r>
        <w:rPr>
          <w:spacing w:val="-7"/>
        </w:rPr>
        <w:t> </w:t>
      </w:r>
      <w:r>
        <w:rPr/>
        <w:t>frente</w:t>
      </w:r>
      <w:r>
        <w:rPr>
          <w:spacing w:val="1"/>
        </w:rPr>
        <w:t> </w:t>
      </w:r>
      <w:r>
        <w:rPr/>
        <w:t>a</w:t>
      </w:r>
      <w:r>
        <w:rPr>
          <w:spacing w:val="-1"/>
        </w:rPr>
        <w:t> </w:t>
      </w:r>
      <w:r>
        <w:rPr>
          <w:spacing w:val="-4"/>
        </w:rPr>
        <w:t>MRSA</w:t>
      </w:r>
    </w:p>
    <w:p>
      <w:pPr>
        <w:pStyle w:val="BodyText"/>
        <w:spacing w:before="104"/>
        <w:rPr>
          <w:b/>
        </w:rPr>
      </w:pPr>
    </w:p>
    <w:p>
      <w:pPr>
        <w:pStyle w:val="BodyText"/>
        <w:spacing w:line="360" w:lineRule="auto"/>
        <w:ind w:left="994" w:right="696"/>
        <w:jc w:val="both"/>
      </w:pPr>
      <w:r>
        <w:rPr/>
        <w:t>El </w:t>
      </w:r>
      <w:r>
        <w:rPr>
          <w:i/>
        </w:rPr>
        <w:t>Staphylococcus aureus </w:t>
      </w:r>
      <w:r>
        <w:rPr/>
        <w:t>resistente a meticilina (MRSA) se presenta como una amenaza de indole mundial, gracias a la existencia del gen mecA. Este gen es el causante</w:t>
      </w:r>
      <w:r>
        <w:rPr>
          <w:spacing w:val="-5"/>
        </w:rPr>
        <w:t> </w:t>
      </w:r>
      <w:r>
        <w:rPr/>
        <w:t>de</w:t>
      </w:r>
      <w:r>
        <w:rPr>
          <w:spacing w:val="-5"/>
        </w:rPr>
        <w:t> </w:t>
      </w:r>
      <w:r>
        <w:rPr/>
        <w:t>la</w:t>
      </w:r>
      <w:r>
        <w:rPr>
          <w:spacing w:val="-5"/>
        </w:rPr>
        <w:t> </w:t>
      </w:r>
      <w:r>
        <w:rPr/>
        <w:t>sintesis</w:t>
      </w:r>
      <w:r>
        <w:rPr>
          <w:spacing w:val="-7"/>
        </w:rPr>
        <w:t> </w:t>
      </w:r>
      <w:r>
        <w:rPr/>
        <w:t>de</w:t>
      </w:r>
      <w:r>
        <w:rPr>
          <w:spacing w:val="-5"/>
        </w:rPr>
        <w:t> </w:t>
      </w:r>
      <w:r>
        <w:rPr/>
        <w:t>la</w:t>
      </w:r>
      <w:r>
        <w:rPr>
          <w:spacing w:val="-5"/>
        </w:rPr>
        <w:t> </w:t>
      </w:r>
      <w:r>
        <w:rPr/>
        <w:t>proteina</w:t>
      </w:r>
      <w:r>
        <w:rPr>
          <w:spacing w:val="-5"/>
        </w:rPr>
        <w:t> </w:t>
      </w:r>
      <w:r>
        <w:rPr/>
        <w:t>PBP2a,</w:t>
      </w:r>
      <w:r>
        <w:rPr>
          <w:spacing w:val="-6"/>
        </w:rPr>
        <w:t> </w:t>
      </w:r>
      <w:r>
        <w:rPr/>
        <w:t>la</w:t>
      </w:r>
      <w:r>
        <w:rPr>
          <w:spacing w:val="-5"/>
        </w:rPr>
        <w:t> </w:t>
      </w:r>
      <w:r>
        <w:rPr/>
        <w:t>cual</w:t>
      </w:r>
      <w:r>
        <w:rPr>
          <w:spacing w:val="-5"/>
        </w:rPr>
        <w:t> </w:t>
      </w:r>
      <w:r>
        <w:rPr/>
        <w:t>dota</w:t>
      </w:r>
      <w:r>
        <w:rPr>
          <w:spacing w:val="-5"/>
        </w:rPr>
        <w:t> </w:t>
      </w:r>
      <w:r>
        <w:rPr/>
        <w:t>de</w:t>
      </w:r>
      <w:r>
        <w:rPr>
          <w:spacing w:val="-5"/>
        </w:rPr>
        <w:t> </w:t>
      </w:r>
      <w:r>
        <w:rPr/>
        <w:t>resistencia</w:t>
      </w:r>
      <w:r>
        <w:rPr>
          <w:spacing w:val="-5"/>
        </w:rPr>
        <w:t> </w:t>
      </w:r>
      <w:r>
        <w:rPr/>
        <w:t>a</w:t>
      </w:r>
      <w:r>
        <w:rPr>
          <w:spacing w:val="-5"/>
        </w:rPr>
        <w:t> </w:t>
      </w:r>
      <w:r>
        <w:rPr/>
        <w:t>un</w:t>
      </w:r>
      <w:r>
        <w:rPr>
          <w:spacing w:val="-6"/>
        </w:rPr>
        <w:t> </w:t>
      </w:r>
      <w:r>
        <w:rPr/>
        <w:t>amplio abanico de antibióticos de la clase beta-lactamicos (Becker et al., 2021). Tal resistencia</w:t>
      </w:r>
      <w:r>
        <w:rPr>
          <w:spacing w:val="-8"/>
        </w:rPr>
        <w:t> </w:t>
      </w:r>
      <w:r>
        <w:rPr/>
        <w:t>hace</w:t>
      </w:r>
      <w:r>
        <w:rPr>
          <w:spacing w:val="-8"/>
        </w:rPr>
        <w:t> </w:t>
      </w:r>
      <w:r>
        <w:rPr/>
        <w:t>que</w:t>
      </w:r>
      <w:r>
        <w:rPr>
          <w:spacing w:val="-8"/>
        </w:rPr>
        <w:t> </w:t>
      </w:r>
      <w:r>
        <w:rPr/>
        <w:t>curar</w:t>
      </w:r>
      <w:r>
        <w:rPr>
          <w:spacing w:val="-9"/>
        </w:rPr>
        <w:t> </w:t>
      </w:r>
      <w:r>
        <w:rPr/>
        <w:t>infecciones</w:t>
      </w:r>
      <w:r>
        <w:rPr>
          <w:spacing w:val="-11"/>
        </w:rPr>
        <w:t> </w:t>
      </w:r>
      <w:r>
        <w:rPr/>
        <w:t>en</w:t>
      </w:r>
      <w:r>
        <w:rPr>
          <w:spacing w:val="-9"/>
        </w:rPr>
        <w:t> </w:t>
      </w:r>
      <w:r>
        <w:rPr/>
        <w:t>personas</w:t>
      </w:r>
      <w:r>
        <w:rPr>
          <w:spacing w:val="-11"/>
        </w:rPr>
        <w:t> </w:t>
      </w:r>
      <w:r>
        <w:rPr/>
        <w:t>y</w:t>
      </w:r>
      <w:r>
        <w:rPr>
          <w:spacing w:val="-9"/>
        </w:rPr>
        <w:t> </w:t>
      </w:r>
      <w:r>
        <w:rPr/>
        <w:t>mascotas,</w:t>
      </w:r>
      <w:r>
        <w:rPr>
          <w:spacing w:val="-9"/>
        </w:rPr>
        <w:t> </w:t>
      </w:r>
      <w:r>
        <w:rPr/>
        <w:t>como</w:t>
      </w:r>
      <w:r>
        <w:rPr>
          <w:spacing w:val="-9"/>
        </w:rPr>
        <w:t> </w:t>
      </w:r>
      <w:r>
        <w:rPr/>
        <w:t>los</w:t>
      </w:r>
      <w:r>
        <w:rPr>
          <w:spacing w:val="-11"/>
        </w:rPr>
        <w:t> </w:t>
      </w:r>
      <w:r>
        <w:rPr/>
        <w:t>perros,</w:t>
      </w:r>
      <w:r>
        <w:rPr>
          <w:spacing w:val="-9"/>
        </w:rPr>
        <w:t> </w:t>
      </w:r>
      <w:r>
        <w:rPr/>
        <w:t>sea mas difícil.</w:t>
      </w:r>
    </w:p>
    <w:p>
      <w:pPr>
        <w:pStyle w:val="BodyText"/>
        <w:spacing w:after="0" w:line="360" w:lineRule="auto"/>
        <w:jc w:val="both"/>
        <w:sectPr>
          <w:pgSz w:w="11900" w:h="16840"/>
          <w:pgMar w:top="1580" w:bottom="280" w:left="1275" w:right="992"/>
        </w:sectPr>
      </w:pPr>
    </w:p>
    <w:p>
      <w:pPr>
        <w:pStyle w:val="BodyText"/>
        <w:spacing w:line="357" w:lineRule="auto" w:before="64"/>
        <w:ind w:left="994" w:right="712"/>
        <w:jc w:val="both"/>
      </w:pPr>
      <w:r>
        <w:rPr/>
        <w:t>Durante el periodo reciente, se ha examinado la aplicacion del cannabidiol (CBD) para</w:t>
      </w:r>
      <w:r>
        <w:rPr>
          <w:spacing w:val="-5"/>
        </w:rPr>
        <w:t> </w:t>
      </w:r>
      <w:r>
        <w:rPr/>
        <w:t>combatirlas</w:t>
      </w:r>
      <w:r>
        <w:rPr>
          <w:spacing w:val="-8"/>
        </w:rPr>
        <w:t> </w:t>
      </w:r>
      <w:r>
        <w:rPr/>
        <w:t>bacterias</w:t>
      </w:r>
      <w:r>
        <w:rPr>
          <w:spacing w:val="-8"/>
        </w:rPr>
        <w:t> </w:t>
      </w:r>
      <w:r>
        <w:rPr/>
        <w:t>y</w:t>
      </w:r>
      <w:r>
        <w:rPr>
          <w:spacing w:val="-7"/>
        </w:rPr>
        <w:t> </w:t>
      </w:r>
      <w:r>
        <w:rPr/>
        <w:t>para</w:t>
      </w:r>
      <w:r>
        <w:rPr>
          <w:spacing w:val="-5"/>
        </w:rPr>
        <w:t> </w:t>
      </w:r>
      <w:r>
        <w:rPr/>
        <w:t>hacer</w:t>
      </w:r>
      <w:r>
        <w:rPr>
          <w:spacing w:val="-6"/>
        </w:rPr>
        <w:t> </w:t>
      </w:r>
      <w:r>
        <w:rPr/>
        <w:t>mas</w:t>
      </w:r>
      <w:r>
        <w:rPr>
          <w:spacing w:val="-8"/>
        </w:rPr>
        <w:t> </w:t>
      </w:r>
      <w:r>
        <w:rPr/>
        <w:t>fuertes</w:t>
      </w:r>
      <w:r>
        <w:rPr>
          <w:spacing w:val="-8"/>
        </w:rPr>
        <w:t> </w:t>
      </w:r>
      <w:r>
        <w:rPr/>
        <w:t>a</w:t>
      </w:r>
      <w:r>
        <w:rPr>
          <w:spacing w:val="-5"/>
        </w:rPr>
        <w:t> </w:t>
      </w:r>
      <w:r>
        <w:rPr/>
        <w:t>los</w:t>
      </w:r>
      <w:r>
        <w:rPr>
          <w:spacing w:val="-8"/>
        </w:rPr>
        <w:t> </w:t>
      </w:r>
      <w:r>
        <w:rPr/>
        <w:t>farmacos.</w:t>
      </w:r>
      <w:r>
        <w:rPr>
          <w:spacing w:val="-7"/>
        </w:rPr>
        <w:t> </w:t>
      </w:r>
      <w:r>
        <w:rPr/>
        <w:t>Investigaciones hechas ultimamente señalaron que el CBD:</w:t>
      </w:r>
    </w:p>
    <w:p>
      <w:pPr>
        <w:pStyle w:val="ListParagraph"/>
        <w:numPr>
          <w:ilvl w:val="3"/>
          <w:numId w:val="9"/>
        </w:numPr>
        <w:tabs>
          <w:tab w:pos="1713" w:val="left" w:leader="none"/>
        </w:tabs>
        <w:spacing w:line="240" w:lineRule="auto" w:before="246" w:after="0"/>
        <w:ind w:left="1713" w:right="0" w:hanging="360"/>
        <w:jc w:val="left"/>
        <w:rPr>
          <w:sz w:val="24"/>
        </w:rPr>
      </w:pPr>
      <w:r>
        <w:rPr>
          <w:sz w:val="24"/>
        </w:rPr>
        <w:t>Aumenta</w:t>
      </w:r>
      <w:r>
        <w:rPr>
          <w:spacing w:val="-1"/>
          <w:sz w:val="24"/>
        </w:rPr>
        <w:t> </w:t>
      </w:r>
      <w:r>
        <w:rPr>
          <w:sz w:val="24"/>
        </w:rPr>
        <w:t>la</w:t>
      </w:r>
      <w:r>
        <w:rPr>
          <w:spacing w:val="-1"/>
          <w:sz w:val="24"/>
        </w:rPr>
        <w:t> </w:t>
      </w:r>
      <w:r>
        <w:rPr>
          <w:sz w:val="24"/>
        </w:rPr>
        <w:t>fragilidad</w:t>
      </w:r>
      <w:r>
        <w:rPr>
          <w:spacing w:val="-2"/>
          <w:sz w:val="24"/>
        </w:rPr>
        <w:t> </w:t>
      </w:r>
      <w:r>
        <w:rPr>
          <w:sz w:val="24"/>
        </w:rPr>
        <w:t>de</w:t>
      </w:r>
      <w:r>
        <w:rPr>
          <w:spacing w:val="-1"/>
          <w:sz w:val="24"/>
        </w:rPr>
        <w:t> </w:t>
      </w:r>
      <w:r>
        <w:rPr>
          <w:sz w:val="24"/>
        </w:rPr>
        <w:t>la</w:t>
      </w:r>
      <w:r>
        <w:rPr>
          <w:spacing w:val="-1"/>
          <w:sz w:val="24"/>
        </w:rPr>
        <w:t> </w:t>
      </w:r>
      <w:r>
        <w:rPr>
          <w:sz w:val="24"/>
        </w:rPr>
        <w:t>capa</w:t>
      </w:r>
      <w:r>
        <w:rPr>
          <w:spacing w:val="-1"/>
          <w:sz w:val="24"/>
        </w:rPr>
        <w:t> </w:t>
      </w:r>
      <w:r>
        <w:rPr>
          <w:sz w:val="24"/>
        </w:rPr>
        <w:t>externa</w:t>
      </w:r>
      <w:r>
        <w:rPr>
          <w:spacing w:val="-1"/>
          <w:sz w:val="24"/>
        </w:rPr>
        <w:t> </w:t>
      </w:r>
      <w:r>
        <w:rPr>
          <w:sz w:val="24"/>
        </w:rPr>
        <w:t>de</w:t>
      </w:r>
      <w:r>
        <w:rPr>
          <w:spacing w:val="-1"/>
          <w:sz w:val="24"/>
        </w:rPr>
        <w:t> </w:t>
      </w:r>
      <w:r>
        <w:rPr>
          <w:sz w:val="24"/>
        </w:rPr>
        <w:t>la</w:t>
      </w:r>
      <w:r>
        <w:rPr>
          <w:spacing w:val="-1"/>
          <w:sz w:val="24"/>
        </w:rPr>
        <w:t> </w:t>
      </w:r>
      <w:r>
        <w:rPr>
          <w:spacing w:val="-2"/>
          <w:sz w:val="24"/>
        </w:rPr>
        <w:t>bacteria..</w:t>
      </w:r>
    </w:p>
    <w:p>
      <w:pPr>
        <w:pStyle w:val="ListParagraph"/>
        <w:numPr>
          <w:ilvl w:val="3"/>
          <w:numId w:val="9"/>
        </w:numPr>
        <w:tabs>
          <w:tab w:pos="1713" w:val="left" w:leader="none"/>
        </w:tabs>
        <w:spacing w:line="240" w:lineRule="auto" w:before="274" w:after="0"/>
        <w:ind w:left="1713" w:right="0" w:hanging="360"/>
        <w:jc w:val="left"/>
        <w:rPr>
          <w:sz w:val="24"/>
        </w:rPr>
      </w:pPr>
      <w:r>
        <w:rPr>
          <w:sz w:val="24"/>
        </w:rPr>
        <w:t>Disminuye</w:t>
      </w:r>
      <w:r>
        <w:rPr>
          <w:spacing w:val="-1"/>
          <w:sz w:val="24"/>
        </w:rPr>
        <w:t> </w:t>
      </w:r>
      <w:r>
        <w:rPr>
          <w:sz w:val="24"/>
        </w:rPr>
        <w:t>la</w:t>
      </w:r>
      <w:r>
        <w:rPr>
          <w:spacing w:val="-3"/>
          <w:sz w:val="24"/>
        </w:rPr>
        <w:t> </w:t>
      </w:r>
      <w:r>
        <w:rPr>
          <w:sz w:val="24"/>
        </w:rPr>
        <w:t>creacion</w:t>
      </w:r>
      <w:r>
        <w:rPr>
          <w:spacing w:val="-1"/>
          <w:sz w:val="24"/>
        </w:rPr>
        <w:t> </w:t>
      </w:r>
      <w:r>
        <w:rPr>
          <w:sz w:val="24"/>
        </w:rPr>
        <w:t>de</w:t>
      </w:r>
      <w:r>
        <w:rPr>
          <w:spacing w:val="-1"/>
          <w:sz w:val="24"/>
        </w:rPr>
        <w:t> </w:t>
      </w:r>
      <w:r>
        <w:rPr>
          <w:sz w:val="24"/>
        </w:rPr>
        <w:t>colonias</w:t>
      </w:r>
      <w:r>
        <w:rPr>
          <w:spacing w:val="-2"/>
          <w:sz w:val="24"/>
        </w:rPr>
        <w:t> bacterianas.</w:t>
      </w:r>
    </w:p>
    <w:p>
      <w:pPr>
        <w:pStyle w:val="ListParagraph"/>
        <w:numPr>
          <w:ilvl w:val="3"/>
          <w:numId w:val="9"/>
        </w:numPr>
        <w:tabs>
          <w:tab w:pos="1713" w:val="left" w:leader="none"/>
        </w:tabs>
        <w:spacing w:line="240" w:lineRule="auto" w:before="274" w:after="0"/>
        <w:ind w:left="1713" w:right="0" w:hanging="360"/>
        <w:jc w:val="left"/>
        <w:rPr>
          <w:sz w:val="24"/>
        </w:rPr>
      </w:pPr>
      <w:r>
        <w:rPr>
          <w:sz w:val="24"/>
        </w:rPr>
        <w:t>Mejora</w:t>
      </w:r>
      <w:r>
        <w:rPr>
          <w:spacing w:val="-2"/>
          <w:sz w:val="24"/>
        </w:rPr>
        <w:t> </w:t>
      </w:r>
      <w:r>
        <w:rPr>
          <w:sz w:val="24"/>
        </w:rPr>
        <w:t>el</w:t>
      </w:r>
      <w:r>
        <w:rPr>
          <w:spacing w:val="-4"/>
          <w:sz w:val="24"/>
        </w:rPr>
        <w:t> </w:t>
      </w:r>
      <w:r>
        <w:rPr>
          <w:sz w:val="24"/>
        </w:rPr>
        <w:t>efecto</w:t>
      </w:r>
      <w:r>
        <w:rPr>
          <w:spacing w:val="-1"/>
          <w:sz w:val="24"/>
        </w:rPr>
        <w:t> </w:t>
      </w:r>
      <w:r>
        <w:rPr>
          <w:sz w:val="24"/>
        </w:rPr>
        <w:t>de</w:t>
      </w:r>
      <w:r>
        <w:rPr>
          <w:spacing w:val="-3"/>
          <w:sz w:val="24"/>
        </w:rPr>
        <w:t> </w:t>
      </w:r>
      <w:r>
        <w:rPr>
          <w:sz w:val="24"/>
        </w:rPr>
        <w:t>los</w:t>
      </w:r>
      <w:r>
        <w:rPr>
          <w:spacing w:val="-2"/>
          <w:sz w:val="24"/>
        </w:rPr>
        <w:t> </w:t>
      </w:r>
      <w:r>
        <w:rPr>
          <w:sz w:val="24"/>
        </w:rPr>
        <w:t>farmacos</w:t>
      </w:r>
      <w:r>
        <w:rPr>
          <w:spacing w:val="-3"/>
          <w:sz w:val="24"/>
        </w:rPr>
        <w:t> </w:t>
      </w:r>
      <w:r>
        <w:rPr>
          <w:sz w:val="24"/>
        </w:rPr>
        <w:t>sobre</w:t>
      </w:r>
      <w:r>
        <w:rPr>
          <w:spacing w:val="1"/>
          <w:sz w:val="24"/>
        </w:rPr>
        <w:t> </w:t>
      </w:r>
      <w:r>
        <w:rPr>
          <w:sz w:val="24"/>
        </w:rPr>
        <w:t>estirpes</w:t>
      </w:r>
      <w:r>
        <w:rPr>
          <w:spacing w:val="-3"/>
          <w:sz w:val="24"/>
        </w:rPr>
        <w:t> </w:t>
      </w:r>
      <w:r>
        <w:rPr>
          <w:sz w:val="24"/>
        </w:rPr>
        <w:t>que</w:t>
      </w:r>
      <w:r>
        <w:rPr>
          <w:spacing w:val="1"/>
          <w:sz w:val="24"/>
        </w:rPr>
        <w:t> </w:t>
      </w:r>
      <w:r>
        <w:rPr>
          <w:sz w:val="24"/>
        </w:rPr>
        <w:t>resisten</w:t>
      </w:r>
      <w:r>
        <w:rPr>
          <w:spacing w:val="-5"/>
          <w:sz w:val="24"/>
        </w:rPr>
        <w:t> </w:t>
      </w:r>
      <w:r>
        <w:rPr>
          <w:spacing w:val="-2"/>
          <w:sz w:val="24"/>
        </w:rPr>
        <w:t>tratamiento.</w:t>
      </w:r>
    </w:p>
    <w:p>
      <w:pPr>
        <w:pStyle w:val="ListParagraph"/>
        <w:numPr>
          <w:ilvl w:val="3"/>
          <w:numId w:val="9"/>
        </w:numPr>
        <w:tabs>
          <w:tab w:pos="1713" w:val="left" w:leader="none"/>
        </w:tabs>
        <w:spacing w:line="451" w:lineRule="auto" w:before="274" w:after="0"/>
        <w:ind w:left="1713" w:right="718" w:hanging="360"/>
        <w:jc w:val="left"/>
        <w:rPr>
          <w:sz w:val="24"/>
        </w:rPr>
      </w:pPr>
      <w:r>
        <w:rPr>
          <w:sz w:val="24"/>
        </w:rPr>
        <w:t>Reduce la CMI</w:t>
      </w:r>
      <w:r>
        <w:rPr>
          <w:spacing w:val="-2"/>
          <w:sz w:val="24"/>
        </w:rPr>
        <w:t> </w:t>
      </w:r>
      <w:r>
        <w:rPr>
          <w:sz w:val="24"/>
        </w:rPr>
        <w:t>de algunos</w:t>
      </w:r>
      <w:r>
        <w:rPr>
          <w:spacing w:val="-3"/>
          <w:sz w:val="24"/>
        </w:rPr>
        <w:t> </w:t>
      </w:r>
      <w:r>
        <w:rPr>
          <w:sz w:val="24"/>
        </w:rPr>
        <w:t>antibióticos</w:t>
      </w:r>
      <w:r>
        <w:rPr>
          <w:spacing w:val="-3"/>
          <w:sz w:val="24"/>
        </w:rPr>
        <w:t> </w:t>
      </w:r>
      <w:r>
        <w:rPr>
          <w:sz w:val="24"/>
        </w:rPr>
        <w:t>cuando</w:t>
      </w:r>
      <w:r>
        <w:rPr>
          <w:spacing w:val="-2"/>
          <w:sz w:val="24"/>
        </w:rPr>
        <w:t> </w:t>
      </w:r>
      <w:r>
        <w:rPr>
          <w:sz w:val="24"/>
        </w:rPr>
        <w:t>se usa en</w:t>
      </w:r>
      <w:r>
        <w:rPr>
          <w:spacing w:val="-2"/>
          <w:sz w:val="24"/>
        </w:rPr>
        <w:t> </w:t>
      </w:r>
      <w:r>
        <w:rPr>
          <w:sz w:val="24"/>
        </w:rPr>
        <w:t>forma combinada (Blaskovich et al., 2021; Wassmann et al., 2020).</w:t>
      </w:r>
    </w:p>
    <w:p>
      <w:pPr>
        <w:pStyle w:val="BodyText"/>
        <w:spacing w:line="360" w:lineRule="auto" w:before="274"/>
        <w:ind w:left="994" w:right="708"/>
        <w:jc w:val="both"/>
      </w:pPr>
      <w:r>
        <w:rPr/>
        <w:t>Por esta razón, la CMI funciona como un indicador central en esta tesis. Permite establecer si el CBD, junto con enrofloxacina, amoxicilina y cefalexina, reduce la CMI de estos antibióticos frente a MRSA y muestra un posible efecto sinérgico.</w:t>
      </w:r>
    </w:p>
    <w:p>
      <w:pPr>
        <w:pStyle w:val="BodyText"/>
        <w:spacing w:after="0" w:line="360" w:lineRule="auto"/>
        <w:jc w:val="both"/>
        <w:sectPr>
          <w:pgSz w:w="11900" w:h="16840"/>
          <w:pgMar w:top="1580" w:bottom="280" w:left="1275" w:right="992"/>
        </w:sectPr>
      </w:pPr>
    </w:p>
    <w:p>
      <w:pPr>
        <w:pStyle w:val="Heading1"/>
        <w:ind w:left="433"/>
      </w:pPr>
      <w:bookmarkStart w:name="_bookmark26" w:id="27"/>
      <w:bookmarkEnd w:id="27"/>
      <w:r>
        <w:rPr>
          <w:b w:val="0"/>
        </w:rPr>
      </w:r>
      <w:r>
        <w:rPr/>
        <w:t>CAPÍTULO</w:t>
      </w:r>
      <w:r>
        <w:rPr>
          <w:spacing w:val="-3"/>
        </w:rPr>
        <w:t> </w:t>
      </w:r>
      <w:r>
        <w:rPr>
          <w:spacing w:val="-5"/>
        </w:rPr>
        <w:t>III</w:t>
      </w:r>
    </w:p>
    <w:p>
      <w:pPr>
        <w:pStyle w:val="BodyText"/>
        <w:rPr>
          <w:b/>
          <w:sz w:val="28"/>
        </w:rPr>
      </w:pPr>
    </w:p>
    <w:p>
      <w:pPr>
        <w:pStyle w:val="ListParagraph"/>
        <w:numPr>
          <w:ilvl w:val="0"/>
          <w:numId w:val="10"/>
        </w:numPr>
        <w:tabs>
          <w:tab w:pos="1425" w:val="left" w:leader="none"/>
        </w:tabs>
        <w:spacing w:line="240" w:lineRule="auto" w:before="0" w:after="0"/>
        <w:ind w:left="1425" w:right="0" w:hanging="431"/>
        <w:jc w:val="left"/>
        <w:rPr>
          <w:b/>
          <w:sz w:val="28"/>
        </w:rPr>
      </w:pPr>
      <w:bookmarkStart w:name="_bookmark27" w:id="28"/>
      <w:bookmarkEnd w:id="28"/>
      <w:r>
        <w:rPr/>
      </w:r>
      <w:r>
        <w:rPr>
          <w:b/>
          <w:sz w:val="28"/>
        </w:rPr>
        <w:t>MARCO</w:t>
      </w:r>
      <w:r>
        <w:rPr>
          <w:b/>
          <w:spacing w:val="3"/>
          <w:sz w:val="28"/>
        </w:rPr>
        <w:t> </w:t>
      </w:r>
      <w:r>
        <w:rPr>
          <w:b/>
          <w:spacing w:val="-2"/>
          <w:sz w:val="28"/>
        </w:rPr>
        <w:t>METODOLÓGICO</w:t>
      </w:r>
    </w:p>
    <w:p>
      <w:pPr>
        <w:pStyle w:val="Heading3"/>
        <w:numPr>
          <w:ilvl w:val="1"/>
          <w:numId w:val="10"/>
        </w:numPr>
        <w:tabs>
          <w:tab w:pos="1426" w:val="left" w:leader="none"/>
        </w:tabs>
        <w:spacing w:line="240" w:lineRule="auto" w:before="319" w:after="0"/>
        <w:ind w:left="1426" w:right="0" w:hanging="432"/>
        <w:jc w:val="left"/>
      </w:pPr>
      <w:bookmarkStart w:name="_bookmark28" w:id="29"/>
      <w:bookmarkEnd w:id="29"/>
      <w:r>
        <w:rPr>
          <w:b w:val="0"/>
        </w:rPr>
      </w:r>
      <w:r>
        <w:rPr/>
        <w:t>Ubicación</w:t>
      </w:r>
      <w:r>
        <w:rPr>
          <w:spacing w:val="-6"/>
        </w:rPr>
        <w:t> </w:t>
      </w:r>
      <w:r>
        <w:rPr/>
        <w:t>De La</w:t>
      </w:r>
      <w:r>
        <w:rPr>
          <w:spacing w:val="-1"/>
        </w:rPr>
        <w:t> </w:t>
      </w:r>
      <w:r>
        <w:rPr>
          <w:spacing w:val="-2"/>
        </w:rPr>
        <w:t>Investigación</w:t>
      </w:r>
    </w:p>
    <w:p>
      <w:pPr>
        <w:pStyle w:val="BodyText"/>
        <w:spacing w:before="1"/>
        <w:rPr>
          <w:b/>
        </w:rPr>
      </w:pPr>
    </w:p>
    <w:p>
      <w:pPr>
        <w:pStyle w:val="BodyText"/>
        <w:spacing w:line="360" w:lineRule="auto"/>
        <w:ind w:left="994" w:right="704"/>
        <w:jc w:val="both"/>
      </w:pPr>
      <w:r>
        <w:rPr/>
        <w:t>La</w:t>
      </w:r>
      <w:r>
        <w:rPr>
          <w:spacing w:val="-6"/>
        </w:rPr>
        <w:t> </w:t>
      </w:r>
      <w:r>
        <w:rPr/>
        <w:t>presente</w:t>
      </w:r>
      <w:r>
        <w:rPr>
          <w:spacing w:val="-5"/>
        </w:rPr>
        <w:t> </w:t>
      </w:r>
      <w:r>
        <w:rPr/>
        <w:t>investigación</w:t>
      </w:r>
      <w:r>
        <w:rPr>
          <w:spacing w:val="-5"/>
        </w:rPr>
        <w:t> </w:t>
      </w:r>
      <w:r>
        <w:rPr/>
        <w:t>se</w:t>
      </w:r>
      <w:r>
        <w:rPr>
          <w:spacing w:val="-6"/>
        </w:rPr>
        <w:t> </w:t>
      </w:r>
      <w:r>
        <w:rPr/>
        <w:t>llevó</w:t>
      </w:r>
      <w:r>
        <w:rPr>
          <w:spacing w:val="-7"/>
        </w:rPr>
        <w:t> </w:t>
      </w:r>
      <w:r>
        <w:rPr/>
        <w:t>a</w:t>
      </w:r>
      <w:r>
        <w:rPr>
          <w:spacing w:val="-6"/>
        </w:rPr>
        <w:t> </w:t>
      </w:r>
      <w:r>
        <w:rPr/>
        <w:t>cabo</w:t>
      </w:r>
      <w:r>
        <w:rPr>
          <w:spacing w:val="-11"/>
        </w:rPr>
        <w:t> </w:t>
      </w:r>
      <w:r>
        <w:rPr/>
        <w:t>en</w:t>
      </w:r>
      <w:r>
        <w:rPr>
          <w:spacing w:val="-7"/>
        </w:rPr>
        <w:t> </w:t>
      </w:r>
      <w:r>
        <w:rPr/>
        <w:t>los</w:t>
      </w:r>
      <w:r>
        <w:rPr>
          <w:spacing w:val="-9"/>
        </w:rPr>
        <w:t> </w:t>
      </w:r>
      <w:r>
        <w:rPr/>
        <w:t>laboratorios</w:t>
      </w:r>
      <w:r>
        <w:rPr>
          <w:spacing w:val="-7"/>
        </w:rPr>
        <w:t> </w:t>
      </w:r>
      <w:r>
        <w:rPr/>
        <w:t>de</w:t>
      </w:r>
      <w:r>
        <w:rPr>
          <w:spacing w:val="-6"/>
        </w:rPr>
        <w:t> </w:t>
      </w:r>
      <w:r>
        <w:rPr/>
        <w:t>microbiología</w:t>
      </w:r>
      <w:r>
        <w:rPr>
          <w:spacing w:val="-4"/>
        </w:rPr>
        <w:t> </w:t>
      </w:r>
      <w:r>
        <w:rPr/>
        <w:t>de</w:t>
      </w:r>
      <w:r>
        <w:rPr>
          <w:spacing w:val="-6"/>
        </w:rPr>
        <w:t> </w:t>
      </w:r>
      <w:r>
        <w:rPr/>
        <w:t>la Universidad Estatal de Bolívar, ubicada en la ciudad de Guaranda, provincia de Bolívar, Ecuador.</w:t>
      </w:r>
    </w:p>
    <w:p>
      <w:pPr>
        <w:pStyle w:val="Heading3"/>
        <w:numPr>
          <w:ilvl w:val="0"/>
          <w:numId w:val="11"/>
        </w:numPr>
        <w:tabs>
          <w:tab w:pos="1712" w:val="left" w:leader="none"/>
        </w:tabs>
        <w:spacing w:line="240" w:lineRule="auto" w:before="161" w:after="0"/>
        <w:ind w:left="1712" w:right="0" w:hanging="359"/>
        <w:jc w:val="both"/>
      </w:pPr>
      <w:r>
        <w:rPr/>
        <w:t>Zona</w:t>
      </w:r>
      <w:r>
        <w:rPr>
          <w:spacing w:val="-9"/>
        </w:rPr>
        <w:t> </w:t>
      </w:r>
      <w:r>
        <w:rPr/>
        <w:t>De</w:t>
      </w:r>
      <w:r>
        <w:rPr>
          <w:spacing w:val="-6"/>
        </w:rPr>
        <w:t> </w:t>
      </w:r>
      <w:r>
        <w:rPr>
          <w:spacing w:val="-4"/>
        </w:rPr>
        <w:t>Vida</w:t>
      </w:r>
    </w:p>
    <w:p>
      <w:pPr>
        <w:pStyle w:val="BodyText"/>
        <w:spacing w:before="103"/>
        <w:rPr>
          <w:b/>
        </w:rPr>
      </w:pPr>
    </w:p>
    <w:p>
      <w:pPr>
        <w:pStyle w:val="BodyText"/>
        <w:spacing w:line="360" w:lineRule="auto"/>
        <w:ind w:left="994" w:right="703"/>
        <w:jc w:val="both"/>
      </w:pPr>
      <w:r>
        <w:rPr/>
        <w:t>Según</w:t>
      </w:r>
      <w:r>
        <w:rPr>
          <w:spacing w:val="-4"/>
        </w:rPr>
        <w:t> </w:t>
      </w:r>
      <w:r>
        <w:rPr/>
        <w:t>la</w:t>
      </w:r>
      <w:r>
        <w:rPr>
          <w:spacing w:val="-3"/>
        </w:rPr>
        <w:t> </w:t>
      </w:r>
      <w:r>
        <w:rPr/>
        <w:t>clasificación</w:t>
      </w:r>
      <w:r>
        <w:rPr>
          <w:spacing w:val="-2"/>
        </w:rPr>
        <w:t> </w:t>
      </w:r>
      <w:r>
        <w:rPr/>
        <w:t>de</w:t>
      </w:r>
      <w:r>
        <w:rPr>
          <w:spacing w:val="-3"/>
        </w:rPr>
        <w:t> </w:t>
      </w:r>
      <w:r>
        <w:rPr/>
        <w:t>Holdridge,</w:t>
      </w:r>
      <w:r>
        <w:rPr>
          <w:spacing w:val="-3"/>
        </w:rPr>
        <w:t> </w:t>
      </w:r>
      <w:r>
        <w:rPr/>
        <w:t>la</w:t>
      </w:r>
      <w:r>
        <w:rPr>
          <w:spacing w:val="-3"/>
        </w:rPr>
        <w:t> </w:t>
      </w:r>
      <w:r>
        <w:rPr/>
        <w:t>zona</w:t>
      </w:r>
      <w:r>
        <w:rPr>
          <w:spacing w:val="-2"/>
        </w:rPr>
        <w:t> </w:t>
      </w:r>
      <w:r>
        <w:rPr/>
        <w:t>de</w:t>
      </w:r>
      <w:r>
        <w:rPr>
          <w:spacing w:val="-3"/>
        </w:rPr>
        <w:t> </w:t>
      </w:r>
      <w:r>
        <w:rPr/>
        <w:t>vida</w:t>
      </w:r>
      <w:r>
        <w:rPr>
          <w:spacing w:val="-3"/>
        </w:rPr>
        <w:t> </w:t>
      </w:r>
      <w:r>
        <w:rPr/>
        <w:t>correspondiente</w:t>
      </w:r>
      <w:r>
        <w:rPr>
          <w:spacing w:val="-2"/>
        </w:rPr>
        <w:t> </w:t>
      </w:r>
      <w:r>
        <w:rPr/>
        <w:t>al</w:t>
      </w:r>
      <w:r>
        <w:rPr>
          <w:spacing w:val="-6"/>
        </w:rPr>
        <w:t> </w:t>
      </w:r>
      <w:r>
        <w:rPr/>
        <w:t>área</w:t>
      </w:r>
      <w:r>
        <w:rPr>
          <w:spacing w:val="-3"/>
        </w:rPr>
        <w:t> </w:t>
      </w:r>
      <w:r>
        <w:rPr/>
        <w:t>donde se encuentra la Universidad Estatal de Bolívar fue Bosque muy húmedo Montano Bajo (bmh-MB), caracterizada por condiciones climáticas de alta humedad y temperaturas moderadas.</w:t>
      </w:r>
    </w:p>
    <w:p>
      <w:pPr>
        <w:pStyle w:val="Heading3"/>
        <w:numPr>
          <w:ilvl w:val="0"/>
          <w:numId w:val="11"/>
        </w:numPr>
        <w:tabs>
          <w:tab w:pos="1700" w:val="left" w:leader="none"/>
        </w:tabs>
        <w:spacing w:line="240" w:lineRule="auto" w:before="159" w:after="0"/>
        <w:ind w:left="1700" w:right="0" w:hanging="347"/>
        <w:jc w:val="both"/>
      </w:pPr>
      <w:r>
        <w:rPr/>
        <w:t>Situación</w:t>
      </w:r>
      <w:r>
        <w:rPr>
          <w:spacing w:val="-7"/>
        </w:rPr>
        <w:t> </w:t>
      </w:r>
      <w:r>
        <w:rPr>
          <w:spacing w:val="-2"/>
        </w:rPr>
        <w:t>geográfica</w:t>
      </w:r>
    </w:p>
    <w:p>
      <w:pPr>
        <w:pStyle w:val="BodyText"/>
        <w:spacing w:before="104"/>
        <w:rPr>
          <w:b/>
        </w:rPr>
      </w:pPr>
    </w:p>
    <w:p>
      <w:pPr>
        <w:spacing w:before="0"/>
        <w:ind w:left="994" w:right="0" w:firstLine="0"/>
        <w:jc w:val="left"/>
        <w:rPr>
          <w:b/>
          <w:sz w:val="24"/>
        </w:rPr>
      </w:pPr>
      <w:bookmarkStart w:name="_bookmark29" w:id="30"/>
      <w:bookmarkEnd w:id="30"/>
      <w:r>
        <w:rPr/>
      </w:r>
      <w:r>
        <w:rPr>
          <w:b/>
          <w:spacing w:val="-4"/>
          <w:sz w:val="24"/>
        </w:rPr>
        <w:t>Tabla</w:t>
      </w:r>
      <w:r>
        <w:rPr>
          <w:b/>
          <w:spacing w:val="-7"/>
          <w:sz w:val="24"/>
        </w:rPr>
        <w:t> </w:t>
      </w:r>
      <w:r>
        <w:rPr>
          <w:b/>
          <w:spacing w:val="-12"/>
          <w:sz w:val="24"/>
        </w:rPr>
        <w:t>3</w:t>
      </w:r>
    </w:p>
    <w:p>
      <w:pPr>
        <w:pStyle w:val="BodyText"/>
        <w:rPr>
          <w:b/>
        </w:rPr>
      </w:pPr>
    </w:p>
    <w:p>
      <w:pPr>
        <w:spacing w:before="0"/>
        <w:ind w:left="994" w:right="0" w:firstLine="0"/>
        <w:jc w:val="left"/>
        <w:rPr>
          <w:i/>
          <w:sz w:val="24"/>
        </w:rPr>
      </w:pPr>
      <w:r>
        <w:rPr>
          <w:i/>
          <w:sz w:val="24"/>
        </w:rPr>
        <w:t>Situación</w:t>
      </w:r>
      <w:r>
        <w:rPr>
          <w:i/>
          <w:spacing w:val="9"/>
          <w:sz w:val="24"/>
        </w:rPr>
        <w:t> </w:t>
      </w:r>
      <w:r>
        <w:rPr>
          <w:i/>
          <w:spacing w:val="-2"/>
          <w:sz w:val="24"/>
        </w:rPr>
        <w:t>geográfica</w:t>
      </w:r>
    </w:p>
    <w:p>
      <w:pPr>
        <w:pStyle w:val="BodyText"/>
        <w:spacing w:before="48"/>
        <w:rPr>
          <w:i/>
          <w:sz w:val="20"/>
        </w:rPr>
      </w:pPr>
    </w:p>
    <w:tbl>
      <w:tblPr>
        <w:tblW w:w="0" w:type="auto"/>
        <w:jc w:val="left"/>
        <w:tblInd w:w="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46"/>
        <w:gridCol w:w="4494"/>
      </w:tblGrid>
      <w:tr>
        <w:trPr>
          <w:trHeight w:val="389" w:hRule="atLeast"/>
        </w:trPr>
        <w:tc>
          <w:tcPr>
            <w:tcW w:w="3446" w:type="dxa"/>
            <w:tcBorders>
              <w:top w:val="single" w:sz="4" w:space="0" w:color="7D7D7D"/>
              <w:bottom w:val="single" w:sz="4" w:space="0" w:color="7D7D7D"/>
            </w:tcBorders>
          </w:tcPr>
          <w:p>
            <w:pPr>
              <w:pStyle w:val="TableParagraph"/>
              <w:spacing w:before="2"/>
              <w:ind w:left="113"/>
              <w:rPr>
                <w:b/>
                <w:sz w:val="20"/>
              </w:rPr>
            </w:pPr>
            <w:r>
              <w:rPr>
                <w:b/>
                <w:spacing w:val="-2"/>
                <w:sz w:val="20"/>
              </w:rPr>
              <w:t>Ciudad:</w:t>
            </w:r>
          </w:p>
        </w:tc>
        <w:tc>
          <w:tcPr>
            <w:tcW w:w="4494" w:type="dxa"/>
            <w:tcBorders>
              <w:top w:val="single" w:sz="4" w:space="0" w:color="7D7D7D"/>
              <w:bottom w:val="single" w:sz="4" w:space="0" w:color="7D7D7D"/>
            </w:tcBorders>
          </w:tcPr>
          <w:p>
            <w:pPr>
              <w:pStyle w:val="TableParagraph"/>
              <w:spacing w:before="2"/>
              <w:ind w:left="637"/>
              <w:rPr>
                <w:b/>
                <w:sz w:val="20"/>
              </w:rPr>
            </w:pPr>
            <w:r>
              <w:rPr>
                <w:b/>
                <w:spacing w:val="-2"/>
                <w:sz w:val="20"/>
              </w:rPr>
              <w:t>Guaranda</w:t>
            </w:r>
          </w:p>
        </w:tc>
      </w:tr>
      <w:tr>
        <w:trPr>
          <w:trHeight w:val="390" w:hRule="atLeast"/>
        </w:trPr>
        <w:tc>
          <w:tcPr>
            <w:tcW w:w="3446" w:type="dxa"/>
            <w:tcBorders>
              <w:top w:val="single" w:sz="4" w:space="0" w:color="7D7D7D"/>
              <w:bottom w:val="single" w:sz="4" w:space="0" w:color="7D7D7D"/>
            </w:tcBorders>
          </w:tcPr>
          <w:p>
            <w:pPr>
              <w:pStyle w:val="TableParagraph"/>
              <w:spacing w:before="2"/>
              <w:ind w:left="113"/>
              <w:rPr>
                <w:b/>
                <w:sz w:val="20"/>
              </w:rPr>
            </w:pPr>
            <w:r>
              <w:rPr>
                <w:b/>
                <w:spacing w:val="-2"/>
                <w:sz w:val="20"/>
              </w:rPr>
              <w:t>Altitud:</w:t>
            </w:r>
          </w:p>
        </w:tc>
        <w:tc>
          <w:tcPr>
            <w:tcW w:w="4494" w:type="dxa"/>
            <w:tcBorders>
              <w:top w:val="single" w:sz="4" w:space="0" w:color="7D7D7D"/>
              <w:bottom w:val="single" w:sz="4" w:space="0" w:color="7D7D7D"/>
            </w:tcBorders>
          </w:tcPr>
          <w:p>
            <w:pPr>
              <w:pStyle w:val="TableParagraph"/>
              <w:spacing w:before="2"/>
              <w:ind w:left="637"/>
              <w:rPr>
                <w:sz w:val="20"/>
              </w:rPr>
            </w:pPr>
            <w:r>
              <w:rPr>
                <w:sz w:val="20"/>
              </w:rPr>
              <w:t>2.668</w:t>
            </w:r>
            <w:r>
              <w:rPr>
                <w:spacing w:val="3"/>
                <w:sz w:val="20"/>
              </w:rPr>
              <w:t> </w:t>
            </w:r>
            <w:r>
              <w:rPr>
                <w:spacing w:val="-4"/>
                <w:sz w:val="20"/>
              </w:rPr>
              <w:t>msnm</w:t>
            </w:r>
          </w:p>
        </w:tc>
      </w:tr>
      <w:tr>
        <w:trPr>
          <w:trHeight w:val="390" w:hRule="atLeast"/>
        </w:trPr>
        <w:tc>
          <w:tcPr>
            <w:tcW w:w="3446" w:type="dxa"/>
            <w:tcBorders>
              <w:top w:val="single" w:sz="4" w:space="0" w:color="7D7D7D"/>
              <w:bottom w:val="single" w:sz="4" w:space="0" w:color="7D7D7D"/>
            </w:tcBorders>
          </w:tcPr>
          <w:p>
            <w:pPr>
              <w:pStyle w:val="TableParagraph"/>
              <w:spacing w:before="3"/>
              <w:ind w:left="113"/>
              <w:rPr>
                <w:b/>
                <w:sz w:val="20"/>
              </w:rPr>
            </w:pPr>
            <w:r>
              <w:rPr>
                <w:b/>
                <w:spacing w:val="-2"/>
                <w:sz w:val="20"/>
              </w:rPr>
              <w:t>Latitud:</w:t>
            </w:r>
          </w:p>
        </w:tc>
        <w:tc>
          <w:tcPr>
            <w:tcW w:w="4494" w:type="dxa"/>
            <w:tcBorders>
              <w:top w:val="single" w:sz="4" w:space="0" w:color="7D7D7D"/>
              <w:bottom w:val="single" w:sz="4" w:space="0" w:color="7D7D7D"/>
            </w:tcBorders>
          </w:tcPr>
          <w:p>
            <w:pPr>
              <w:pStyle w:val="TableParagraph"/>
              <w:spacing w:before="3"/>
              <w:ind w:left="637"/>
              <w:rPr>
                <w:sz w:val="20"/>
              </w:rPr>
            </w:pPr>
            <w:r>
              <w:rPr>
                <w:sz w:val="20"/>
              </w:rPr>
              <w:t>1°36′00″</w:t>
            </w:r>
            <w:r>
              <w:rPr>
                <w:spacing w:val="2"/>
                <w:sz w:val="20"/>
              </w:rPr>
              <w:t> </w:t>
            </w:r>
            <w:r>
              <w:rPr>
                <w:spacing w:val="-10"/>
                <w:sz w:val="20"/>
              </w:rPr>
              <w:t>S</w:t>
            </w:r>
          </w:p>
        </w:tc>
      </w:tr>
      <w:tr>
        <w:trPr>
          <w:trHeight w:val="390" w:hRule="atLeast"/>
        </w:trPr>
        <w:tc>
          <w:tcPr>
            <w:tcW w:w="3446" w:type="dxa"/>
            <w:tcBorders>
              <w:top w:val="single" w:sz="4" w:space="0" w:color="7D7D7D"/>
              <w:bottom w:val="single" w:sz="4" w:space="0" w:color="7D7D7D"/>
            </w:tcBorders>
          </w:tcPr>
          <w:p>
            <w:pPr>
              <w:pStyle w:val="TableParagraph"/>
              <w:spacing w:before="3"/>
              <w:ind w:left="113"/>
              <w:rPr>
                <w:b/>
                <w:sz w:val="20"/>
              </w:rPr>
            </w:pPr>
            <w:r>
              <w:rPr>
                <w:b/>
                <w:spacing w:val="-2"/>
                <w:sz w:val="20"/>
              </w:rPr>
              <w:t>Longitud:</w:t>
            </w:r>
          </w:p>
        </w:tc>
        <w:tc>
          <w:tcPr>
            <w:tcW w:w="4494" w:type="dxa"/>
            <w:tcBorders>
              <w:top w:val="single" w:sz="4" w:space="0" w:color="7D7D7D"/>
              <w:bottom w:val="single" w:sz="4" w:space="0" w:color="7D7D7D"/>
            </w:tcBorders>
          </w:tcPr>
          <w:p>
            <w:pPr>
              <w:pStyle w:val="TableParagraph"/>
              <w:spacing w:before="3"/>
              <w:ind w:left="637"/>
              <w:rPr>
                <w:sz w:val="20"/>
              </w:rPr>
            </w:pPr>
            <w:r>
              <w:rPr>
                <w:sz w:val="20"/>
              </w:rPr>
              <w:t>79°00′00″</w:t>
            </w:r>
            <w:r>
              <w:rPr>
                <w:spacing w:val="1"/>
                <w:sz w:val="20"/>
              </w:rPr>
              <w:t> </w:t>
            </w:r>
            <w:r>
              <w:rPr>
                <w:spacing w:val="-10"/>
                <w:sz w:val="20"/>
              </w:rPr>
              <w:t>O</w:t>
            </w:r>
          </w:p>
        </w:tc>
      </w:tr>
      <w:tr>
        <w:trPr>
          <w:trHeight w:val="390" w:hRule="atLeast"/>
        </w:trPr>
        <w:tc>
          <w:tcPr>
            <w:tcW w:w="3446" w:type="dxa"/>
            <w:tcBorders>
              <w:top w:val="single" w:sz="4" w:space="0" w:color="7D7D7D"/>
              <w:bottom w:val="single" w:sz="4" w:space="0" w:color="7D7D7D"/>
            </w:tcBorders>
          </w:tcPr>
          <w:p>
            <w:pPr>
              <w:pStyle w:val="TableParagraph"/>
              <w:spacing w:before="3"/>
              <w:ind w:left="113"/>
              <w:rPr>
                <w:b/>
                <w:sz w:val="20"/>
              </w:rPr>
            </w:pPr>
            <w:r>
              <w:rPr>
                <w:b/>
                <w:spacing w:val="-2"/>
                <w:sz w:val="20"/>
              </w:rPr>
              <w:t>Temperatura</w:t>
            </w:r>
            <w:r>
              <w:rPr>
                <w:b/>
                <w:spacing w:val="1"/>
                <w:sz w:val="20"/>
              </w:rPr>
              <w:t> </w:t>
            </w:r>
            <w:r>
              <w:rPr>
                <w:b/>
                <w:spacing w:val="-2"/>
                <w:sz w:val="20"/>
              </w:rPr>
              <w:t>máxima:</w:t>
            </w:r>
          </w:p>
        </w:tc>
        <w:tc>
          <w:tcPr>
            <w:tcW w:w="4494" w:type="dxa"/>
            <w:tcBorders>
              <w:top w:val="single" w:sz="4" w:space="0" w:color="7D7D7D"/>
              <w:bottom w:val="single" w:sz="4" w:space="0" w:color="7D7D7D"/>
            </w:tcBorders>
          </w:tcPr>
          <w:p>
            <w:pPr>
              <w:pStyle w:val="TableParagraph"/>
              <w:spacing w:before="3"/>
              <w:ind w:left="637"/>
              <w:rPr>
                <w:sz w:val="20"/>
              </w:rPr>
            </w:pPr>
            <w:r>
              <w:rPr>
                <w:sz w:val="20"/>
              </w:rPr>
              <w:t>22</w:t>
            </w:r>
            <w:r>
              <w:rPr>
                <w:spacing w:val="1"/>
                <w:sz w:val="20"/>
              </w:rPr>
              <w:t> </w:t>
            </w:r>
            <w:r>
              <w:rPr>
                <w:spacing w:val="-5"/>
                <w:sz w:val="20"/>
              </w:rPr>
              <w:t>°C</w:t>
            </w:r>
          </w:p>
        </w:tc>
      </w:tr>
      <w:tr>
        <w:trPr>
          <w:trHeight w:val="390" w:hRule="atLeast"/>
        </w:trPr>
        <w:tc>
          <w:tcPr>
            <w:tcW w:w="3446" w:type="dxa"/>
            <w:tcBorders>
              <w:top w:val="single" w:sz="4" w:space="0" w:color="7D7D7D"/>
              <w:bottom w:val="single" w:sz="4" w:space="0" w:color="7D7D7D"/>
            </w:tcBorders>
          </w:tcPr>
          <w:p>
            <w:pPr>
              <w:pStyle w:val="TableParagraph"/>
              <w:spacing w:before="3"/>
              <w:ind w:left="113"/>
              <w:rPr>
                <w:b/>
                <w:sz w:val="20"/>
              </w:rPr>
            </w:pPr>
            <w:r>
              <w:rPr>
                <w:b/>
                <w:spacing w:val="-2"/>
                <w:sz w:val="20"/>
              </w:rPr>
              <w:t>Temperatura</w:t>
            </w:r>
            <w:r>
              <w:rPr>
                <w:b/>
                <w:spacing w:val="1"/>
                <w:sz w:val="20"/>
              </w:rPr>
              <w:t> </w:t>
            </w:r>
            <w:r>
              <w:rPr>
                <w:b/>
                <w:spacing w:val="-2"/>
                <w:sz w:val="20"/>
              </w:rPr>
              <w:t>mínima:</w:t>
            </w:r>
          </w:p>
        </w:tc>
        <w:tc>
          <w:tcPr>
            <w:tcW w:w="4494" w:type="dxa"/>
            <w:tcBorders>
              <w:top w:val="single" w:sz="4" w:space="0" w:color="7D7D7D"/>
              <w:bottom w:val="single" w:sz="4" w:space="0" w:color="7D7D7D"/>
            </w:tcBorders>
          </w:tcPr>
          <w:p>
            <w:pPr>
              <w:pStyle w:val="TableParagraph"/>
              <w:spacing w:before="3"/>
              <w:ind w:left="637"/>
              <w:rPr>
                <w:sz w:val="20"/>
              </w:rPr>
            </w:pPr>
            <w:r>
              <w:rPr>
                <w:sz w:val="20"/>
              </w:rPr>
              <w:t>10</w:t>
            </w:r>
            <w:r>
              <w:rPr>
                <w:spacing w:val="1"/>
                <w:sz w:val="20"/>
              </w:rPr>
              <w:t> </w:t>
            </w:r>
            <w:r>
              <w:rPr>
                <w:spacing w:val="-5"/>
                <w:sz w:val="20"/>
              </w:rPr>
              <w:t>°C</w:t>
            </w:r>
          </w:p>
        </w:tc>
      </w:tr>
      <w:tr>
        <w:trPr>
          <w:trHeight w:val="389" w:hRule="atLeast"/>
        </w:trPr>
        <w:tc>
          <w:tcPr>
            <w:tcW w:w="3446" w:type="dxa"/>
            <w:tcBorders>
              <w:top w:val="single" w:sz="4" w:space="0" w:color="7D7D7D"/>
              <w:bottom w:val="single" w:sz="4" w:space="0" w:color="7D7D7D"/>
            </w:tcBorders>
          </w:tcPr>
          <w:p>
            <w:pPr>
              <w:pStyle w:val="TableParagraph"/>
              <w:spacing w:before="3"/>
              <w:ind w:left="113"/>
              <w:rPr>
                <w:b/>
                <w:sz w:val="20"/>
              </w:rPr>
            </w:pPr>
            <w:r>
              <w:rPr>
                <w:b/>
                <w:sz w:val="20"/>
              </w:rPr>
              <w:t>Temperatura</w:t>
            </w:r>
            <w:r>
              <w:rPr>
                <w:b/>
                <w:spacing w:val="-12"/>
                <w:sz w:val="20"/>
              </w:rPr>
              <w:t> </w:t>
            </w:r>
            <w:r>
              <w:rPr>
                <w:b/>
                <w:sz w:val="20"/>
              </w:rPr>
              <w:t>media</w:t>
            </w:r>
            <w:r>
              <w:rPr>
                <w:b/>
                <w:spacing w:val="-11"/>
                <w:sz w:val="20"/>
              </w:rPr>
              <w:t> </w:t>
            </w:r>
            <w:r>
              <w:rPr>
                <w:b/>
                <w:spacing w:val="-2"/>
                <w:sz w:val="20"/>
              </w:rPr>
              <w:t>anual:</w:t>
            </w:r>
          </w:p>
        </w:tc>
        <w:tc>
          <w:tcPr>
            <w:tcW w:w="4494" w:type="dxa"/>
            <w:tcBorders>
              <w:top w:val="single" w:sz="4" w:space="0" w:color="7D7D7D"/>
              <w:bottom w:val="single" w:sz="4" w:space="0" w:color="7D7D7D"/>
            </w:tcBorders>
          </w:tcPr>
          <w:p>
            <w:pPr>
              <w:pStyle w:val="TableParagraph"/>
              <w:spacing w:before="3"/>
              <w:ind w:left="637"/>
              <w:rPr>
                <w:sz w:val="20"/>
              </w:rPr>
            </w:pPr>
            <w:r>
              <w:rPr>
                <w:sz w:val="20"/>
              </w:rPr>
              <w:t>16</w:t>
            </w:r>
            <w:r>
              <w:rPr>
                <w:spacing w:val="1"/>
                <w:sz w:val="20"/>
              </w:rPr>
              <w:t> </w:t>
            </w:r>
            <w:r>
              <w:rPr>
                <w:spacing w:val="-5"/>
                <w:sz w:val="20"/>
              </w:rPr>
              <w:t>°C</w:t>
            </w:r>
          </w:p>
        </w:tc>
      </w:tr>
      <w:tr>
        <w:trPr>
          <w:trHeight w:val="389" w:hRule="atLeast"/>
        </w:trPr>
        <w:tc>
          <w:tcPr>
            <w:tcW w:w="3446" w:type="dxa"/>
            <w:tcBorders>
              <w:top w:val="single" w:sz="4" w:space="0" w:color="7D7D7D"/>
              <w:bottom w:val="single" w:sz="4" w:space="0" w:color="7D7D7D"/>
            </w:tcBorders>
          </w:tcPr>
          <w:p>
            <w:pPr>
              <w:pStyle w:val="TableParagraph"/>
              <w:spacing w:before="3"/>
              <w:ind w:left="113"/>
              <w:rPr>
                <w:b/>
                <w:sz w:val="20"/>
              </w:rPr>
            </w:pPr>
            <w:r>
              <w:rPr>
                <w:b/>
                <w:sz w:val="20"/>
              </w:rPr>
              <w:t>Humedad</w:t>
            </w:r>
            <w:r>
              <w:rPr>
                <w:b/>
                <w:spacing w:val="-3"/>
                <w:sz w:val="20"/>
              </w:rPr>
              <w:t> </w:t>
            </w:r>
            <w:r>
              <w:rPr>
                <w:b/>
                <w:sz w:val="20"/>
              </w:rPr>
              <w:t>relativa</w:t>
            </w:r>
            <w:r>
              <w:rPr>
                <w:b/>
                <w:spacing w:val="-5"/>
                <w:sz w:val="20"/>
              </w:rPr>
              <w:t> </w:t>
            </w:r>
            <w:r>
              <w:rPr>
                <w:b/>
                <w:sz w:val="20"/>
              </w:rPr>
              <w:t>media</w:t>
            </w:r>
            <w:r>
              <w:rPr>
                <w:b/>
                <w:spacing w:val="-3"/>
                <w:sz w:val="20"/>
              </w:rPr>
              <w:t> </w:t>
            </w:r>
            <w:r>
              <w:rPr>
                <w:b/>
                <w:spacing w:val="-2"/>
                <w:sz w:val="20"/>
              </w:rPr>
              <w:t>anual:</w:t>
            </w:r>
          </w:p>
        </w:tc>
        <w:tc>
          <w:tcPr>
            <w:tcW w:w="4494" w:type="dxa"/>
            <w:tcBorders>
              <w:top w:val="single" w:sz="4" w:space="0" w:color="7D7D7D"/>
              <w:bottom w:val="single" w:sz="4" w:space="0" w:color="7D7D7D"/>
            </w:tcBorders>
          </w:tcPr>
          <w:p>
            <w:pPr>
              <w:pStyle w:val="TableParagraph"/>
              <w:spacing w:before="3"/>
              <w:ind w:left="637"/>
              <w:rPr>
                <w:sz w:val="20"/>
              </w:rPr>
            </w:pPr>
            <w:r>
              <w:rPr>
                <w:sz w:val="20"/>
              </w:rPr>
              <w:t>75</w:t>
            </w:r>
            <w:r>
              <w:rPr>
                <w:spacing w:val="1"/>
                <w:sz w:val="20"/>
              </w:rPr>
              <w:t> </w:t>
            </w:r>
            <w:r>
              <w:rPr>
                <w:spacing w:val="-10"/>
                <w:sz w:val="20"/>
              </w:rPr>
              <w:t>%</w:t>
            </w:r>
          </w:p>
        </w:tc>
      </w:tr>
      <w:tr>
        <w:trPr>
          <w:trHeight w:val="390" w:hRule="atLeast"/>
        </w:trPr>
        <w:tc>
          <w:tcPr>
            <w:tcW w:w="3446" w:type="dxa"/>
            <w:tcBorders>
              <w:top w:val="single" w:sz="4" w:space="0" w:color="7D7D7D"/>
              <w:bottom w:val="single" w:sz="4" w:space="0" w:color="7D7D7D"/>
            </w:tcBorders>
          </w:tcPr>
          <w:p>
            <w:pPr>
              <w:pStyle w:val="TableParagraph"/>
              <w:spacing w:before="3"/>
              <w:ind w:left="113"/>
              <w:rPr>
                <w:b/>
                <w:sz w:val="20"/>
              </w:rPr>
            </w:pPr>
            <w:r>
              <w:rPr>
                <w:b/>
                <w:sz w:val="20"/>
              </w:rPr>
              <w:t>Precipitación</w:t>
            </w:r>
            <w:r>
              <w:rPr>
                <w:b/>
                <w:spacing w:val="-11"/>
                <w:sz w:val="20"/>
              </w:rPr>
              <w:t> </w:t>
            </w:r>
            <w:r>
              <w:rPr>
                <w:b/>
                <w:sz w:val="20"/>
              </w:rPr>
              <w:t>media</w:t>
            </w:r>
            <w:r>
              <w:rPr>
                <w:b/>
                <w:spacing w:val="-4"/>
                <w:sz w:val="20"/>
              </w:rPr>
              <w:t> </w:t>
            </w:r>
            <w:r>
              <w:rPr>
                <w:b/>
                <w:spacing w:val="-2"/>
                <w:sz w:val="20"/>
              </w:rPr>
              <w:t>anual:</w:t>
            </w:r>
          </w:p>
        </w:tc>
        <w:tc>
          <w:tcPr>
            <w:tcW w:w="4494" w:type="dxa"/>
            <w:tcBorders>
              <w:top w:val="single" w:sz="4" w:space="0" w:color="7D7D7D"/>
              <w:bottom w:val="single" w:sz="4" w:space="0" w:color="7D7D7D"/>
            </w:tcBorders>
          </w:tcPr>
          <w:p>
            <w:pPr>
              <w:pStyle w:val="TableParagraph"/>
              <w:spacing w:before="3"/>
              <w:ind w:left="637"/>
              <w:rPr>
                <w:sz w:val="20"/>
              </w:rPr>
            </w:pPr>
            <w:r>
              <w:rPr>
                <w:sz w:val="20"/>
              </w:rPr>
              <w:t>1200</w:t>
            </w:r>
            <w:r>
              <w:rPr>
                <w:spacing w:val="1"/>
                <w:sz w:val="20"/>
              </w:rPr>
              <w:t> </w:t>
            </w:r>
            <w:r>
              <w:rPr>
                <w:spacing w:val="-5"/>
                <w:sz w:val="20"/>
              </w:rPr>
              <w:t>mm</w:t>
            </w:r>
          </w:p>
        </w:tc>
      </w:tr>
    </w:tbl>
    <w:p>
      <w:pPr>
        <w:spacing w:before="1"/>
        <w:ind w:left="994" w:right="0" w:firstLine="0"/>
        <w:jc w:val="left"/>
        <w:rPr>
          <w:sz w:val="20"/>
        </w:rPr>
      </w:pPr>
      <w:r>
        <w:rPr>
          <w:i/>
          <w:sz w:val="20"/>
        </w:rPr>
        <w:t>Nota.</w:t>
      </w:r>
      <w:r>
        <w:rPr>
          <w:i/>
          <w:spacing w:val="-1"/>
          <w:sz w:val="20"/>
        </w:rPr>
        <w:t> </w:t>
      </w:r>
      <w:r>
        <w:rPr>
          <w:sz w:val="20"/>
        </w:rPr>
        <w:t>INAMHI</w:t>
      </w:r>
      <w:r>
        <w:rPr>
          <w:spacing w:val="-5"/>
          <w:sz w:val="20"/>
        </w:rPr>
        <w:t> </w:t>
      </w:r>
      <w:r>
        <w:rPr>
          <w:sz w:val="20"/>
        </w:rPr>
        <w:t>(datos</w:t>
      </w:r>
      <w:r>
        <w:rPr>
          <w:spacing w:val="-6"/>
          <w:sz w:val="20"/>
        </w:rPr>
        <w:t> </w:t>
      </w:r>
      <w:r>
        <w:rPr>
          <w:sz w:val="20"/>
        </w:rPr>
        <w:t>climatológicos)</w:t>
      </w:r>
      <w:r>
        <w:rPr>
          <w:spacing w:val="1"/>
          <w:sz w:val="20"/>
        </w:rPr>
        <w:t> </w:t>
      </w:r>
      <w:r>
        <w:rPr>
          <w:sz w:val="20"/>
        </w:rPr>
        <w:t>e</w:t>
      </w:r>
      <w:r>
        <w:rPr>
          <w:spacing w:val="-9"/>
          <w:sz w:val="20"/>
        </w:rPr>
        <w:t> </w:t>
      </w:r>
      <w:r>
        <w:rPr>
          <w:sz w:val="20"/>
        </w:rPr>
        <w:t>IGM</w:t>
      </w:r>
      <w:r>
        <w:rPr>
          <w:spacing w:val="-7"/>
          <w:sz w:val="20"/>
        </w:rPr>
        <w:t> </w:t>
      </w:r>
      <w:r>
        <w:rPr>
          <w:sz w:val="20"/>
        </w:rPr>
        <w:t>(datos</w:t>
      </w:r>
      <w:r>
        <w:rPr>
          <w:spacing w:val="-7"/>
          <w:sz w:val="20"/>
        </w:rPr>
        <w:t> </w:t>
      </w:r>
      <w:r>
        <w:rPr>
          <w:sz w:val="20"/>
        </w:rPr>
        <w:t>geográficos),</w:t>
      </w:r>
      <w:r>
        <w:rPr>
          <w:spacing w:val="-2"/>
          <w:sz w:val="20"/>
        </w:rPr>
        <w:t> Ecuador.</w:t>
      </w:r>
    </w:p>
    <w:p>
      <w:pPr>
        <w:spacing w:after="0"/>
        <w:jc w:val="left"/>
        <w:rPr>
          <w:sz w:val="20"/>
        </w:rPr>
        <w:sectPr>
          <w:pgSz w:w="11900" w:h="16840"/>
          <w:pgMar w:top="1620" w:bottom="280" w:left="1275" w:right="992"/>
        </w:sectPr>
      </w:pPr>
    </w:p>
    <w:p>
      <w:pPr>
        <w:pStyle w:val="Heading3"/>
        <w:numPr>
          <w:ilvl w:val="1"/>
          <w:numId w:val="10"/>
        </w:numPr>
        <w:tabs>
          <w:tab w:pos="1426" w:val="left" w:leader="none"/>
        </w:tabs>
        <w:spacing w:line="240" w:lineRule="auto" w:before="60" w:after="0"/>
        <w:ind w:left="1426" w:right="0" w:hanging="432"/>
        <w:jc w:val="both"/>
      </w:pPr>
      <w:r>
        <w:rPr>
          <w:spacing w:val="-2"/>
        </w:rPr>
        <w:t>Metodología</w:t>
      </w:r>
    </w:p>
    <w:p>
      <w:pPr>
        <w:pStyle w:val="BodyText"/>
        <w:spacing w:before="104"/>
        <w:rPr>
          <w:b/>
        </w:rPr>
      </w:pPr>
    </w:p>
    <w:p>
      <w:pPr>
        <w:pStyle w:val="BodyText"/>
        <w:spacing w:line="357" w:lineRule="auto"/>
        <w:ind w:left="994" w:right="722"/>
        <w:jc w:val="both"/>
      </w:pPr>
      <w:r>
        <w:rPr/>
        <w:t>Se diseño un estudio de índole experimental en entorno de laboratorio; dicha investigación se adhiere a una perspectiva cuantitativa.</w:t>
      </w:r>
    </w:p>
    <w:p>
      <w:pPr>
        <w:pStyle w:val="BodyText"/>
        <w:spacing w:before="194"/>
      </w:pPr>
    </w:p>
    <w:p>
      <w:pPr>
        <w:pStyle w:val="Heading3"/>
        <w:numPr>
          <w:ilvl w:val="1"/>
          <w:numId w:val="10"/>
        </w:numPr>
        <w:tabs>
          <w:tab w:pos="1486" w:val="left" w:leader="none"/>
        </w:tabs>
        <w:spacing w:line="240" w:lineRule="auto" w:before="0" w:after="0"/>
        <w:ind w:left="1486" w:right="0" w:hanging="492"/>
        <w:jc w:val="both"/>
      </w:pPr>
      <w:bookmarkStart w:name="_bookmark30" w:id="31"/>
      <w:bookmarkEnd w:id="31"/>
      <w:r>
        <w:rPr>
          <w:b w:val="0"/>
        </w:rPr>
      </w:r>
      <w:r>
        <w:rPr/>
        <w:t>Material</w:t>
      </w:r>
      <w:r>
        <w:rPr>
          <w:spacing w:val="1"/>
        </w:rPr>
        <w:t> </w:t>
      </w:r>
      <w:r>
        <w:rPr/>
        <w:t>En</w:t>
      </w:r>
      <w:r>
        <w:rPr>
          <w:spacing w:val="-6"/>
        </w:rPr>
        <w:t> </w:t>
      </w:r>
      <w:r>
        <w:rPr>
          <w:spacing w:val="-2"/>
        </w:rPr>
        <w:t>Estudio</w:t>
      </w:r>
    </w:p>
    <w:p>
      <w:pPr>
        <w:pStyle w:val="BodyText"/>
        <w:spacing w:before="104"/>
        <w:rPr>
          <w:b/>
        </w:rPr>
      </w:pPr>
    </w:p>
    <w:p>
      <w:pPr>
        <w:spacing w:before="0"/>
        <w:ind w:left="994" w:right="0" w:firstLine="0"/>
        <w:jc w:val="both"/>
        <w:rPr>
          <w:b/>
          <w:sz w:val="24"/>
        </w:rPr>
      </w:pPr>
      <w:r>
        <w:rPr>
          <w:b/>
          <w:sz w:val="24"/>
        </w:rPr>
        <w:t>Cepas</w:t>
      </w:r>
      <w:r>
        <w:rPr>
          <w:b/>
          <w:spacing w:val="-9"/>
          <w:sz w:val="24"/>
        </w:rPr>
        <w:t> </w:t>
      </w:r>
      <w:r>
        <w:rPr>
          <w:b/>
          <w:sz w:val="24"/>
        </w:rPr>
        <w:t>de</w:t>
      </w:r>
      <w:r>
        <w:rPr>
          <w:b/>
          <w:spacing w:val="-5"/>
          <w:sz w:val="24"/>
        </w:rPr>
        <w:t> </w:t>
      </w:r>
      <w:r>
        <w:rPr>
          <w:b/>
          <w:i/>
          <w:sz w:val="24"/>
        </w:rPr>
        <w:t>Staphylococcus</w:t>
      </w:r>
      <w:r>
        <w:rPr>
          <w:b/>
          <w:i/>
          <w:spacing w:val="-6"/>
          <w:sz w:val="24"/>
        </w:rPr>
        <w:t> </w:t>
      </w:r>
      <w:r>
        <w:rPr>
          <w:b/>
          <w:i/>
          <w:sz w:val="24"/>
        </w:rPr>
        <w:t>aureus</w:t>
      </w:r>
      <w:r>
        <w:rPr>
          <w:b/>
          <w:i/>
          <w:spacing w:val="-3"/>
          <w:sz w:val="24"/>
        </w:rPr>
        <w:t> </w:t>
      </w:r>
      <w:r>
        <w:rPr>
          <w:b/>
          <w:sz w:val="24"/>
        </w:rPr>
        <w:t>resistentes</w:t>
      </w:r>
      <w:r>
        <w:rPr>
          <w:b/>
          <w:spacing w:val="-6"/>
          <w:sz w:val="24"/>
        </w:rPr>
        <w:t> </w:t>
      </w:r>
      <w:r>
        <w:rPr>
          <w:b/>
          <w:sz w:val="24"/>
        </w:rPr>
        <w:t>a</w:t>
      </w:r>
      <w:r>
        <w:rPr>
          <w:b/>
          <w:spacing w:val="-7"/>
          <w:sz w:val="24"/>
        </w:rPr>
        <w:t> </w:t>
      </w:r>
      <w:r>
        <w:rPr>
          <w:b/>
          <w:sz w:val="24"/>
        </w:rPr>
        <w:t>meticilina</w:t>
      </w:r>
      <w:r>
        <w:rPr>
          <w:b/>
          <w:spacing w:val="-5"/>
          <w:sz w:val="24"/>
        </w:rPr>
        <w:t> </w:t>
      </w:r>
      <w:r>
        <w:rPr>
          <w:b/>
          <w:spacing w:val="-2"/>
          <w:sz w:val="24"/>
        </w:rPr>
        <w:t>(MRSA)</w:t>
      </w:r>
    </w:p>
    <w:p>
      <w:pPr>
        <w:pStyle w:val="BodyText"/>
        <w:spacing w:before="20"/>
        <w:rPr>
          <w:b/>
        </w:rPr>
      </w:pPr>
    </w:p>
    <w:p>
      <w:pPr>
        <w:pStyle w:val="BodyText"/>
        <w:spacing w:line="360" w:lineRule="auto"/>
        <w:ind w:left="994" w:right="702"/>
        <w:jc w:val="both"/>
      </w:pPr>
      <w:r>
        <w:rPr/>
        <w:t>Las cepas bacterianas usadas en el estudio provinieron de evidencias clínicas obtenidas</w:t>
      </w:r>
      <w:r>
        <w:rPr>
          <w:spacing w:val="-13"/>
        </w:rPr>
        <w:t> </w:t>
      </w:r>
      <w:r>
        <w:rPr/>
        <w:t>por</w:t>
      </w:r>
      <w:r>
        <w:rPr>
          <w:spacing w:val="-11"/>
        </w:rPr>
        <w:t> </w:t>
      </w:r>
      <w:r>
        <w:rPr/>
        <w:t>hisopado</w:t>
      </w:r>
      <w:r>
        <w:rPr>
          <w:spacing w:val="-15"/>
        </w:rPr>
        <w:t> </w:t>
      </w:r>
      <w:r>
        <w:rPr/>
        <w:t>cutáneo</w:t>
      </w:r>
      <w:r>
        <w:rPr>
          <w:spacing w:val="-11"/>
        </w:rPr>
        <w:t> </w:t>
      </w:r>
      <w:r>
        <w:rPr/>
        <w:t>a</w:t>
      </w:r>
      <w:r>
        <w:rPr>
          <w:spacing w:val="-10"/>
        </w:rPr>
        <w:t> </w:t>
      </w:r>
      <w:r>
        <w:rPr/>
        <w:t>un</w:t>
      </w:r>
      <w:r>
        <w:rPr>
          <w:spacing w:val="-15"/>
        </w:rPr>
        <w:t> </w:t>
      </w:r>
      <w:r>
        <w:rPr/>
        <w:t>canino</w:t>
      </w:r>
      <w:r>
        <w:rPr>
          <w:spacing w:val="-11"/>
        </w:rPr>
        <w:t> </w:t>
      </w:r>
      <w:r>
        <w:rPr/>
        <w:t>con</w:t>
      </w:r>
      <w:r>
        <w:rPr>
          <w:spacing w:val="-11"/>
        </w:rPr>
        <w:t> </w:t>
      </w:r>
      <w:r>
        <w:rPr/>
        <w:t>signos</w:t>
      </w:r>
      <w:r>
        <w:rPr>
          <w:spacing w:val="-13"/>
        </w:rPr>
        <w:t> </w:t>
      </w:r>
      <w:r>
        <w:rPr/>
        <w:t>compatibles</w:t>
      </w:r>
      <w:r>
        <w:rPr>
          <w:spacing w:val="-13"/>
        </w:rPr>
        <w:t> </w:t>
      </w:r>
      <w:r>
        <w:rPr/>
        <w:t>con</w:t>
      </w:r>
      <w:r>
        <w:rPr>
          <w:spacing w:val="-11"/>
        </w:rPr>
        <w:t> </w:t>
      </w:r>
      <w:r>
        <w:rPr/>
        <w:t>piodermas. Las evidencias se procesaron en el laboratorio de microbiología de la Universidad Estatal de Bolívar, donde se realizó el aislamiento, la identificación y la confirmación microbiológica de Staphylococcus aureus resistente a meticilina (MRSA), mediante medios selectivos y pruebas bioquímicas estandarizadas.</w:t>
      </w:r>
    </w:p>
    <w:p>
      <w:pPr>
        <w:pStyle w:val="Heading3"/>
        <w:spacing w:before="165"/>
      </w:pPr>
      <w:r>
        <w:rPr/>
        <w:t>Compuestos</w:t>
      </w:r>
      <w:r>
        <w:rPr>
          <w:spacing w:val="-12"/>
        </w:rPr>
        <w:t> </w:t>
      </w:r>
      <w:r>
        <w:rPr/>
        <w:t>de</w:t>
      </w:r>
      <w:r>
        <w:rPr>
          <w:spacing w:val="-5"/>
        </w:rPr>
        <w:t> </w:t>
      </w:r>
      <w:r>
        <w:rPr>
          <w:spacing w:val="-2"/>
        </w:rPr>
        <w:t>prueba</w:t>
      </w:r>
    </w:p>
    <w:p>
      <w:pPr>
        <w:pStyle w:val="BodyText"/>
        <w:spacing w:before="24"/>
        <w:rPr>
          <w:b/>
        </w:rPr>
      </w:pPr>
    </w:p>
    <w:p>
      <w:pPr>
        <w:pStyle w:val="BodyText"/>
        <w:spacing w:line="357" w:lineRule="auto" w:before="1"/>
        <w:ind w:left="994" w:right="708"/>
        <w:jc w:val="both"/>
      </w:pPr>
      <w:r>
        <w:rPr/>
        <w:t>Se utilizó aceite de cannabidiol (CBD) de grado farmacéutico; junto con antibióticos de uso común en medicina veterinaria: amoxicilina, cefalexina y enrofloxacina. Todos los compuestos se aplicaron de acuerdo con las concentraciones establecidas para los ensayos in vitro.</w:t>
      </w:r>
    </w:p>
    <w:p>
      <w:pPr>
        <w:pStyle w:val="Heading3"/>
        <w:numPr>
          <w:ilvl w:val="1"/>
          <w:numId w:val="10"/>
        </w:numPr>
        <w:tabs>
          <w:tab w:pos="1426" w:val="left" w:leader="none"/>
        </w:tabs>
        <w:spacing w:line="240" w:lineRule="auto" w:before="167" w:after="0"/>
        <w:ind w:left="1426" w:right="0" w:hanging="432"/>
        <w:jc w:val="both"/>
      </w:pPr>
      <w:r>
        <w:rPr/>
        <w:t>Factores En </w:t>
      </w:r>
      <w:r>
        <w:rPr>
          <w:spacing w:val="-2"/>
        </w:rPr>
        <w:t>Estudio</w:t>
      </w:r>
    </w:p>
    <w:p>
      <w:pPr>
        <w:pStyle w:val="BodyText"/>
        <w:spacing w:before="264"/>
        <w:rPr>
          <w:b/>
        </w:rPr>
      </w:pPr>
    </w:p>
    <w:p>
      <w:pPr>
        <w:spacing w:before="0"/>
        <w:ind w:left="1001" w:right="0" w:firstLine="0"/>
        <w:jc w:val="both"/>
        <w:rPr>
          <w:b/>
          <w:sz w:val="24"/>
        </w:rPr>
      </w:pPr>
      <w:r>
        <w:rPr>
          <w:b/>
          <w:spacing w:val="-2"/>
          <w:sz w:val="24"/>
        </w:rPr>
        <w:t>Variable</w:t>
      </w:r>
      <w:r>
        <w:rPr>
          <w:b/>
          <w:spacing w:val="-13"/>
          <w:sz w:val="24"/>
        </w:rPr>
        <w:t> </w:t>
      </w:r>
      <w:r>
        <w:rPr>
          <w:b/>
          <w:spacing w:val="-2"/>
          <w:sz w:val="24"/>
        </w:rPr>
        <w:t>independiente</w:t>
      </w:r>
      <w:r>
        <w:rPr>
          <w:b/>
          <w:spacing w:val="-7"/>
          <w:sz w:val="24"/>
        </w:rPr>
        <w:t> </w:t>
      </w:r>
      <w:r>
        <w:rPr>
          <w:b/>
          <w:spacing w:val="-10"/>
          <w:sz w:val="24"/>
        </w:rPr>
        <w:t>1</w:t>
      </w:r>
    </w:p>
    <w:p>
      <w:pPr>
        <w:pStyle w:val="BodyText"/>
        <w:spacing w:before="95"/>
        <w:rPr>
          <w:b/>
        </w:rPr>
      </w:pPr>
    </w:p>
    <w:p>
      <w:pPr>
        <w:pStyle w:val="ListParagraph"/>
        <w:numPr>
          <w:ilvl w:val="0"/>
          <w:numId w:val="12"/>
        </w:numPr>
        <w:tabs>
          <w:tab w:pos="1713" w:val="left" w:leader="none"/>
        </w:tabs>
        <w:spacing w:line="240" w:lineRule="auto" w:before="0" w:after="0"/>
        <w:ind w:left="1713" w:right="0" w:hanging="360"/>
        <w:jc w:val="left"/>
        <w:rPr>
          <w:sz w:val="24"/>
        </w:rPr>
      </w:pPr>
      <w:r>
        <w:rPr>
          <w:sz w:val="24"/>
        </w:rPr>
        <w:t>Uso</w:t>
      </w:r>
      <w:r>
        <w:rPr>
          <w:spacing w:val="-4"/>
          <w:sz w:val="24"/>
        </w:rPr>
        <w:t> </w:t>
      </w:r>
      <w:r>
        <w:rPr>
          <w:sz w:val="24"/>
        </w:rPr>
        <w:t>del</w:t>
      </w:r>
      <w:r>
        <w:rPr>
          <w:spacing w:val="-1"/>
          <w:sz w:val="24"/>
        </w:rPr>
        <w:t> </w:t>
      </w:r>
      <w:r>
        <w:rPr>
          <w:sz w:val="24"/>
        </w:rPr>
        <w:t>cannabidiol</w:t>
      </w:r>
      <w:r>
        <w:rPr>
          <w:spacing w:val="-1"/>
          <w:sz w:val="24"/>
        </w:rPr>
        <w:t> </w:t>
      </w:r>
      <w:r>
        <w:rPr>
          <w:sz w:val="24"/>
        </w:rPr>
        <w:t>(CBD)</w:t>
      </w:r>
      <w:r>
        <w:rPr>
          <w:spacing w:val="-2"/>
          <w:sz w:val="24"/>
        </w:rPr>
        <w:t> </w:t>
      </w:r>
      <w:r>
        <w:rPr>
          <w:sz w:val="24"/>
        </w:rPr>
        <w:t>como</w:t>
      </w:r>
      <w:r>
        <w:rPr>
          <w:spacing w:val="-2"/>
          <w:sz w:val="24"/>
        </w:rPr>
        <w:t> </w:t>
      </w:r>
      <w:r>
        <w:rPr>
          <w:sz w:val="24"/>
        </w:rPr>
        <w:t>sustancia</w:t>
      </w:r>
      <w:r>
        <w:rPr>
          <w:spacing w:val="-1"/>
          <w:sz w:val="24"/>
        </w:rPr>
        <w:t> </w:t>
      </w:r>
      <w:r>
        <w:rPr>
          <w:sz w:val="24"/>
        </w:rPr>
        <w:t>con</w:t>
      </w:r>
      <w:r>
        <w:rPr>
          <w:spacing w:val="-2"/>
          <w:sz w:val="24"/>
        </w:rPr>
        <w:t> </w:t>
      </w:r>
      <w:r>
        <w:rPr>
          <w:sz w:val="24"/>
        </w:rPr>
        <w:t>acción</w:t>
      </w:r>
      <w:r>
        <w:rPr>
          <w:spacing w:val="-6"/>
          <w:sz w:val="24"/>
        </w:rPr>
        <w:t> </w:t>
      </w:r>
      <w:r>
        <w:rPr>
          <w:spacing w:val="-2"/>
          <w:sz w:val="24"/>
        </w:rPr>
        <w:t>antibacteriana.</w:t>
      </w:r>
    </w:p>
    <w:p>
      <w:pPr>
        <w:pStyle w:val="BodyText"/>
        <w:spacing w:before="244"/>
      </w:pPr>
    </w:p>
    <w:p>
      <w:pPr>
        <w:pStyle w:val="Heading3"/>
      </w:pPr>
      <w:r>
        <w:rPr>
          <w:spacing w:val="-2"/>
        </w:rPr>
        <w:t>Variable</w:t>
      </w:r>
      <w:r>
        <w:rPr>
          <w:spacing w:val="-7"/>
        </w:rPr>
        <w:t> </w:t>
      </w:r>
      <w:r>
        <w:rPr>
          <w:spacing w:val="-2"/>
        </w:rPr>
        <w:t>independiente</w:t>
      </w:r>
      <w:r>
        <w:rPr>
          <w:spacing w:val="5"/>
        </w:rPr>
        <w:t> </w:t>
      </w:r>
      <w:r>
        <w:rPr>
          <w:spacing w:val="-10"/>
        </w:rPr>
        <w:t>2</w:t>
      </w:r>
    </w:p>
    <w:p>
      <w:pPr>
        <w:pStyle w:val="BodyText"/>
        <w:spacing w:before="103"/>
        <w:rPr>
          <w:b/>
        </w:rPr>
      </w:pPr>
    </w:p>
    <w:p>
      <w:pPr>
        <w:pStyle w:val="ListParagraph"/>
        <w:numPr>
          <w:ilvl w:val="0"/>
          <w:numId w:val="12"/>
        </w:numPr>
        <w:tabs>
          <w:tab w:pos="1713" w:val="left" w:leader="none"/>
        </w:tabs>
        <w:spacing w:line="451" w:lineRule="auto" w:before="0" w:after="0"/>
        <w:ind w:left="1713" w:right="1445" w:hanging="360"/>
        <w:jc w:val="left"/>
        <w:rPr>
          <w:sz w:val="24"/>
        </w:rPr>
      </w:pPr>
      <w:r>
        <w:rPr>
          <w:sz w:val="24"/>
        </w:rPr>
        <w:t>La</w:t>
      </w:r>
      <w:r>
        <w:rPr>
          <w:spacing w:val="-5"/>
          <w:sz w:val="24"/>
        </w:rPr>
        <w:t> </w:t>
      </w:r>
      <w:r>
        <w:rPr>
          <w:sz w:val="24"/>
        </w:rPr>
        <w:t>aplicación</w:t>
      </w:r>
      <w:r>
        <w:rPr>
          <w:spacing w:val="-6"/>
          <w:sz w:val="24"/>
        </w:rPr>
        <w:t> </w:t>
      </w:r>
      <w:r>
        <w:rPr>
          <w:sz w:val="24"/>
        </w:rPr>
        <w:t>de</w:t>
      </w:r>
      <w:r>
        <w:rPr>
          <w:spacing w:val="-5"/>
          <w:sz w:val="24"/>
        </w:rPr>
        <w:t> </w:t>
      </w:r>
      <w:r>
        <w:rPr>
          <w:sz w:val="24"/>
        </w:rPr>
        <w:t>cannabidiol</w:t>
      </w:r>
      <w:r>
        <w:rPr>
          <w:spacing w:val="-5"/>
          <w:sz w:val="24"/>
        </w:rPr>
        <w:t> </w:t>
      </w:r>
      <w:r>
        <w:rPr>
          <w:sz w:val="24"/>
        </w:rPr>
        <w:t>(CBD)</w:t>
      </w:r>
      <w:r>
        <w:rPr>
          <w:spacing w:val="-6"/>
          <w:sz w:val="24"/>
        </w:rPr>
        <w:t> </w:t>
      </w:r>
      <w:r>
        <w:rPr>
          <w:sz w:val="24"/>
        </w:rPr>
        <w:t>junto</w:t>
      </w:r>
      <w:r>
        <w:rPr>
          <w:spacing w:val="-10"/>
          <w:sz w:val="24"/>
        </w:rPr>
        <w:t> </w:t>
      </w:r>
      <w:r>
        <w:rPr>
          <w:sz w:val="24"/>
        </w:rPr>
        <w:t>a</w:t>
      </w:r>
      <w:r>
        <w:rPr>
          <w:spacing w:val="-5"/>
          <w:sz w:val="24"/>
        </w:rPr>
        <w:t> </w:t>
      </w:r>
      <w:r>
        <w:rPr>
          <w:sz w:val="24"/>
        </w:rPr>
        <w:t>medicinas</w:t>
      </w:r>
      <w:r>
        <w:rPr>
          <w:spacing w:val="-7"/>
          <w:sz w:val="24"/>
        </w:rPr>
        <w:t> </w:t>
      </w:r>
      <w:r>
        <w:rPr>
          <w:sz w:val="24"/>
        </w:rPr>
        <w:t>veterinarias: amoxicilina, cefalexina y enrofloxacina.</w:t>
      </w:r>
    </w:p>
    <w:p>
      <w:pPr>
        <w:pStyle w:val="Heading3"/>
        <w:spacing w:before="269"/>
      </w:pPr>
      <w:r>
        <w:rPr>
          <w:spacing w:val="-2"/>
        </w:rPr>
        <w:t>Variables</w:t>
      </w:r>
      <w:r>
        <w:rPr>
          <w:spacing w:val="-10"/>
        </w:rPr>
        <w:t> </w:t>
      </w:r>
      <w:r>
        <w:rPr>
          <w:spacing w:val="-2"/>
        </w:rPr>
        <w:t>dependientes:</w:t>
      </w:r>
    </w:p>
    <w:p>
      <w:pPr>
        <w:pStyle w:val="BodyText"/>
        <w:spacing w:before="103"/>
        <w:rPr>
          <w:b/>
        </w:rPr>
      </w:pPr>
    </w:p>
    <w:p>
      <w:pPr>
        <w:pStyle w:val="ListParagraph"/>
        <w:numPr>
          <w:ilvl w:val="0"/>
          <w:numId w:val="12"/>
        </w:numPr>
        <w:tabs>
          <w:tab w:pos="1713" w:val="left" w:leader="none"/>
        </w:tabs>
        <w:spacing w:line="240" w:lineRule="auto" w:before="1" w:after="0"/>
        <w:ind w:left="1713" w:right="0" w:hanging="360"/>
        <w:jc w:val="left"/>
        <w:rPr>
          <w:sz w:val="24"/>
        </w:rPr>
      </w:pPr>
      <w:r>
        <w:rPr>
          <w:sz w:val="24"/>
        </w:rPr>
        <w:t>Diámetro</w:t>
      </w:r>
      <w:r>
        <w:rPr>
          <w:spacing w:val="-2"/>
          <w:sz w:val="24"/>
        </w:rPr>
        <w:t> </w:t>
      </w:r>
      <w:r>
        <w:rPr>
          <w:sz w:val="24"/>
        </w:rPr>
        <w:t>de aureola de inhibición,</w:t>
      </w:r>
      <w:r>
        <w:rPr>
          <w:spacing w:val="-6"/>
          <w:sz w:val="24"/>
        </w:rPr>
        <w:t> </w:t>
      </w:r>
      <w:r>
        <w:rPr>
          <w:sz w:val="24"/>
        </w:rPr>
        <w:t>medido</w:t>
      </w:r>
      <w:r>
        <w:rPr>
          <w:spacing w:val="-1"/>
          <w:sz w:val="24"/>
        </w:rPr>
        <w:t> </w:t>
      </w:r>
      <w:r>
        <w:rPr>
          <w:sz w:val="24"/>
        </w:rPr>
        <w:t>en</w:t>
      </w:r>
      <w:r>
        <w:rPr>
          <w:spacing w:val="-1"/>
          <w:sz w:val="24"/>
        </w:rPr>
        <w:t> </w:t>
      </w:r>
      <w:r>
        <w:rPr>
          <w:spacing w:val="-2"/>
          <w:sz w:val="24"/>
        </w:rPr>
        <w:t>milímetros.</w:t>
      </w:r>
    </w:p>
    <w:p>
      <w:pPr>
        <w:pStyle w:val="ListParagraph"/>
        <w:spacing w:after="0" w:line="240" w:lineRule="auto"/>
        <w:jc w:val="left"/>
        <w:rPr>
          <w:sz w:val="24"/>
        </w:rPr>
        <w:sectPr>
          <w:pgSz w:w="11900" w:h="16840"/>
          <w:pgMar w:top="1560" w:bottom="280" w:left="1275" w:right="992"/>
        </w:sectPr>
      </w:pPr>
    </w:p>
    <w:p>
      <w:pPr>
        <w:pStyle w:val="ListParagraph"/>
        <w:numPr>
          <w:ilvl w:val="0"/>
          <w:numId w:val="12"/>
        </w:numPr>
        <w:tabs>
          <w:tab w:pos="1713" w:val="left" w:leader="none"/>
        </w:tabs>
        <w:spacing w:line="451" w:lineRule="auto" w:before="79" w:after="0"/>
        <w:ind w:left="1713" w:right="1055" w:hanging="360"/>
        <w:jc w:val="left"/>
        <w:rPr>
          <w:sz w:val="24"/>
        </w:rPr>
      </w:pPr>
      <w:r>
        <w:rPr>
          <w:sz w:val="24"/>
        </w:rPr>
        <w:t>Concentración</w:t>
      </w:r>
      <w:r>
        <w:rPr>
          <w:spacing w:val="-7"/>
          <w:sz w:val="24"/>
        </w:rPr>
        <w:t> </w:t>
      </w:r>
      <w:r>
        <w:rPr>
          <w:sz w:val="24"/>
        </w:rPr>
        <w:t>Mínima</w:t>
      </w:r>
      <w:r>
        <w:rPr>
          <w:spacing w:val="-7"/>
          <w:sz w:val="24"/>
        </w:rPr>
        <w:t> </w:t>
      </w:r>
      <w:r>
        <w:rPr>
          <w:sz w:val="24"/>
        </w:rPr>
        <w:t>Inhibitoria</w:t>
      </w:r>
      <w:r>
        <w:rPr>
          <w:spacing w:val="-7"/>
          <w:sz w:val="24"/>
        </w:rPr>
        <w:t> </w:t>
      </w:r>
      <w:r>
        <w:rPr>
          <w:sz w:val="24"/>
        </w:rPr>
        <w:t>(CMI/MIC)</w:t>
      </w:r>
      <w:r>
        <w:rPr>
          <w:spacing w:val="-7"/>
          <w:sz w:val="24"/>
        </w:rPr>
        <w:t> </w:t>
      </w:r>
      <w:r>
        <w:rPr>
          <w:sz w:val="24"/>
        </w:rPr>
        <w:t>del</w:t>
      </w:r>
      <w:r>
        <w:rPr>
          <w:spacing w:val="-7"/>
          <w:sz w:val="24"/>
        </w:rPr>
        <w:t> </w:t>
      </w:r>
      <w:r>
        <w:rPr>
          <w:sz w:val="24"/>
        </w:rPr>
        <w:t>CBD</w:t>
      </w:r>
      <w:r>
        <w:rPr>
          <w:spacing w:val="-9"/>
          <w:sz w:val="24"/>
        </w:rPr>
        <w:t> </w:t>
      </w:r>
      <w:r>
        <w:rPr>
          <w:sz w:val="24"/>
        </w:rPr>
        <w:t>conjuntamente con los antibióticos.</w:t>
      </w:r>
    </w:p>
    <w:p>
      <w:pPr>
        <w:pStyle w:val="Heading3"/>
        <w:numPr>
          <w:ilvl w:val="1"/>
          <w:numId w:val="10"/>
        </w:numPr>
        <w:tabs>
          <w:tab w:pos="1426" w:val="left" w:leader="none"/>
        </w:tabs>
        <w:spacing w:line="240" w:lineRule="auto" w:before="17" w:after="0"/>
        <w:ind w:left="1426" w:right="0" w:hanging="432"/>
        <w:jc w:val="both"/>
      </w:pPr>
      <w:bookmarkStart w:name="_bookmark31" w:id="32"/>
      <w:bookmarkEnd w:id="32"/>
      <w:r>
        <w:rPr>
          <w:b w:val="0"/>
        </w:rPr>
      </w:r>
      <w:r>
        <w:rPr>
          <w:spacing w:val="-2"/>
        </w:rPr>
        <w:t>Tratamientos</w:t>
      </w:r>
    </w:p>
    <w:p>
      <w:pPr>
        <w:pStyle w:val="BodyText"/>
        <w:spacing w:before="100"/>
        <w:rPr>
          <w:b/>
        </w:rPr>
      </w:pPr>
    </w:p>
    <w:p>
      <w:pPr>
        <w:pStyle w:val="ListParagraph"/>
        <w:numPr>
          <w:ilvl w:val="0"/>
          <w:numId w:val="13"/>
        </w:numPr>
        <w:tabs>
          <w:tab w:pos="1713" w:val="left" w:leader="none"/>
        </w:tabs>
        <w:spacing w:line="240" w:lineRule="auto" w:before="0" w:after="0"/>
        <w:ind w:left="1713" w:right="0" w:hanging="360"/>
        <w:jc w:val="left"/>
        <w:rPr>
          <w:sz w:val="24"/>
        </w:rPr>
      </w:pPr>
      <w:r>
        <w:rPr>
          <w:sz w:val="24"/>
        </w:rPr>
        <w:t>Los</w:t>
      </w:r>
      <w:r>
        <w:rPr>
          <w:spacing w:val="-3"/>
          <w:sz w:val="24"/>
        </w:rPr>
        <w:t> </w:t>
      </w:r>
      <w:r>
        <w:rPr>
          <w:sz w:val="24"/>
        </w:rPr>
        <w:t>tratos</w:t>
      </w:r>
      <w:r>
        <w:rPr>
          <w:spacing w:val="-3"/>
          <w:sz w:val="24"/>
        </w:rPr>
        <w:t> </w:t>
      </w:r>
      <w:r>
        <w:rPr>
          <w:sz w:val="24"/>
        </w:rPr>
        <w:t>se estructuraron</w:t>
      </w:r>
      <w:r>
        <w:rPr>
          <w:spacing w:val="-1"/>
          <w:sz w:val="24"/>
        </w:rPr>
        <w:t> </w:t>
      </w:r>
      <w:r>
        <w:rPr>
          <w:sz w:val="24"/>
        </w:rPr>
        <w:t>según</w:t>
      </w:r>
      <w:r>
        <w:rPr>
          <w:spacing w:val="-5"/>
          <w:sz w:val="24"/>
        </w:rPr>
        <w:t> </w:t>
      </w:r>
      <w:r>
        <w:rPr>
          <w:sz w:val="24"/>
        </w:rPr>
        <w:t>los</w:t>
      </w:r>
      <w:r>
        <w:rPr>
          <w:spacing w:val="-3"/>
          <w:sz w:val="24"/>
        </w:rPr>
        <w:t> </w:t>
      </w:r>
      <w:r>
        <w:rPr>
          <w:sz w:val="24"/>
        </w:rPr>
        <w:t>estudios</w:t>
      </w:r>
      <w:r>
        <w:rPr>
          <w:spacing w:val="-3"/>
          <w:sz w:val="24"/>
        </w:rPr>
        <w:t> </w:t>
      </w:r>
      <w:r>
        <w:rPr>
          <w:sz w:val="24"/>
        </w:rPr>
        <w:t>in </w:t>
      </w:r>
      <w:r>
        <w:rPr>
          <w:spacing w:val="-2"/>
          <w:sz w:val="24"/>
        </w:rPr>
        <w:t>vitro:</w:t>
      </w:r>
    </w:p>
    <w:p>
      <w:pPr>
        <w:pStyle w:val="ListParagraph"/>
        <w:numPr>
          <w:ilvl w:val="0"/>
          <w:numId w:val="13"/>
        </w:numPr>
        <w:tabs>
          <w:tab w:pos="1713" w:val="left" w:leader="none"/>
        </w:tabs>
        <w:spacing w:line="240" w:lineRule="auto" w:before="274" w:after="0"/>
        <w:ind w:left="1713" w:right="0" w:hanging="360"/>
        <w:jc w:val="left"/>
        <w:rPr>
          <w:sz w:val="24"/>
        </w:rPr>
      </w:pPr>
      <w:r>
        <w:rPr>
          <w:sz w:val="24"/>
        </w:rPr>
        <w:t>Cepas</w:t>
      </w:r>
      <w:r>
        <w:rPr>
          <w:spacing w:val="-4"/>
          <w:sz w:val="24"/>
        </w:rPr>
        <w:t> </w:t>
      </w:r>
      <w:r>
        <w:rPr>
          <w:sz w:val="24"/>
        </w:rPr>
        <w:t>confrontadas</w:t>
      </w:r>
      <w:r>
        <w:rPr>
          <w:spacing w:val="-3"/>
          <w:sz w:val="24"/>
        </w:rPr>
        <w:t> </w:t>
      </w:r>
      <w:r>
        <w:rPr>
          <w:sz w:val="24"/>
        </w:rPr>
        <w:t>únicamente al </w:t>
      </w:r>
      <w:r>
        <w:rPr>
          <w:spacing w:val="-2"/>
          <w:sz w:val="24"/>
        </w:rPr>
        <w:t>antibiótico.</w:t>
      </w:r>
    </w:p>
    <w:p>
      <w:pPr>
        <w:pStyle w:val="ListParagraph"/>
        <w:numPr>
          <w:ilvl w:val="0"/>
          <w:numId w:val="13"/>
        </w:numPr>
        <w:tabs>
          <w:tab w:pos="1713" w:val="left" w:leader="none"/>
        </w:tabs>
        <w:spacing w:line="240" w:lineRule="auto" w:before="274" w:after="0"/>
        <w:ind w:left="1713" w:right="0" w:hanging="360"/>
        <w:jc w:val="left"/>
        <w:rPr>
          <w:sz w:val="24"/>
        </w:rPr>
      </w:pPr>
      <w:r>
        <w:rPr>
          <w:sz w:val="24"/>
        </w:rPr>
        <w:t>Cepas</w:t>
      </w:r>
      <w:r>
        <w:rPr>
          <w:spacing w:val="-2"/>
          <w:sz w:val="24"/>
        </w:rPr>
        <w:t> </w:t>
      </w:r>
      <w:r>
        <w:rPr>
          <w:sz w:val="24"/>
        </w:rPr>
        <w:t>confrantadas</w:t>
      </w:r>
      <w:r>
        <w:rPr>
          <w:spacing w:val="-1"/>
          <w:sz w:val="24"/>
        </w:rPr>
        <w:t> </w:t>
      </w:r>
      <w:r>
        <w:rPr>
          <w:sz w:val="24"/>
        </w:rPr>
        <w:t>únicamente</w:t>
      </w:r>
      <w:r>
        <w:rPr>
          <w:spacing w:val="-3"/>
          <w:sz w:val="24"/>
        </w:rPr>
        <w:t> </w:t>
      </w:r>
      <w:r>
        <w:rPr>
          <w:sz w:val="24"/>
        </w:rPr>
        <w:t>al</w:t>
      </w:r>
      <w:r>
        <w:rPr>
          <w:spacing w:val="2"/>
          <w:sz w:val="24"/>
        </w:rPr>
        <w:t> </w:t>
      </w:r>
      <w:r>
        <w:rPr>
          <w:spacing w:val="-4"/>
          <w:sz w:val="24"/>
        </w:rPr>
        <w:t>CBD.</w:t>
      </w:r>
    </w:p>
    <w:p>
      <w:pPr>
        <w:pStyle w:val="BodyText"/>
        <w:spacing w:before="2"/>
      </w:pPr>
    </w:p>
    <w:p>
      <w:pPr>
        <w:pStyle w:val="ListParagraph"/>
        <w:numPr>
          <w:ilvl w:val="0"/>
          <w:numId w:val="13"/>
        </w:numPr>
        <w:tabs>
          <w:tab w:pos="1713" w:val="left" w:leader="none"/>
        </w:tabs>
        <w:spacing w:line="240" w:lineRule="auto" w:before="0" w:after="0"/>
        <w:ind w:left="1713" w:right="0" w:hanging="360"/>
        <w:jc w:val="left"/>
        <w:rPr>
          <w:sz w:val="24"/>
        </w:rPr>
      </w:pPr>
      <w:r>
        <w:rPr>
          <w:sz w:val="24"/>
        </w:rPr>
        <w:t>Cepas</w:t>
      </w:r>
      <w:r>
        <w:rPr>
          <w:spacing w:val="-5"/>
          <w:sz w:val="24"/>
        </w:rPr>
        <w:t> </w:t>
      </w:r>
      <w:r>
        <w:rPr>
          <w:sz w:val="24"/>
        </w:rPr>
        <w:t>tratadas</w:t>
      </w:r>
      <w:r>
        <w:rPr>
          <w:spacing w:val="-4"/>
          <w:sz w:val="24"/>
        </w:rPr>
        <w:t> </w:t>
      </w:r>
      <w:r>
        <w:rPr>
          <w:sz w:val="24"/>
        </w:rPr>
        <w:t>con CBD</w:t>
      </w:r>
      <w:r>
        <w:rPr>
          <w:spacing w:val="-5"/>
          <w:sz w:val="24"/>
        </w:rPr>
        <w:t> </w:t>
      </w:r>
      <w:r>
        <w:rPr>
          <w:sz w:val="24"/>
        </w:rPr>
        <w:t>+</w:t>
      </w:r>
      <w:r>
        <w:rPr>
          <w:spacing w:val="1"/>
          <w:sz w:val="24"/>
        </w:rPr>
        <w:t> </w:t>
      </w:r>
      <w:r>
        <w:rPr>
          <w:spacing w:val="-2"/>
          <w:sz w:val="24"/>
        </w:rPr>
        <w:t>antibiótico</w:t>
      </w:r>
    </w:p>
    <w:p>
      <w:pPr>
        <w:pStyle w:val="ListParagraph"/>
        <w:numPr>
          <w:ilvl w:val="0"/>
          <w:numId w:val="13"/>
        </w:numPr>
        <w:tabs>
          <w:tab w:pos="1713" w:val="left" w:leader="none"/>
        </w:tabs>
        <w:spacing w:line="240" w:lineRule="auto" w:before="274" w:after="0"/>
        <w:ind w:left="1713" w:right="0" w:hanging="360"/>
        <w:jc w:val="left"/>
        <w:rPr>
          <w:sz w:val="24"/>
        </w:rPr>
      </w:pPr>
      <w:r>
        <w:rPr>
          <w:sz w:val="24"/>
        </w:rPr>
        <w:t>Cepas</w:t>
      </w:r>
      <w:r>
        <w:rPr>
          <w:spacing w:val="-6"/>
          <w:sz w:val="24"/>
        </w:rPr>
        <w:t> </w:t>
      </w:r>
      <w:r>
        <w:rPr>
          <w:sz w:val="24"/>
        </w:rPr>
        <w:t>sin tratamiento</w:t>
      </w:r>
      <w:r>
        <w:rPr>
          <w:spacing w:val="-1"/>
          <w:sz w:val="24"/>
        </w:rPr>
        <w:t> </w:t>
      </w:r>
      <w:r>
        <w:rPr>
          <w:sz w:val="24"/>
        </w:rPr>
        <w:t>(control</w:t>
      </w:r>
      <w:r>
        <w:rPr>
          <w:spacing w:val="4"/>
          <w:sz w:val="24"/>
        </w:rPr>
        <w:t> </w:t>
      </w:r>
      <w:r>
        <w:rPr>
          <w:spacing w:val="-2"/>
          <w:sz w:val="24"/>
        </w:rPr>
        <w:t>negativo).</w:t>
      </w:r>
    </w:p>
    <w:p>
      <w:pPr>
        <w:pStyle w:val="ListParagraph"/>
        <w:numPr>
          <w:ilvl w:val="0"/>
          <w:numId w:val="13"/>
        </w:numPr>
        <w:tabs>
          <w:tab w:pos="1713" w:val="left" w:leader="none"/>
        </w:tabs>
        <w:spacing w:line="456" w:lineRule="auto" w:before="270" w:after="0"/>
        <w:ind w:left="1713" w:right="719" w:hanging="360"/>
        <w:jc w:val="left"/>
        <w:rPr>
          <w:sz w:val="24"/>
        </w:rPr>
      </w:pPr>
      <w:r>
        <w:rPr>
          <w:sz w:val="24"/>
        </w:rPr>
        <w:t>Cada tratamiento se repetirá en triplicado para garantizar la validez de los </w:t>
      </w:r>
      <w:r>
        <w:rPr>
          <w:spacing w:val="-2"/>
          <w:sz w:val="24"/>
        </w:rPr>
        <w:t>resultados.</w:t>
      </w:r>
    </w:p>
    <w:p>
      <w:pPr>
        <w:pStyle w:val="BodyText"/>
        <w:spacing w:before="11"/>
      </w:pPr>
    </w:p>
    <w:p>
      <w:pPr>
        <w:pStyle w:val="Heading3"/>
        <w:numPr>
          <w:ilvl w:val="1"/>
          <w:numId w:val="10"/>
        </w:numPr>
        <w:tabs>
          <w:tab w:pos="1426" w:val="left" w:leader="none"/>
        </w:tabs>
        <w:spacing w:line="240" w:lineRule="auto" w:before="0" w:after="0"/>
        <w:ind w:left="1426" w:right="0" w:hanging="432"/>
        <w:jc w:val="both"/>
      </w:pPr>
      <w:r>
        <w:rPr/>
        <w:t>Tipo</w:t>
      </w:r>
      <w:r>
        <w:rPr>
          <w:spacing w:val="-3"/>
        </w:rPr>
        <w:t> </w:t>
      </w:r>
      <w:r>
        <w:rPr/>
        <w:t>de</w:t>
      </w:r>
      <w:r>
        <w:rPr>
          <w:spacing w:val="-1"/>
        </w:rPr>
        <w:t> </w:t>
      </w:r>
      <w:r>
        <w:rPr/>
        <w:t>diseño</w:t>
      </w:r>
      <w:r>
        <w:rPr>
          <w:spacing w:val="-2"/>
        </w:rPr>
        <w:t> experimental</w:t>
      </w:r>
    </w:p>
    <w:p>
      <w:pPr>
        <w:pStyle w:val="BodyText"/>
        <w:spacing w:line="360" w:lineRule="auto" w:before="264"/>
        <w:ind w:left="966" w:right="691"/>
        <w:jc w:val="both"/>
      </w:pPr>
      <w:r>
        <w:rPr/>
        <w:t>La</w:t>
      </w:r>
      <w:r>
        <w:rPr>
          <w:spacing w:val="-3"/>
        </w:rPr>
        <w:t> </w:t>
      </w:r>
      <w:r>
        <w:rPr/>
        <w:t>presente</w:t>
      </w:r>
      <w:r>
        <w:rPr>
          <w:spacing w:val="-2"/>
        </w:rPr>
        <w:t> </w:t>
      </w:r>
      <w:r>
        <w:rPr/>
        <w:t>investigación</w:t>
      </w:r>
      <w:r>
        <w:rPr>
          <w:spacing w:val="-2"/>
        </w:rPr>
        <w:t> </w:t>
      </w:r>
      <w:r>
        <w:rPr/>
        <w:t>se</w:t>
      </w:r>
      <w:r>
        <w:rPr>
          <w:spacing w:val="-3"/>
        </w:rPr>
        <w:t> </w:t>
      </w:r>
      <w:r>
        <w:rPr/>
        <w:t>desarrolló</w:t>
      </w:r>
      <w:r>
        <w:rPr>
          <w:spacing w:val="-4"/>
        </w:rPr>
        <w:t> </w:t>
      </w:r>
      <w:r>
        <w:rPr/>
        <w:t>bajo</w:t>
      </w:r>
      <w:r>
        <w:rPr>
          <w:spacing w:val="-4"/>
        </w:rPr>
        <w:t> </w:t>
      </w:r>
      <w:r>
        <w:rPr/>
        <w:t>un</w:t>
      </w:r>
      <w:r>
        <w:rPr>
          <w:spacing w:val="-4"/>
        </w:rPr>
        <w:t> </w:t>
      </w:r>
      <w:r>
        <w:rPr/>
        <w:t>diseño</w:t>
      </w:r>
      <w:r>
        <w:rPr>
          <w:spacing w:val="-4"/>
        </w:rPr>
        <w:t> </w:t>
      </w:r>
      <w:r>
        <w:rPr/>
        <w:t>experimental</w:t>
      </w:r>
      <w:r>
        <w:rPr>
          <w:spacing w:val="-1"/>
        </w:rPr>
        <w:t> </w:t>
      </w:r>
      <w:r>
        <w:rPr/>
        <w:t>de</w:t>
      </w:r>
      <w:r>
        <w:rPr>
          <w:spacing w:val="-3"/>
        </w:rPr>
        <w:t> </w:t>
      </w:r>
      <w:r>
        <w:rPr/>
        <w:t>laboratorio, de tipo in vitro, con un enfoque cuantitativo y un diseño completamente aleatorizado,</w:t>
      </w:r>
      <w:r>
        <w:rPr>
          <w:spacing w:val="-2"/>
        </w:rPr>
        <w:t> </w:t>
      </w:r>
      <w:r>
        <w:rPr/>
        <w:t>orientado</w:t>
      </w:r>
      <w:r>
        <w:rPr>
          <w:spacing w:val="-8"/>
        </w:rPr>
        <w:t> </w:t>
      </w:r>
      <w:r>
        <w:rPr/>
        <w:t>a</w:t>
      </w:r>
      <w:r>
        <w:rPr>
          <w:spacing w:val="-3"/>
        </w:rPr>
        <w:t> </w:t>
      </w:r>
      <w:r>
        <w:rPr/>
        <w:t>evaluar</w:t>
      </w:r>
      <w:r>
        <w:rPr>
          <w:spacing w:val="-3"/>
        </w:rPr>
        <w:t> </w:t>
      </w:r>
      <w:r>
        <w:rPr/>
        <w:t>la</w:t>
      </w:r>
      <w:r>
        <w:rPr>
          <w:spacing w:val="-3"/>
        </w:rPr>
        <w:t> </w:t>
      </w:r>
      <w:r>
        <w:rPr/>
        <w:t>actividad</w:t>
      </w:r>
      <w:r>
        <w:rPr>
          <w:spacing w:val="-2"/>
        </w:rPr>
        <w:t> </w:t>
      </w:r>
      <w:r>
        <w:rPr/>
        <w:t>antibacteriana</w:t>
      </w:r>
      <w:r>
        <w:rPr>
          <w:spacing w:val="-1"/>
        </w:rPr>
        <w:t> </w:t>
      </w:r>
      <w:r>
        <w:rPr/>
        <w:t>del</w:t>
      </w:r>
      <w:r>
        <w:rPr>
          <w:spacing w:val="-3"/>
        </w:rPr>
        <w:t> </w:t>
      </w:r>
      <w:r>
        <w:rPr/>
        <w:t>cannabidiol</w:t>
      </w:r>
      <w:r>
        <w:rPr>
          <w:spacing w:val="-1"/>
        </w:rPr>
        <w:t> </w:t>
      </w:r>
      <w:r>
        <w:rPr/>
        <w:t>(CBD) y su combinación con antibióticos frente a cepas de </w:t>
      </w:r>
      <w:r>
        <w:rPr>
          <w:i/>
        </w:rPr>
        <w:t>Staphylococcus aureus </w:t>
      </w:r>
      <w:r>
        <w:rPr/>
        <w:t>resistentes a meticilina (MRSA).</w:t>
      </w:r>
    </w:p>
    <w:p>
      <w:pPr>
        <w:pStyle w:val="Heading3"/>
        <w:numPr>
          <w:ilvl w:val="1"/>
          <w:numId w:val="10"/>
        </w:numPr>
        <w:tabs>
          <w:tab w:pos="1426" w:val="left" w:leader="none"/>
        </w:tabs>
        <w:spacing w:line="240" w:lineRule="auto" w:before="207" w:after="0"/>
        <w:ind w:left="1426" w:right="0" w:hanging="432"/>
        <w:jc w:val="both"/>
      </w:pPr>
      <w:bookmarkStart w:name="_bookmark32" w:id="33"/>
      <w:bookmarkEnd w:id="33"/>
      <w:r>
        <w:rPr>
          <w:b w:val="0"/>
        </w:rPr>
      </w:r>
      <w:r>
        <w:rPr/>
        <w:t>Manejo</w:t>
      </w:r>
      <w:r>
        <w:rPr>
          <w:spacing w:val="-1"/>
        </w:rPr>
        <w:t> </w:t>
      </w:r>
      <w:r>
        <w:rPr/>
        <w:t>de la </w:t>
      </w:r>
      <w:r>
        <w:rPr>
          <w:spacing w:val="-2"/>
        </w:rPr>
        <w:t>investigación</w:t>
      </w:r>
    </w:p>
    <w:p>
      <w:pPr>
        <w:pStyle w:val="BodyText"/>
        <w:spacing w:before="107"/>
        <w:rPr>
          <w:b/>
        </w:rPr>
      </w:pPr>
    </w:p>
    <w:p>
      <w:pPr>
        <w:pStyle w:val="BodyText"/>
        <w:spacing w:line="360" w:lineRule="auto" w:before="1"/>
        <w:ind w:left="994" w:right="708"/>
        <w:jc w:val="both"/>
      </w:pPr>
      <w:r>
        <w:rPr/>
        <w:t>Con</w:t>
      </w:r>
      <w:r>
        <w:rPr>
          <w:spacing w:val="-7"/>
        </w:rPr>
        <w:t> </w:t>
      </w:r>
      <w:r>
        <w:rPr/>
        <w:t>el</w:t>
      </w:r>
      <w:r>
        <w:rPr>
          <w:spacing w:val="-6"/>
        </w:rPr>
        <w:t> </w:t>
      </w:r>
      <w:r>
        <w:rPr/>
        <w:t>fin</w:t>
      </w:r>
      <w:r>
        <w:rPr>
          <w:spacing w:val="-7"/>
        </w:rPr>
        <w:t> </w:t>
      </w:r>
      <w:r>
        <w:rPr/>
        <w:t>de</w:t>
      </w:r>
      <w:r>
        <w:rPr>
          <w:spacing w:val="-5"/>
        </w:rPr>
        <w:t> </w:t>
      </w:r>
      <w:r>
        <w:rPr/>
        <w:t>salvaguardar</w:t>
      </w:r>
      <w:r>
        <w:rPr>
          <w:spacing w:val="-6"/>
        </w:rPr>
        <w:t> </w:t>
      </w:r>
      <w:r>
        <w:rPr/>
        <w:t>la</w:t>
      </w:r>
      <w:r>
        <w:rPr>
          <w:spacing w:val="-5"/>
        </w:rPr>
        <w:t> </w:t>
      </w:r>
      <w:r>
        <w:rPr/>
        <w:t>integridad</w:t>
      </w:r>
      <w:r>
        <w:rPr>
          <w:spacing w:val="-7"/>
        </w:rPr>
        <w:t> </w:t>
      </w:r>
      <w:r>
        <w:rPr/>
        <w:t>de</w:t>
      </w:r>
      <w:r>
        <w:rPr>
          <w:spacing w:val="-9"/>
        </w:rPr>
        <w:t> </w:t>
      </w:r>
      <w:r>
        <w:rPr/>
        <w:t>los</w:t>
      </w:r>
      <w:r>
        <w:rPr>
          <w:spacing w:val="-8"/>
        </w:rPr>
        <w:t> </w:t>
      </w:r>
      <w:r>
        <w:rPr/>
        <w:t>hallazgos,</w:t>
      </w:r>
      <w:r>
        <w:rPr>
          <w:spacing w:val="-7"/>
        </w:rPr>
        <w:t> </w:t>
      </w:r>
      <w:r>
        <w:rPr/>
        <w:t>se</w:t>
      </w:r>
      <w:r>
        <w:rPr>
          <w:spacing w:val="-5"/>
        </w:rPr>
        <w:t> </w:t>
      </w:r>
      <w:r>
        <w:rPr/>
        <w:t>procedió</w:t>
      </w:r>
      <w:r>
        <w:rPr>
          <w:spacing w:val="-7"/>
        </w:rPr>
        <w:t> </w:t>
      </w:r>
      <w:r>
        <w:rPr/>
        <w:t>a</w:t>
      </w:r>
      <w:r>
        <w:rPr>
          <w:spacing w:val="-5"/>
        </w:rPr>
        <w:t> </w:t>
      </w:r>
      <w:r>
        <w:rPr/>
        <w:t>trabajar</w:t>
      </w:r>
      <w:r>
        <w:rPr>
          <w:spacing w:val="-6"/>
        </w:rPr>
        <w:t> </w:t>
      </w:r>
      <w:r>
        <w:rPr/>
        <w:t>con linajes</w:t>
      </w:r>
      <w:r>
        <w:rPr>
          <w:spacing w:val="-15"/>
        </w:rPr>
        <w:t> </w:t>
      </w:r>
      <w:r>
        <w:rPr/>
        <w:t>de</w:t>
      </w:r>
      <w:r>
        <w:rPr>
          <w:spacing w:val="-12"/>
        </w:rPr>
        <w:t> </w:t>
      </w:r>
      <w:r>
        <w:rPr/>
        <w:t>Staphylococcus</w:t>
      </w:r>
      <w:r>
        <w:rPr>
          <w:spacing w:val="-15"/>
        </w:rPr>
        <w:t> </w:t>
      </w:r>
      <w:r>
        <w:rPr/>
        <w:t>aureus</w:t>
      </w:r>
      <w:r>
        <w:rPr>
          <w:spacing w:val="-15"/>
        </w:rPr>
        <w:t> </w:t>
      </w:r>
      <w:r>
        <w:rPr/>
        <w:t>recalcitrante</w:t>
      </w:r>
      <w:r>
        <w:rPr>
          <w:spacing w:val="-12"/>
        </w:rPr>
        <w:t> </w:t>
      </w:r>
      <w:r>
        <w:rPr/>
        <w:t>a</w:t>
      </w:r>
      <w:r>
        <w:rPr>
          <w:spacing w:val="-15"/>
        </w:rPr>
        <w:t> </w:t>
      </w:r>
      <w:r>
        <w:rPr/>
        <w:t>la</w:t>
      </w:r>
      <w:r>
        <w:rPr>
          <w:spacing w:val="-15"/>
        </w:rPr>
        <w:t> </w:t>
      </w:r>
      <w:r>
        <w:rPr/>
        <w:t>meticilina</w:t>
      </w:r>
      <w:r>
        <w:rPr>
          <w:spacing w:val="-12"/>
        </w:rPr>
        <w:t> </w:t>
      </w:r>
      <w:r>
        <w:rPr/>
        <w:t>(MRSA).</w:t>
      </w:r>
      <w:r>
        <w:rPr>
          <w:spacing w:val="-13"/>
        </w:rPr>
        <w:t> </w:t>
      </w:r>
      <w:r>
        <w:rPr/>
        <w:t>Procedentes de extracciones clínicas caninas estas cepas, fueron tratadas con escrupulosa asepsia en el recinto microbiológico de la Universidad Estatal de Bolívar.</w:t>
      </w:r>
    </w:p>
    <w:p>
      <w:pPr>
        <w:pStyle w:val="Heading3"/>
        <w:numPr>
          <w:ilvl w:val="2"/>
          <w:numId w:val="10"/>
        </w:numPr>
        <w:tabs>
          <w:tab w:pos="1866" w:val="left" w:leader="none"/>
        </w:tabs>
        <w:spacing w:line="240" w:lineRule="auto" w:before="240" w:after="0"/>
        <w:ind w:left="1866" w:right="0" w:hanging="596"/>
        <w:jc w:val="left"/>
      </w:pPr>
      <w:bookmarkStart w:name="_bookmark33" w:id="34"/>
      <w:bookmarkEnd w:id="34"/>
      <w:r>
        <w:rPr>
          <w:b w:val="0"/>
        </w:rPr>
      </w:r>
      <w:r>
        <w:rPr/>
        <w:t>Prueba</w:t>
      </w:r>
      <w:r>
        <w:rPr>
          <w:spacing w:val="-8"/>
        </w:rPr>
        <w:t> </w:t>
      </w:r>
      <w:r>
        <w:rPr/>
        <w:t>de</w:t>
      </w:r>
      <w:r>
        <w:rPr>
          <w:spacing w:val="-1"/>
        </w:rPr>
        <w:t> </w:t>
      </w:r>
      <w:r>
        <w:rPr/>
        <w:t>sensibilidad</w:t>
      </w:r>
      <w:r>
        <w:rPr>
          <w:spacing w:val="-7"/>
        </w:rPr>
        <w:t> </w:t>
      </w:r>
      <w:r>
        <w:rPr/>
        <w:t>por</w:t>
      </w:r>
      <w:r>
        <w:rPr>
          <w:spacing w:val="-5"/>
        </w:rPr>
        <w:t> </w:t>
      </w:r>
      <w:r>
        <w:rPr/>
        <w:t>difusión</w:t>
      </w:r>
      <w:r>
        <w:rPr>
          <w:spacing w:val="-6"/>
        </w:rPr>
        <w:t> </w:t>
      </w:r>
      <w:r>
        <w:rPr/>
        <w:t>en</w:t>
      </w:r>
      <w:r>
        <w:rPr>
          <w:spacing w:val="-5"/>
        </w:rPr>
        <w:t> </w:t>
      </w:r>
      <w:r>
        <w:rPr/>
        <w:t>agar</w:t>
      </w:r>
      <w:r>
        <w:rPr>
          <w:spacing w:val="-5"/>
        </w:rPr>
        <w:t> </w:t>
      </w:r>
      <w:r>
        <w:rPr/>
        <w:t>(método</w:t>
      </w:r>
      <w:r>
        <w:rPr>
          <w:spacing w:val="-6"/>
        </w:rPr>
        <w:t> </w:t>
      </w:r>
      <w:r>
        <w:rPr>
          <w:spacing w:val="-2"/>
        </w:rPr>
        <w:t>Kirby–Bauer)</w:t>
      </w:r>
    </w:p>
    <w:p>
      <w:pPr>
        <w:pStyle w:val="BodyText"/>
        <w:spacing w:before="100"/>
        <w:rPr>
          <w:b/>
        </w:rPr>
      </w:pPr>
    </w:p>
    <w:p>
      <w:pPr>
        <w:pStyle w:val="BodyText"/>
        <w:spacing w:line="360" w:lineRule="auto"/>
        <w:ind w:left="994" w:right="711"/>
        <w:jc w:val="both"/>
      </w:pPr>
      <w:r>
        <w:rPr/>
        <w:t>Se</w:t>
      </w:r>
      <w:r>
        <w:rPr>
          <w:spacing w:val="-3"/>
        </w:rPr>
        <w:t> </w:t>
      </w:r>
      <w:r>
        <w:rPr/>
        <w:t>empleó</w:t>
      </w:r>
      <w:r>
        <w:rPr>
          <w:spacing w:val="-9"/>
        </w:rPr>
        <w:t> </w:t>
      </w:r>
      <w:r>
        <w:rPr/>
        <w:t>esta</w:t>
      </w:r>
      <w:r>
        <w:rPr>
          <w:spacing w:val="-7"/>
        </w:rPr>
        <w:t> </w:t>
      </w:r>
      <w:r>
        <w:rPr/>
        <w:t>metodología</w:t>
      </w:r>
      <w:r>
        <w:rPr>
          <w:spacing w:val="-7"/>
        </w:rPr>
        <w:t> </w:t>
      </w:r>
      <w:r>
        <w:rPr/>
        <w:t>para</w:t>
      </w:r>
      <w:r>
        <w:rPr>
          <w:spacing w:val="-3"/>
        </w:rPr>
        <w:t> </w:t>
      </w:r>
      <w:r>
        <w:rPr/>
        <w:t>escrutar</w:t>
      </w:r>
      <w:r>
        <w:rPr>
          <w:spacing w:val="-11"/>
        </w:rPr>
        <w:t> </w:t>
      </w:r>
      <w:r>
        <w:rPr/>
        <w:t>el</w:t>
      </w:r>
      <w:r>
        <w:rPr>
          <w:spacing w:val="-3"/>
        </w:rPr>
        <w:t> </w:t>
      </w:r>
      <w:r>
        <w:rPr/>
        <w:t>potencial</w:t>
      </w:r>
      <w:r>
        <w:rPr>
          <w:spacing w:val="-7"/>
        </w:rPr>
        <w:t> </w:t>
      </w:r>
      <w:r>
        <w:rPr/>
        <w:t>antibacteriano</w:t>
      </w:r>
      <w:r>
        <w:rPr>
          <w:spacing w:val="-9"/>
        </w:rPr>
        <w:t> </w:t>
      </w:r>
      <w:r>
        <w:rPr/>
        <w:t>intrínseco</w:t>
      </w:r>
      <w:r>
        <w:rPr>
          <w:spacing w:val="-4"/>
        </w:rPr>
        <w:t> </w:t>
      </w:r>
      <w:r>
        <w:rPr/>
        <w:t>del CBD,</w:t>
      </w:r>
      <w:r>
        <w:rPr>
          <w:spacing w:val="-12"/>
        </w:rPr>
        <w:t> </w:t>
      </w:r>
      <w:r>
        <w:rPr/>
        <w:t>teniendo</w:t>
      </w:r>
      <w:r>
        <w:rPr>
          <w:spacing w:val="-15"/>
        </w:rPr>
        <w:t> </w:t>
      </w:r>
      <w:r>
        <w:rPr/>
        <w:t>en</w:t>
      </w:r>
      <w:r>
        <w:rPr>
          <w:spacing w:val="-12"/>
        </w:rPr>
        <w:t> </w:t>
      </w:r>
      <w:r>
        <w:rPr/>
        <w:t>cuenta</w:t>
      </w:r>
      <w:r>
        <w:rPr>
          <w:spacing w:val="-14"/>
        </w:rPr>
        <w:t> </w:t>
      </w:r>
      <w:r>
        <w:rPr/>
        <w:t>el</w:t>
      </w:r>
      <w:r>
        <w:rPr>
          <w:spacing w:val="-11"/>
        </w:rPr>
        <w:t> </w:t>
      </w:r>
      <w:r>
        <w:rPr/>
        <w:t>diluyente</w:t>
      </w:r>
      <w:r>
        <w:rPr>
          <w:spacing w:val="-11"/>
        </w:rPr>
        <w:t> </w:t>
      </w:r>
      <w:r>
        <w:rPr/>
        <w:t>utilizado</w:t>
      </w:r>
      <w:r>
        <w:rPr>
          <w:spacing w:val="-12"/>
        </w:rPr>
        <w:t> </w:t>
      </w:r>
      <w:r>
        <w:rPr/>
        <w:t>y</w:t>
      </w:r>
      <w:r>
        <w:rPr>
          <w:spacing w:val="-12"/>
        </w:rPr>
        <w:t> </w:t>
      </w:r>
      <w:r>
        <w:rPr/>
        <w:t>la</w:t>
      </w:r>
      <w:r>
        <w:rPr>
          <w:spacing w:val="-11"/>
        </w:rPr>
        <w:t> </w:t>
      </w:r>
      <w:r>
        <w:rPr/>
        <w:t>respuesta</w:t>
      </w:r>
      <w:r>
        <w:rPr>
          <w:spacing w:val="-11"/>
        </w:rPr>
        <w:t> </w:t>
      </w:r>
      <w:r>
        <w:rPr/>
        <w:t>bacteriana</w:t>
      </w:r>
      <w:r>
        <w:rPr>
          <w:spacing w:val="-11"/>
        </w:rPr>
        <w:t> </w:t>
      </w:r>
      <w:r>
        <w:rPr/>
        <w:t>frente</w:t>
      </w:r>
      <w:r>
        <w:rPr>
          <w:spacing w:val="-14"/>
        </w:rPr>
        <w:t> </w:t>
      </w:r>
      <w:r>
        <w:rPr/>
        <w:t>a</w:t>
      </w:r>
      <w:r>
        <w:rPr>
          <w:spacing w:val="-11"/>
        </w:rPr>
        <w:t> </w:t>
      </w:r>
      <w:r>
        <w:rPr/>
        <w:t>los agentes antimicrobianos preestablecidos. El procedimiento se desarrolló así:</w:t>
      </w:r>
    </w:p>
    <w:p>
      <w:pPr>
        <w:pStyle w:val="BodyText"/>
        <w:spacing w:before="159"/>
        <w:ind w:left="994"/>
        <w:jc w:val="both"/>
      </w:pPr>
      <w:r>
        <w:rPr/>
        <w:t>Las</w:t>
      </w:r>
      <w:r>
        <w:rPr>
          <w:spacing w:val="13"/>
        </w:rPr>
        <w:t> </w:t>
      </w:r>
      <w:r>
        <w:rPr/>
        <w:t>cepas</w:t>
      </w:r>
      <w:r>
        <w:rPr>
          <w:spacing w:val="13"/>
        </w:rPr>
        <w:t> </w:t>
      </w:r>
      <w:r>
        <w:rPr/>
        <w:t>de</w:t>
      </w:r>
      <w:r>
        <w:rPr>
          <w:spacing w:val="17"/>
        </w:rPr>
        <w:t> </w:t>
      </w:r>
      <w:r>
        <w:rPr/>
        <w:t>MRSA</w:t>
      </w:r>
      <w:r>
        <w:rPr>
          <w:spacing w:val="13"/>
        </w:rPr>
        <w:t> </w:t>
      </w:r>
      <w:r>
        <w:rPr/>
        <w:t>fueron</w:t>
      </w:r>
      <w:r>
        <w:rPr>
          <w:spacing w:val="14"/>
        </w:rPr>
        <w:t> </w:t>
      </w:r>
      <w:r>
        <w:rPr/>
        <w:t>reactivadas</w:t>
      </w:r>
      <w:r>
        <w:rPr>
          <w:spacing w:val="14"/>
        </w:rPr>
        <w:t> </w:t>
      </w:r>
      <w:r>
        <w:rPr/>
        <w:t>y</w:t>
      </w:r>
      <w:r>
        <w:rPr>
          <w:spacing w:val="14"/>
        </w:rPr>
        <w:t> </w:t>
      </w:r>
      <w:r>
        <w:rPr/>
        <w:t>ajustadas</w:t>
      </w:r>
      <w:r>
        <w:rPr>
          <w:spacing w:val="13"/>
        </w:rPr>
        <w:t> </w:t>
      </w:r>
      <w:r>
        <w:rPr/>
        <w:t>a</w:t>
      </w:r>
      <w:r>
        <w:rPr>
          <w:spacing w:val="17"/>
        </w:rPr>
        <w:t> </w:t>
      </w:r>
      <w:r>
        <w:rPr/>
        <w:t>una</w:t>
      </w:r>
      <w:r>
        <w:rPr>
          <w:spacing w:val="16"/>
        </w:rPr>
        <w:t> </w:t>
      </w:r>
      <w:r>
        <w:rPr/>
        <w:t>turbidez</w:t>
      </w:r>
      <w:r>
        <w:rPr>
          <w:spacing w:val="16"/>
        </w:rPr>
        <w:t> </w:t>
      </w:r>
      <w:r>
        <w:rPr/>
        <w:t>equivalente</w:t>
      </w:r>
      <w:r>
        <w:rPr>
          <w:spacing w:val="17"/>
        </w:rPr>
        <w:t> </w:t>
      </w:r>
      <w:r>
        <w:rPr>
          <w:spacing w:val="-5"/>
        </w:rPr>
        <w:t>al</w:t>
      </w:r>
    </w:p>
    <w:p>
      <w:pPr>
        <w:pStyle w:val="BodyText"/>
        <w:spacing w:after="0"/>
        <w:jc w:val="both"/>
        <w:sectPr>
          <w:pgSz w:w="11900" w:h="16840"/>
          <w:pgMar w:top="1540" w:bottom="280" w:left="1275" w:right="992"/>
        </w:sectPr>
      </w:pPr>
    </w:p>
    <w:p>
      <w:pPr>
        <w:pStyle w:val="BodyText"/>
        <w:spacing w:before="60"/>
        <w:ind w:left="994"/>
        <w:jc w:val="both"/>
      </w:pPr>
      <w:r>
        <w:rPr/>
        <w:t>estándar 0,5</w:t>
      </w:r>
      <w:r>
        <w:rPr>
          <w:spacing w:val="1"/>
        </w:rPr>
        <w:t> </w:t>
      </w:r>
      <w:r>
        <w:rPr/>
        <w:t>de</w:t>
      </w:r>
      <w:r>
        <w:rPr>
          <w:spacing w:val="2"/>
        </w:rPr>
        <w:t> </w:t>
      </w:r>
      <w:r>
        <w:rPr>
          <w:spacing w:val="-2"/>
        </w:rPr>
        <w:t>McFarland.</w:t>
      </w:r>
    </w:p>
    <w:p>
      <w:pPr>
        <w:pStyle w:val="BodyText"/>
      </w:pPr>
    </w:p>
    <w:p>
      <w:pPr>
        <w:pStyle w:val="BodyText"/>
        <w:spacing w:line="470" w:lineRule="auto"/>
        <w:ind w:left="994" w:right="709"/>
        <w:jc w:val="both"/>
      </w:pPr>
      <w:r>
        <w:rPr/>
        <w:t>La suspensión bacteriana fue sembrada homogéneamente sobre placas de agar Mueller–Hinton mediante la técnica de difusión en agar, siguiendo el método </w:t>
      </w:r>
      <w:r>
        <w:rPr>
          <w:spacing w:val="-2"/>
        </w:rPr>
        <w:t>Kirby–Bauer.</w:t>
      </w:r>
    </w:p>
    <w:p>
      <w:pPr>
        <w:pStyle w:val="BodyText"/>
        <w:spacing w:line="470" w:lineRule="auto" w:before="86"/>
        <w:ind w:left="994" w:right="716"/>
        <w:jc w:val="both"/>
      </w:pPr>
      <w:r>
        <w:rPr/>
        <w:t>Se colocaron discos de papel estériles impregnados con CBD disuelto en etanol al 70 % y CBD disuelto en DMSO, así como discos comerciales de antibióticos.</w:t>
      </w:r>
    </w:p>
    <w:p>
      <w:pPr>
        <w:pStyle w:val="BodyText"/>
        <w:spacing w:before="10"/>
        <w:ind w:left="994"/>
        <w:jc w:val="both"/>
      </w:pPr>
      <w:r>
        <w:rPr/>
        <w:t>Las</w:t>
      </w:r>
      <w:r>
        <w:rPr>
          <w:spacing w:val="-7"/>
        </w:rPr>
        <w:t> </w:t>
      </w:r>
      <w:r>
        <w:rPr/>
        <w:t>placas</w:t>
      </w:r>
      <w:r>
        <w:rPr>
          <w:spacing w:val="-6"/>
        </w:rPr>
        <w:t> </w:t>
      </w:r>
      <w:r>
        <w:rPr/>
        <w:t>se incubaron</w:t>
      </w:r>
      <w:r>
        <w:rPr>
          <w:spacing w:val="-4"/>
        </w:rPr>
        <w:t> </w:t>
      </w:r>
      <w:r>
        <w:rPr/>
        <w:t>a 37</w:t>
      </w:r>
      <w:r>
        <w:rPr>
          <w:spacing w:val="-1"/>
        </w:rPr>
        <w:t> </w:t>
      </w:r>
      <w:r>
        <w:rPr/>
        <w:t>°C</w:t>
      </w:r>
      <w:r>
        <w:rPr>
          <w:spacing w:val="-2"/>
        </w:rPr>
        <w:t> </w:t>
      </w:r>
      <w:r>
        <w:rPr/>
        <w:t>durante 24 </w:t>
      </w:r>
      <w:r>
        <w:rPr>
          <w:spacing w:val="-2"/>
        </w:rPr>
        <w:t>horas.</w:t>
      </w:r>
    </w:p>
    <w:p>
      <w:pPr>
        <w:pStyle w:val="BodyText"/>
        <w:spacing w:line="470" w:lineRule="auto" w:before="273"/>
        <w:ind w:left="994" w:right="699"/>
        <w:jc w:val="both"/>
      </w:pPr>
      <w:r>
        <w:rPr/>
        <w:t>Posteriormente, se midió el diámetro de los halos de inhibición (mm), como indicador de sensibilidad o resistencia bacteriana.</w:t>
      </w:r>
    </w:p>
    <w:p>
      <w:pPr>
        <w:pStyle w:val="Heading3"/>
        <w:numPr>
          <w:ilvl w:val="2"/>
          <w:numId w:val="10"/>
        </w:numPr>
        <w:tabs>
          <w:tab w:pos="1702" w:val="left" w:leader="none"/>
          <w:tab w:pos="1866" w:val="left" w:leader="none"/>
        </w:tabs>
        <w:spacing w:line="362" w:lineRule="auto" w:before="206" w:after="0"/>
        <w:ind w:left="1702" w:right="706" w:hanging="432"/>
        <w:jc w:val="both"/>
      </w:pPr>
      <w:bookmarkStart w:name="_bookmark34" w:id="35"/>
      <w:bookmarkEnd w:id="35"/>
      <w:r>
        <w:rPr>
          <w:b w:val="0"/>
        </w:rPr>
      </w:r>
      <w:r>
        <w:rPr/>
        <w:t>Fase II: Evaluación de la Concentración Mínima Inhibitoria (CMI) del extracto de</w:t>
      </w:r>
      <w:r>
        <w:rPr>
          <w:spacing w:val="-1"/>
        </w:rPr>
        <w:t> </w:t>
      </w:r>
      <w:r>
        <w:rPr/>
        <w:t>cannabidiol (CBD) en combinación con los antibióticos</w:t>
      </w:r>
    </w:p>
    <w:p>
      <w:pPr>
        <w:pStyle w:val="BodyText"/>
        <w:spacing w:line="360" w:lineRule="auto" w:before="235"/>
        <w:ind w:left="994" w:right="695"/>
        <w:jc w:val="both"/>
      </w:pPr>
      <w:r>
        <w:rPr/>
        <w:t>En esta fase del estudio se determinó la Concentración Mínima Inhibitoria (CMI) del cannabidiol (CBD) únicamente en combinación con los antibióticos amoxicilina, cefalexina y enrofloxacina, frente a cepas de </w:t>
      </w:r>
      <w:r>
        <w:rPr>
          <w:i/>
        </w:rPr>
        <w:t>Staphylococcus aureus </w:t>
      </w:r>
      <w:r>
        <w:rPr/>
        <w:t>resistente a meticilina (MRSA).</w:t>
      </w:r>
    </w:p>
    <w:p>
      <w:pPr>
        <w:pStyle w:val="BodyText"/>
        <w:spacing w:line="362" w:lineRule="auto" w:before="240"/>
        <w:ind w:left="994" w:right="714"/>
        <w:jc w:val="both"/>
      </w:pPr>
      <w:r>
        <w:rPr/>
        <w:t>Para este ensayo se utilizó el método de difusión en agar por pozos, con agar </w:t>
      </w:r>
      <w:r>
        <w:rPr>
          <w:spacing w:val="-2"/>
        </w:rPr>
        <w:t>Mueller-Hinton.</w:t>
      </w:r>
    </w:p>
    <w:p>
      <w:pPr>
        <w:pStyle w:val="Heading3"/>
        <w:spacing w:before="151"/>
      </w:pPr>
      <w:bookmarkStart w:name="_bookmark35" w:id="36"/>
      <w:bookmarkEnd w:id="36"/>
      <w:r>
        <w:rPr>
          <w:b w:val="0"/>
        </w:rPr>
      </w:r>
      <w:r>
        <w:rPr/>
        <w:t>Preparación</w:t>
      </w:r>
      <w:r>
        <w:rPr>
          <w:spacing w:val="-14"/>
        </w:rPr>
        <w:t> </w:t>
      </w:r>
      <w:r>
        <w:rPr/>
        <w:t>Del</w:t>
      </w:r>
      <w:r>
        <w:rPr>
          <w:spacing w:val="-5"/>
        </w:rPr>
        <w:t> </w:t>
      </w:r>
      <w:r>
        <w:rPr/>
        <w:t>Inóculo</w:t>
      </w:r>
      <w:r>
        <w:rPr>
          <w:spacing w:val="-7"/>
        </w:rPr>
        <w:t> </w:t>
      </w:r>
      <w:r>
        <w:rPr/>
        <w:t>Bacteriano</w:t>
      </w:r>
      <w:r>
        <w:rPr>
          <w:spacing w:val="-13"/>
        </w:rPr>
        <w:t> </w:t>
      </w:r>
      <w:r>
        <w:rPr/>
        <w:t>Y</w:t>
      </w:r>
      <w:r>
        <w:rPr>
          <w:spacing w:val="-18"/>
        </w:rPr>
        <w:t> </w:t>
      </w:r>
      <w:r>
        <w:rPr/>
        <w:t>Ensayo</w:t>
      </w:r>
      <w:r>
        <w:rPr>
          <w:spacing w:val="-6"/>
        </w:rPr>
        <w:t> </w:t>
      </w:r>
      <w:r>
        <w:rPr/>
        <w:t>De</w:t>
      </w:r>
      <w:r>
        <w:rPr>
          <w:spacing w:val="-1"/>
        </w:rPr>
        <w:t> </w:t>
      </w:r>
      <w:r>
        <w:rPr/>
        <w:t>Difusión</w:t>
      </w:r>
      <w:r>
        <w:rPr>
          <w:spacing w:val="-7"/>
        </w:rPr>
        <w:t> </w:t>
      </w:r>
      <w:r>
        <w:rPr/>
        <w:t>En</w:t>
      </w:r>
      <w:r>
        <w:rPr>
          <w:spacing w:val="-8"/>
        </w:rPr>
        <w:t> </w:t>
      </w:r>
      <w:r>
        <w:rPr>
          <w:spacing w:val="-2"/>
        </w:rPr>
        <w:t>Pozos</w:t>
      </w:r>
    </w:p>
    <w:p>
      <w:pPr>
        <w:pStyle w:val="BodyText"/>
        <w:spacing w:before="108"/>
        <w:rPr>
          <w:b/>
        </w:rPr>
      </w:pPr>
    </w:p>
    <w:p>
      <w:pPr>
        <w:pStyle w:val="ListParagraph"/>
        <w:numPr>
          <w:ilvl w:val="3"/>
          <w:numId w:val="10"/>
        </w:numPr>
        <w:tabs>
          <w:tab w:pos="1713" w:val="left" w:leader="none"/>
        </w:tabs>
        <w:spacing w:line="480" w:lineRule="auto" w:before="0" w:after="0"/>
        <w:ind w:left="1713" w:right="720" w:hanging="360"/>
        <w:jc w:val="both"/>
        <w:rPr>
          <w:sz w:val="24"/>
        </w:rPr>
      </w:pPr>
      <w:r>
        <w:rPr>
          <w:sz w:val="24"/>
        </w:rPr>
        <w:t>La suspensión bacteriana ajustada al estándar 0,5 de McFarland se distribuyó de manera uniforme sobre placas de agar Mueller-Hinton.</w:t>
      </w:r>
    </w:p>
    <w:p>
      <w:pPr>
        <w:pStyle w:val="ListParagraph"/>
        <w:numPr>
          <w:ilvl w:val="3"/>
          <w:numId w:val="10"/>
        </w:numPr>
        <w:tabs>
          <w:tab w:pos="1713" w:val="left" w:leader="none"/>
        </w:tabs>
        <w:spacing w:line="480" w:lineRule="auto" w:before="1" w:after="0"/>
        <w:ind w:left="1713" w:right="718" w:hanging="360"/>
        <w:jc w:val="both"/>
        <w:rPr>
          <w:sz w:val="24"/>
        </w:rPr>
      </w:pPr>
      <w:r>
        <w:rPr>
          <w:sz w:val="24"/>
        </w:rPr>
        <w:t>Después, se elaboraron seis pozos equidistantes en cada placa, usando un sacabocados estéril de diámetro uniforme.</w:t>
      </w:r>
    </w:p>
    <w:p>
      <w:pPr>
        <w:pStyle w:val="ListParagraph"/>
        <w:numPr>
          <w:ilvl w:val="3"/>
          <w:numId w:val="10"/>
        </w:numPr>
        <w:tabs>
          <w:tab w:pos="1713" w:val="left" w:leader="none"/>
        </w:tabs>
        <w:spacing w:line="480" w:lineRule="auto" w:before="0" w:after="0"/>
        <w:ind w:left="1713" w:right="714" w:hanging="360"/>
        <w:jc w:val="both"/>
        <w:rPr>
          <w:sz w:val="24"/>
        </w:rPr>
      </w:pPr>
      <w:r>
        <w:rPr>
          <w:sz w:val="24"/>
        </w:rPr>
        <w:t>En cada pozo se colocaron mezclas de CBD y antibiótico con la misma concentración de ambos compuestos, con el fin de evaluar el efecto inhibitorio conjunto.</w:t>
      </w:r>
    </w:p>
    <w:p>
      <w:pPr>
        <w:pStyle w:val="ListParagraph"/>
        <w:spacing w:after="0" w:line="480" w:lineRule="auto"/>
        <w:jc w:val="both"/>
        <w:rPr>
          <w:sz w:val="24"/>
        </w:rPr>
        <w:sectPr>
          <w:pgSz w:w="11900" w:h="16840"/>
          <w:pgMar w:top="1560" w:bottom="280" w:left="1275" w:right="992"/>
        </w:sectPr>
      </w:pPr>
    </w:p>
    <w:p>
      <w:pPr>
        <w:pStyle w:val="ListParagraph"/>
        <w:numPr>
          <w:ilvl w:val="3"/>
          <w:numId w:val="10"/>
        </w:numPr>
        <w:tabs>
          <w:tab w:pos="1713" w:val="left" w:leader="none"/>
        </w:tabs>
        <w:spacing w:line="480" w:lineRule="auto" w:before="60" w:after="0"/>
        <w:ind w:left="1713" w:right="685" w:hanging="360"/>
        <w:jc w:val="both"/>
        <w:rPr>
          <w:sz w:val="24"/>
        </w:rPr>
      </w:pPr>
      <w:r>
        <w:rPr>
          <w:sz w:val="24"/>
        </w:rPr>
        <w:t>Las concentraciones evaluadas para cada combinación antibiótico–CBD fueron</w:t>
      </w:r>
      <w:r>
        <w:rPr>
          <w:spacing w:val="-9"/>
          <w:sz w:val="24"/>
        </w:rPr>
        <w:t> </w:t>
      </w:r>
      <w:r>
        <w:rPr>
          <w:sz w:val="24"/>
        </w:rPr>
        <w:t>5</w:t>
      </w:r>
      <w:r>
        <w:rPr>
          <w:spacing w:val="-13"/>
          <w:sz w:val="24"/>
        </w:rPr>
        <w:t> </w:t>
      </w:r>
      <w:r>
        <w:rPr>
          <w:sz w:val="24"/>
        </w:rPr>
        <w:t>µg,</w:t>
      </w:r>
      <w:r>
        <w:rPr>
          <w:spacing w:val="-9"/>
          <w:sz w:val="24"/>
        </w:rPr>
        <w:t> </w:t>
      </w:r>
      <w:r>
        <w:rPr>
          <w:sz w:val="24"/>
        </w:rPr>
        <w:t>15</w:t>
      </w:r>
      <w:r>
        <w:rPr>
          <w:spacing w:val="-13"/>
          <w:sz w:val="24"/>
        </w:rPr>
        <w:t> </w:t>
      </w:r>
      <w:r>
        <w:rPr>
          <w:sz w:val="24"/>
        </w:rPr>
        <w:t>µg,</w:t>
      </w:r>
      <w:r>
        <w:rPr>
          <w:spacing w:val="-9"/>
          <w:sz w:val="24"/>
        </w:rPr>
        <w:t> </w:t>
      </w:r>
      <w:r>
        <w:rPr>
          <w:sz w:val="24"/>
        </w:rPr>
        <w:t>50</w:t>
      </w:r>
      <w:r>
        <w:rPr>
          <w:spacing w:val="-13"/>
          <w:sz w:val="24"/>
        </w:rPr>
        <w:t> </w:t>
      </w:r>
      <w:r>
        <w:rPr>
          <w:sz w:val="24"/>
        </w:rPr>
        <w:t>µg,</w:t>
      </w:r>
      <w:r>
        <w:rPr>
          <w:spacing w:val="-9"/>
          <w:sz w:val="24"/>
        </w:rPr>
        <w:t> </w:t>
      </w:r>
      <w:r>
        <w:rPr>
          <w:sz w:val="24"/>
        </w:rPr>
        <w:t>200</w:t>
      </w:r>
      <w:r>
        <w:rPr>
          <w:spacing w:val="-13"/>
          <w:sz w:val="24"/>
        </w:rPr>
        <w:t> </w:t>
      </w:r>
      <w:r>
        <w:rPr>
          <w:sz w:val="24"/>
        </w:rPr>
        <w:t>µg</w:t>
      </w:r>
      <w:r>
        <w:rPr>
          <w:spacing w:val="-10"/>
          <w:sz w:val="24"/>
        </w:rPr>
        <w:t> </w:t>
      </w:r>
      <w:r>
        <w:rPr>
          <w:sz w:val="24"/>
        </w:rPr>
        <w:t>y</w:t>
      </w:r>
      <w:r>
        <w:rPr>
          <w:spacing w:val="-13"/>
          <w:sz w:val="24"/>
        </w:rPr>
        <w:t> </w:t>
      </w:r>
      <w:r>
        <w:rPr>
          <w:sz w:val="24"/>
        </w:rPr>
        <w:t>250</w:t>
      </w:r>
      <w:r>
        <w:rPr>
          <w:spacing w:val="-13"/>
          <w:sz w:val="24"/>
        </w:rPr>
        <w:t> </w:t>
      </w:r>
      <w:r>
        <w:rPr>
          <w:sz w:val="24"/>
        </w:rPr>
        <w:t>µg,</w:t>
      </w:r>
      <w:r>
        <w:rPr>
          <w:spacing w:val="-9"/>
          <w:sz w:val="24"/>
        </w:rPr>
        <w:t> </w:t>
      </w:r>
      <w:r>
        <w:rPr>
          <w:sz w:val="24"/>
        </w:rPr>
        <w:t>preparadas</w:t>
      </w:r>
      <w:r>
        <w:rPr>
          <w:spacing w:val="-10"/>
          <w:sz w:val="24"/>
        </w:rPr>
        <w:t> </w:t>
      </w:r>
      <w:r>
        <w:rPr>
          <w:sz w:val="24"/>
        </w:rPr>
        <w:t>mediante</w:t>
      </w:r>
      <w:r>
        <w:rPr>
          <w:spacing w:val="-7"/>
          <w:sz w:val="24"/>
        </w:rPr>
        <w:t> </w:t>
      </w:r>
      <w:r>
        <w:rPr>
          <w:sz w:val="24"/>
        </w:rPr>
        <w:t>diluciones </w:t>
      </w:r>
      <w:r>
        <w:rPr>
          <w:spacing w:val="-2"/>
          <w:sz w:val="24"/>
        </w:rPr>
        <w:t>seriadas.</w:t>
      </w:r>
    </w:p>
    <w:p>
      <w:pPr>
        <w:pStyle w:val="ListParagraph"/>
        <w:numPr>
          <w:ilvl w:val="3"/>
          <w:numId w:val="10"/>
        </w:numPr>
        <w:tabs>
          <w:tab w:pos="1712" w:val="left" w:leader="none"/>
        </w:tabs>
        <w:spacing w:line="240" w:lineRule="auto" w:before="61" w:after="0"/>
        <w:ind w:left="1712" w:right="0" w:hanging="359"/>
        <w:jc w:val="both"/>
        <w:rPr>
          <w:sz w:val="24"/>
        </w:rPr>
      </w:pPr>
      <w:r>
        <w:rPr>
          <w:sz w:val="24"/>
        </w:rPr>
        <w:t>Las</w:t>
      </w:r>
      <w:r>
        <w:rPr>
          <w:spacing w:val="-7"/>
          <w:sz w:val="24"/>
        </w:rPr>
        <w:t> </w:t>
      </w:r>
      <w:r>
        <w:rPr>
          <w:sz w:val="24"/>
        </w:rPr>
        <w:t>placas</w:t>
      </w:r>
      <w:r>
        <w:rPr>
          <w:spacing w:val="-4"/>
          <w:sz w:val="24"/>
        </w:rPr>
        <w:t> </w:t>
      </w:r>
      <w:r>
        <w:rPr>
          <w:sz w:val="24"/>
        </w:rPr>
        <w:t>fueron incubadas</w:t>
      </w:r>
      <w:r>
        <w:rPr>
          <w:spacing w:val="-4"/>
          <w:sz w:val="24"/>
        </w:rPr>
        <w:t> </w:t>
      </w:r>
      <w:r>
        <w:rPr>
          <w:sz w:val="24"/>
        </w:rPr>
        <w:t>a</w:t>
      </w:r>
      <w:r>
        <w:rPr>
          <w:spacing w:val="1"/>
          <w:sz w:val="24"/>
        </w:rPr>
        <w:t> </w:t>
      </w:r>
      <w:r>
        <w:rPr>
          <w:sz w:val="24"/>
        </w:rPr>
        <w:t>37 °C durante</w:t>
      </w:r>
      <w:r>
        <w:rPr>
          <w:spacing w:val="1"/>
          <w:sz w:val="24"/>
        </w:rPr>
        <w:t> </w:t>
      </w:r>
      <w:r>
        <w:rPr>
          <w:sz w:val="24"/>
        </w:rPr>
        <w:t>24</w:t>
      </w:r>
      <w:r>
        <w:rPr>
          <w:spacing w:val="1"/>
          <w:sz w:val="24"/>
        </w:rPr>
        <w:t> </w:t>
      </w:r>
      <w:r>
        <w:rPr>
          <w:spacing w:val="-2"/>
          <w:sz w:val="24"/>
        </w:rPr>
        <w:t>horas.</w:t>
      </w:r>
    </w:p>
    <w:p>
      <w:pPr>
        <w:pStyle w:val="BodyText"/>
      </w:pPr>
    </w:p>
    <w:p>
      <w:pPr>
        <w:pStyle w:val="ListParagraph"/>
        <w:numPr>
          <w:ilvl w:val="3"/>
          <w:numId w:val="10"/>
        </w:numPr>
        <w:tabs>
          <w:tab w:pos="1713" w:val="left" w:leader="none"/>
        </w:tabs>
        <w:spacing w:line="480" w:lineRule="auto" w:before="0" w:after="0"/>
        <w:ind w:left="1713" w:right="714" w:hanging="360"/>
        <w:jc w:val="both"/>
        <w:rPr>
          <w:sz w:val="24"/>
        </w:rPr>
      </w:pPr>
      <w:r>
        <w:rPr>
          <w:sz w:val="24"/>
        </w:rPr>
        <w:t>Finalizada la incubación, procediose a cuantificar el tamaño de los halos inhibitorios en milímetros.</w:t>
      </w:r>
    </w:p>
    <w:p>
      <w:pPr>
        <w:pStyle w:val="ListParagraph"/>
        <w:numPr>
          <w:ilvl w:val="3"/>
          <w:numId w:val="10"/>
        </w:numPr>
        <w:tabs>
          <w:tab w:pos="1713" w:val="left" w:leader="none"/>
        </w:tabs>
        <w:spacing w:line="480" w:lineRule="auto" w:before="0" w:after="0"/>
        <w:ind w:left="1713" w:right="707" w:hanging="360"/>
        <w:jc w:val="both"/>
        <w:rPr>
          <w:sz w:val="24"/>
        </w:rPr>
      </w:pPr>
      <w:r>
        <w:rPr>
          <w:sz w:val="24"/>
        </w:rPr>
        <w:t>La Concentración Mínima Inhibitoria (CMI) correspondiente a la sinergia entre</w:t>
      </w:r>
      <w:r>
        <w:rPr>
          <w:spacing w:val="-15"/>
          <w:sz w:val="24"/>
        </w:rPr>
        <w:t> </w:t>
      </w:r>
      <w:r>
        <w:rPr>
          <w:sz w:val="24"/>
        </w:rPr>
        <w:t>CBD</w:t>
      </w:r>
      <w:r>
        <w:rPr>
          <w:spacing w:val="-15"/>
          <w:sz w:val="24"/>
        </w:rPr>
        <w:t> </w:t>
      </w:r>
      <w:r>
        <w:rPr>
          <w:sz w:val="24"/>
        </w:rPr>
        <w:t>y</w:t>
      </w:r>
      <w:r>
        <w:rPr>
          <w:spacing w:val="-15"/>
          <w:sz w:val="24"/>
        </w:rPr>
        <w:t> </w:t>
      </w:r>
      <w:r>
        <w:rPr>
          <w:sz w:val="24"/>
        </w:rPr>
        <w:t>un</w:t>
      </w:r>
      <w:r>
        <w:rPr>
          <w:spacing w:val="-15"/>
          <w:sz w:val="24"/>
        </w:rPr>
        <w:t> </w:t>
      </w:r>
      <w:r>
        <w:rPr>
          <w:sz w:val="24"/>
        </w:rPr>
        <w:t>antibiótico</w:t>
      </w:r>
      <w:r>
        <w:rPr>
          <w:spacing w:val="-15"/>
          <w:sz w:val="24"/>
        </w:rPr>
        <w:t> </w:t>
      </w:r>
      <w:r>
        <w:rPr>
          <w:sz w:val="24"/>
        </w:rPr>
        <w:t>particular,</w:t>
      </w:r>
      <w:r>
        <w:rPr>
          <w:spacing w:val="-15"/>
          <w:sz w:val="24"/>
        </w:rPr>
        <w:t> </w:t>
      </w:r>
      <w:r>
        <w:rPr>
          <w:sz w:val="24"/>
        </w:rPr>
        <w:t>determinose</w:t>
      </w:r>
      <w:r>
        <w:rPr>
          <w:spacing w:val="-15"/>
          <w:sz w:val="24"/>
        </w:rPr>
        <w:t> </w:t>
      </w:r>
      <w:r>
        <w:rPr>
          <w:sz w:val="24"/>
        </w:rPr>
        <w:t>por</w:t>
      </w:r>
      <w:r>
        <w:rPr>
          <w:spacing w:val="-15"/>
          <w:sz w:val="24"/>
        </w:rPr>
        <w:t> </w:t>
      </w:r>
      <w:r>
        <w:rPr>
          <w:sz w:val="24"/>
        </w:rPr>
        <w:t>la</w:t>
      </w:r>
      <w:r>
        <w:rPr>
          <w:spacing w:val="-15"/>
          <w:sz w:val="24"/>
        </w:rPr>
        <w:t> </w:t>
      </w:r>
      <w:r>
        <w:rPr>
          <w:sz w:val="24"/>
        </w:rPr>
        <w:t>concentración</w:t>
      </w:r>
      <w:r>
        <w:rPr>
          <w:spacing w:val="-15"/>
          <w:sz w:val="24"/>
        </w:rPr>
        <w:t> </w:t>
      </w:r>
      <w:r>
        <w:rPr>
          <w:sz w:val="24"/>
        </w:rPr>
        <w:t>mas baja que lograba la supresión evidente de la proliferación bacteriana.</w:t>
      </w:r>
    </w:p>
    <w:p>
      <w:pPr>
        <w:pStyle w:val="BodyText"/>
        <w:spacing w:line="362" w:lineRule="auto" w:before="240"/>
        <w:ind w:left="994" w:right="721"/>
        <w:jc w:val="both"/>
      </w:pPr>
      <w:r>
        <w:rPr/>
        <w:t>Este protocolo experimentale llevóse a cabo de forma individual para cada agente antimicrobiano, preservando intactas las variables de ejecución.</w:t>
      </w:r>
    </w:p>
    <w:p>
      <w:pPr>
        <w:pStyle w:val="BodyText"/>
        <w:spacing w:before="199"/>
      </w:pPr>
    </w:p>
    <w:p>
      <w:pPr>
        <w:pStyle w:val="Heading2"/>
        <w:numPr>
          <w:ilvl w:val="1"/>
          <w:numId w:val="10"/>
        </w:numPr>
        <w:tabs>
          <w:tab w:pos="1426" w:val="left" w:leader="none"/>
        </w:tabs>
        <w:spacing w:line="240" w:lineRule="auto" w:before="1" w:after="0"/>
        <w:ind w:left="1426" w:right="0" w:hanging="432"/>
        <w:jc w:val="left"/>
      </w:pPr>
      <w:bookmarkStart w:name="_bookmark36" w:id="37"/>
      <w:bookmarkEnd w:id="37"/>
      <w:r>
        <w:rPr>
          <w:b w:val="0"/>
        </w:rPr>
      </w:r>
      <w:r>
        <w:rPr>
          <w:spacing w:val="-2"/>
        </w:rPr>
        <w:t>MÉTODOS</w:t>
      </w:r>
      <w:r>
        <w:rPr>
          <w:spacing w:val="-9"/>
        </w:rPr>
        <w:t> </w:t>
      </w:r>
      <w:r>
        <w:rPr>
          <w:spacing w:val="-2"/>
        </w:rPr>
        <w:t>DE</w:t>
      </w:r>
      <w:r>
        <w:rPr>
          <w:spacing w:val="-4"/>
        </w:rPr>
        <w:t> </w:t>
      </w:r>
      <w:r>
        <w:rPr>
          <w:spacing w:val="-2"/>
        </w:rPr>
        <w:t>EVALUACIÓN</w:t>
      </w:r>
      <w:r>
        <w:rPr>
          <w:spacing w:val="-17"/>
        </w:rPr>
        <w:t> </w:t>
      </w:r>
      <w:r>
        <w:rPr>
          <w:spacing w:val="-2"/>
        </w:rPr>
        <w:t>Y</w:t>
      </w:r>
      <w:r>
        <w:rPr>
          <w:spacing w:val="-14"/>
        </w:rPr>
        <w:t> </w:t>
      </w:r>
      <w:r>
        <w:rPr>
          <w:spacing w:val="-2"/>
        </w:rPr>
        <w:t>DATOS</w:t>
      </w:r>
      <w:r>
        <w:rPr>
          <w:spacing w:val="-17"/>
        </w:rPr>
        <w:t> </w:t>
      </w:r>
      <w:r>
        <w:rPr>
          <w:spacing w:val="-2"/>
        </w:rPr>
        <w:t>A</w:t>
      </w:r>
      <w:r>
        <w:rPr>
          <w:spacing w:val="-21"/>
        </w:rPr>
        <w:t> </w:t>
      </w:r>
      <w:r>
        <w:rPr>
          <w:spacing w:val="-2"/>
        </w:rPr>
        <w:t>TOMARSE</w:t>
      </w:r>
    </w:p>
    <w:p>
      <w:pPr>
        <w:pStyle w:val="BodyText"/>
        <w:spacing w:before="103"/>
        <w:rPr>
          <w:b/>
        </w:rPr>
      </w:pPr>
    </w:p>
    <w:p>
      <w:pPr>
        <w:pStyle w:val="BodyText"/>
        <w:spacing w:before="1"/>
        <w:ind w:left="994"/>
        <w:jc w:val="both"/>
      </w:pPr>
      <w:r>
        <w:rPr/>
        <w:t>Durante</w:t>
      </w:r>
      <w:r>
        <w:rPr>
          <w:spacing w:val="-1"/>
        </w:rPr>
        <w:t> </w:t>
      </w:r>
      <w:r>
        <w:rPr/>
        <w:t>el</w:t>
      </w:r>
      <w:r>
        <w:rPr>
          <w:spacing w:val="-1"/>
        </w:rPr>
        <w:t> </w:t>
      </w:r>
      <w:r>
        <w:rPr/>
        <w:t>desarrollo del</w:t>
      </w:r>
      <w:r>
        <w:rPr>
          <w:spacing w:val="-9"/>
        </w:rPr>
        <w:t> </w:t>
      </w:r>
      <w:r>
        <w:rPr/>
        <w:t>estudio se</w:t>
      </w:r>
      <w:r>
        <w:rPr>
          <w:spacing w:val="-5"/>
        </w:rPr>
        <w:t> </w:t>
      </w:r>
      <w:r>
        <w:rPr/>
        <w:t>registraron</w:t>
      </w:r>
      <w:r>
        <w:rPr>
          <w:spacing w:val="-1"/>
        </w:rPr>
        <w:t> </w:t>
      </w:r>
      <w:r>
        <w:rPr/>
        <w:t>los</w:t>
      </w:r>
      <w:r>
        <w:rPr>
          <w:spacing w:val="-7"/>
        </w:rPr>
        <w:t> </w:t>
      </w:r>
      <w:r>
        <w:rPr/>
        <w:t>siguientes</w:t>
      </w:r>
      <w:r>
        <w:rPr>
          <w:spacing w:val="-5"/>
        </w:rPr>
        <w:t> </w:t>
      </w:r>
      <w:r>
        <w:rPr>
          <w:spacing w:val="-2"/>
        </w:rPr>
        <w:t>parámetros:</w:t>
      </w:r>
    </w:p>
    <w:p>
      <w:pPr>
        <w:pStyle w:val="BodyText"/>
        <w:spacing w:before="98"/>
      </w:pPr>
    </w:p>
    <w:p>
      <w:pPr>
        <w:pStyle w:val="ListParagraph"/>
        <w:numPr>
          <w:ilvl w:val="0"/>
          <w:numId w:val="14"/>
        </w:numPr>
        <w:tabs>
          <w:tab w:pos="1712" w:val="left" w:leader="none"/>
        </w:tabs>
        <w:spacing w:line="240" w:lineRule="auto" w:before="1" w:after="0"/>
        <w:ind w:left="1712" w:right="0" w:hanging="359"/>
        <w:jc w:val="both"/>
        <w:rPr>
          <w:sz w:val="24"/>
        </w:rPr>
      </w:pPr>
      <w:r>
        <w:rPr>
          <w:sz w:val="24"/>
        </w:rPr>
        <w:t>Diámetro</w:t>
      </w:r>
      <w:r>
        <w:rPr>
          <w:spacing w:val="-3"/>
          <w:sz w:val="24"/>
        </w:rPr>
        <w:t> </w:t>
      </w:r>
      <w:r>
        <w:rPr>
          <w:sz w:val="24"/>
        </w:rPr>
        <w:t>del</w:t>
      </w:r>
      <w:r>
        <w:rPr>
          <w:spacing w:val="1"/>
          <w:sz w:val="24"/>
        </w:rPr>
        <w:t> </w:t>
      </w:r>
      <w:r>
        <w:rPr>
          <w:sz w:val="24"/>
        </w:rPr>
        <w:t>halo</w:t>
      </w:r>
      <w:r>
        <w:rPr>
          <w:spacing w:val="-1"/>
          <w:sz w:val="24"/>
        </w:rPr>
        <w:t> </w:t>
      </w:r>
      <w:r>
        <w:rPr>
          <w:sz w:val="24"/>
        </w:rPr>
        <w:t>de</w:t>
      </w:r>
      <w:r>
        <w:rPr>
          <w:spacing w:val="-2"/>
          <w:sz w:val="24"/>
        </w:rPr>
        <w:t> </w:t>
      </w:r>
      <w:r>
        <w:rPr>
          <w:sz w:val="24"/>
        </w:rPr>
        <w:t>inhibición</w:t>
      </w:r>
      <w:r>
        <w:rPr>
          <w:spacing w:val="1"/>
          <w:sz w:val="24"/>
        </w:rPr>
        <w:t> </w:t>
      </w:r>
      <w:r>
        <w:rPr>
          <w:spacing w:val="-4"/>
          <w:sz w:val="24"/>
        </w:rPr>
        <w:t>(mm).</w:t>
      </w:r>
    </w:p>
    <w:p>
      <w:pPr>
        <w:pStyle w:val="BodyText"/>
        <w:spacing w:before="2"/>
      </w:pPr>
    </w:p>
    <w:p>
      <w:pPr>
        <w:pStyle w:val="ListParagraph"/>
        <w:numPr>
          <w:ilvl w:val="0"/>
          <w:numId w:val="14"/>
        </w:numPr>
        <w:tabs>
          <w:tab w:pos="1713" w:val="left" w:leader="none"/>
        </w:tabs>
        <w:spacing w:line="240" w:lineRule="auto" w:before="0" w:after="0"/>
        <w:ind w:left="1713" w:right="0" w:hanging="360"/>
        <w:jc w:val="left"/>
        <w:rPr>
          <w:sz w:val="24"/>
        </w:rPr>
      </w:pPr>
      <w:r>
        <w:rPr>
          <w:sz w:val="24"/>
        </w:rPr>
        <w:t>Evaluación</w:t>
      </w:r>
      <w:r>
        <w:rPr>
          <w:spacing w:val="-2"/>
          <w:sz w:val="24"/>
        </w:rPr>
        <w:t> </w:t>
      </w:r>
      <w:r>
        <w:rPr>
          <w:sz w:val="24"/>
        </w:rPr>
        <w:t>de</w:t>
      </w:r>
      <w:r>
        <w:rPr>
          <w:spacing w:val="-5"/>
          <w:sz w:val="24"/>
        </w:rPr>
        <w:t> </w:t>
      </w:r>
      <w:r>
        <w:rPr>
          <w:sz w:val="24"/>
        </w:rPr>
        <w:t>la</w:t>
      </w:r>
      <w:r>
        <w:rPr>
          <w:spacing w:val="-1"/>
          <w:sz w:val="24"/>
        </w:rPr>
        <w:t> </w:t>
      </w:r>
      <w:r>
        <w:rPr>
          <w:sz w:val="24"/>
        </w:rPr>
        <w:t>sensibilidad</w:t>
      </w:r>
      <w:r>
        <w:rPr>
          <w:spacing w:val="-1"/>
          <w:sz w:val="24"/>
        </w:rPr>
        <w:t> </w:t>
      </w:r>
      <w:r>
        <w:rPr>
          <w:sz w:val="24"/>
        </w:rPr>
        <w:t>microbiana</w:t>
      </w:r>
      <w:r>
        <w:rPr>
          <w:spacing w:val="-5"/>
          <w:sz w:val="24"/>
        </w:rPr>
        <w:t> </w:t>
      </w:r>
      <w:r>
        <w:rPr>
          <w:sz w:val="24"/>
        </w:rPr>
        <w:t>o</w:t>
      </w:r>
      <w:r>
        <w:rPr>
          <w:spacing w:val="-2"/>
          <w:sz w:val="24"/>
        </w:rPr>
        <w:t> </w:t>
      </w:r>
      <w:r>
        <w:rPr>
          <w:sz w:val="24"/>
        </w:rPr>
        <w:t>su</w:t>
      </w:r>
      <w:r>
        <w:rPr>
          <w:spacing w:val="-1"/>
          <w:sz w:val="24"/>
        </w:rPr>
        <w:t> </w:t>
      </w:r>
      <w:r>
        <w:rPr>
          <w:spacing w:val="-2"/>
          <w:sz w:val="24"/>
        </w:rPr>
        <w:t>resistencia.</w:t>
      </w:r>
    </w:p>
    <w:p>
      <w:pPr>
        <w:pStyle w:val="ListParagraph"/>
        <w:numPr>
          <w:ilvl w:val="0"/>
          <w:numId w:val="14"/>
        </w:numPr>
        <w:tabs>
          <w:tab w:pos="1713" w:val="left" w:leader="none"/>
        </w:tabs>
        <w:spacing w:line="240" w:lineRule="auto" w:before="274" w:after="0"/>
        <w:ind w:left="1713" w:right="0" w:hanging="360"/>
        <w:jc w:val="left"/>
        <w:rPr>
          <w:sz w:val="24"/>
        </w:rPr>
      </w:pPr>
      <w:r>
        <w:rPr>
          <w:sz w:val="24"/>
        </w:rPr>
        <w:t>Asentamiento</w:t>
      </w:r>
      <w:r>
        <w:rPr>
          <w:spacing w:val="-4"/>
          <w:sz w:val="24"/>
        </w:rPr>
        <w:t> </w:t>
      </w:r>
      <w:r>
        <w:rPr>
          <w:sz w:val="24"/>
        </w:rPr>
        <w:t>de las</w:t>
      </w:r>
      <w:r>
        <w:rPr>
          <w:spacing w:val="-4"/>
          <w:sz w:val="24"/>
        </w:rPr>
        <w:t> </w:t>
      </w:r>
      <w:r>
        <w:rPr>
          <w:sz w:val="24"/>
        </w:rPr>
        <w:t>dosis</w:t>
      </w:r>
      <w:r>
        <w:rPr>
          <w:spacing w:val="-3"/>
          <w:sz w:val="24"/>
        </w:rPr>
        <w:t> </w:t>
      </w:r>
      <w:r>
        <w:rPr>
          <w:sz w:val="24"/>
        </w:rPr>
        <w:t>de CBD</w:t>
      </w:r>
      <w:r>
        <w:rPr>
          <w:spacing w:val="-4"/>
          <w:sz w:val="24"/>
        </w:rPr>
        <w:t> </w:t>
      </w:r>
      <w:r>
        <w:rPr>
          <w:sz w:val="24"/>
        </w:rPr>
        <w:t>y</w:t>
      </w:r>
      <w:r>
        <w:rPr>
          <w:spacing w:val="-1"/>
          <w:sz w:val="24"/>
        </w:rPr>
        <w:t> </w:t>
      </w:r>
      <w:r>
        <w:rPr>
          <w:sz w:val="24"/>
        </w:rPr>
        <w:t>fármacos</w:t>
      </w:r>
      <w:r>
        <w:rPr>
          <w:spacing w:val="-3"/>
          <w:sz w:val="24"/>
        </w:rPr>
        <w:t> </w:t>
      </w:r>
      <w:r>
        <w:rPr>
          <w:sz w:val="24"/>
        </w:rPr>
        <w:t>antimicrobianos</w:t>
      </w:r>
      <w:r>
        <w:rPr>
          <w:spacing w:val="-3"/>
          <w:sz w:val="24"/>
        </w:rPr>
        <w:t> </w:t>
      </w:r>
      <w:r>
        <w:rPr>
          <w:spacing w:val="-2"/>
          <w:sz w:val="24"/>
        </w:rPr>
        <w:t>empleados.</w:t>
      </w:r>
    </w:p>
    <w:p>
      <w:pPr>
        <w:pStyle w:val="BodyText"/>
        <w:spacing w:before="239"/>
      </w:pPr>
    </w:p>
    <w:p>
      <w:pPr>
        <w:pStyle w:val="BodyText"/>
        <w:ind w:left="994" w:right="603"/>
      </w:pPr>
      <w:r>
        <w:rPr/>
        <w:t>Referente</w:t>
      </w:r>
      <w:r>
        <w:rPr>
          <w:spacing w:val="-3"/>
        </w:rPr>
        <w:t> </w:t>
      </w:r>
      <w:r>
        <w:rPr/>
        <w:t>a</w:t>
      </w:r>
      <w:r>
        <w:rPr>
          <w:spacing w:val="-6"/>
        </w:rPr>
        <w:t> </w:t>
      </w:r>
      <w:r>
        <w:rPr/>
        <w:t>cada</w:t>
      </w:r>
      <w:r>
        <w:rPr>
          <w:spacing w:val="-6"/>
        </w:rPr>
        <w:t> </w:t>
      </w:r>
      <w:r>
        <w:rPr/>
        <w:t>emparejamiento</w:t>
      </w:r>
      <w:r>
        <w:rPr>
          <w:spacing w:val="-4"/>
        </w:rPr>
        <w:t> </w:t>
      </w:r>
      <w:r>
        <w:rPr/>
        <w:t>de</w:t>
      </w:r>
      <w:r>
        <w:rPr>
          <w:spacing w:val="-3"/>
        </w:rPr>
        <w:t> </w:t>
      </w:r>
      <w:r>
        <w:rPr/>
        <w:t>CBD</w:t>
      </w:r>
      <w:r>
        <w:rPr>
          <w:spacing w:val="-9"/>
        </w:rPr>
        <w:t> </w:t>
      </w:r>
      <w:r>
        <w:rPr/>
        <w:t>y</w:t>
      </w:r>
      <w:r>
        <w:rPr>
          <w:spacing w:val="-4"/>
        </w:rPr>
        <w:t> </w:t>
      </w:r>
      <w:r>
        <w:rPr/>
        <w:t>un</w:t>
      </w:r>
      <w:r>
        <w:rPr>
          <w:spacing w:val="-4"/>
        </w:rPr>
        <w:t> </w:t>
      </w:r>
      <w:r>
        <w:rPr/>
        <w:t>antimicrobiano,</w:t>
      </w:r>
      <w:r>
        <w:rPr>
          <w:spacing w:val="-4"/>
        </w:rPr>
        <w:t> </w:t>
      </w:r>
      <w:r>
        <w:rPr/>
        <w:t>los</w:t>
      </w:r>
      <w:r>
        <w:rPr>
          <w:spacing w:val="-5"/>
        </w:rPr>
        <w:t> </w:t>
      </w:r>
      <w:r>
        <w:rPr/>
        <w:t>siguientes pormenores se registraron:</w:t>
      </w:r>
    </w:p>
    <w:p>
      <w:pPr>
        <w:pStyle w:val="BodyText"/>
        <w:spacing w:before="99"/>
      </w:pPr>
    </w:p>
    <w:p>
      <w:pPr>
        <w:pStyle w:val="ListParagraph"/>
        <w:numPr>
          <w:ilvl w:val="0"/>
          <w:numId w:val="14"/>
        </w:numPr>
        <w:tabs>
          <w:tab w:pos="1713" w:val="left" w:leader="none"/>
        </w:tabs>
        <w:spacing w:line="240" w:lineRule="auto" w:before="1" w:after="0"/>
        <w:ind w:left="1713" w:right="0" w:hanging="360"/>
        <w:jc w:val="left"/>
        <w:rPr>
          <w:sz w:val="24"/>
        </w:rPr>
      </w:pPr>
      <w:r>
        <w:rPr>
          <w:sz w:val="24"/>
        </w:rPr>
        <w:t>La</w:t>
      </w:r>
      <w:r>
        <w:rPr>
          <w:spacing w:val="-3"/>
          <w:sz w:val="24"/>
        </w:rPr>
        <w:t> </w:t>
      </w:r>
      <w:r>
        <w:rPr>
          <w:sz w:val="24"/>
        </w:rPr>
        <w:t>cantidad</w:t>
      </w:r>
      <w:r>
        <w:rPr>
          <w:spacing w:val="-1"/>
          <w:sz w:val="24"/>
        </w:rPr>
        <w:t> </w:t>
      </w:r>
      <w:r>
        <w:rPr>
          <w:sz w:val="24"/>
        </w:rPr>
        <w:t>de CBD</w:t>
      </w:r>
      <w:r>
        <w:rPr>
          <w:spacing w:val="-3"/>
          <w:sz w:val="24"/>
        </w:rPr>
        <w:t> </w:t>
      </w:r>
      <w:r>
        <w:rPr>
          <w:sz w:val="24"/>
        </w:rPr>
        <w:t>(microgramos</w:t>
      </w:r>
      <w:r>
        <w:rPr>
          <w:spacing w:val="-4"/>
          <w:sz w:val="24"/>
        </w:rPr>
        <w:t> </w:t>
      </w:r>
      <w:r>
        <w:rPr>
          <w:sz w:val="24"/>
        </w:rPr>
        <w:t>por</w:t>
      </w:r>
      <w:r>
        <w:rPr>
          <w:spacing w:val="-1"/>
          <w:sz w:val="24"/>
        </w:rPr>
        <w:t> </w:t>
      </w:r>
      <w:r>
        <w:rPr>
          <w:sz w:val="24"/>
        </w:rPr>
        <w:t>mililitro)</w:t>
      </w:r>
      <w:r>
        <w:rPr>
          <w:spacing w:val="-1"/>
          <w:sz w:val="24"/>
        </w:rPr>
        <w:t> </w:t>
      </w:r>
      <w:r>
        <w:rPr>
          <w:sz w:val="24"/>
        </w:rPr>
        <w:t>aplicada en</w:t>
      </w:r>
      <w:r>
        <w:rPr>
          <w:spacing w:val="-6"/>
          <w:sz w:val="24"/>
        </w:rPr>
        <w:t> </w:t>
      </w:r>
      <w:r>
        <w:rPr>
          <w:sz w:val="24"/>
        </w:rPr>
        <w:t>cada </w:t>
      </w:r>
      <w:r>
        <w:rPr>
          <w:spacing w:val="-2"/>
          <w:sz w:val="24"/>
        </w:rPr>
        <w:t>pozo.</w:t>
      </w:r>
    </w:p>
    <w:p>
      <w:pPr>
        <w:pStyle w:val="ListParagraph"/>
        <w:numPr>
          <w:ilvl w:val="0"/>
          <w:numId w:val="14"/>
        </w:numPr>
        <w:tabs>
          <w:tab w:pos="1713" w:val="left" w:leader="none"/>
        </w:tabs>
        <w:spacing w:line="240" w:lineRule="auto" w:before="274" w:after="0"/>
        <w:ind w:left="1713" w:right="973" w:hanging="360"/>
        <w:jc w:val="left"/>
        <w:rPr>
          <w:sz w:val="24"/>
        </w:rPr>
      </w:pPr>
      <w:r>
        <w:rPr>
          <w:sz w:val="24"/>
        </w:rPr>
        <w:t>La</w:t>
      </w:r>
      <w:r>
        <w:rPr>
          <w:spacing w:val="-4"/>
          <w:sz w:val="24"/>
        </w:rPr>
        <w:t> </w:t>
      </w:r>
      <w:r>
        <w:rPr>
          <w:sz w:val="24"/>
        </w:rPr>
        <w:t>cantidad</w:t>
      </w:r>
      <w:r>
        <w:rPr>
          <w:spacing w:val="-5"/>
          <w:sz w:val="24"/>
        </w:rPr>
        <w:t> </w:t>
      </w:r>
      <w:r>
        <w:rPr>
          <w:sz w:val="24"/>
        </w:rPr>
        <w:t>del</w:t>
      </w:r>
      <w:r>
        <w:rPr>
          <w:spacing w:val="-8"/>
          <w:sz w:val="24"/>
        </w:rPr>
        <w:t> </w:t>
      </w:r>
      <w:r>
        <w:rPr>
          <w:sz w:val="24"/>
        </w:rPr>
        <w:t>antimicrobiano</w:t>
      </w:r>
      <w:r>
        <w:rPr>
          <w:spacing w:val="-5"/>
          <w:sz w:val="24"/>
        </w:rPr>
        <w:t> </w:t>
      </w:r>
      <w:r>
        <w:rPr>
          <w:sz w:val="24"/>
        </w:rPr>
        <w:t>(microgramos</w:t>
      </w:r>
      <w:r>
        <w:rPr>
          <w:spacing w:val="-7"/>
          <w:sz w:val="24"/>
        </w:rPr>
        <w:t> </w:t>
      </w:r>
      <w:r>
        <w:rPr>
          <w:sz w:val="24"/>
        </w:rPr>
        <w:t>por</w:t>
      </w:r>
      <w:r>
        <w:rPr>
          <w:spacing w:val="-5"/>
          <w:sz w:val="24"/>
        </w:rPr>
        <w:t> </w:t>
      </w:r>
      <w:r>
        <w:rPr>
          <w:sz w:val="24"/>
        </w:rPr>
        <w:t>mililitro)</w:t>
      </w:r>
      <w:r>
        <w:rPr>
          <w:spacing w:val="-5"/>
          <w:sz w:val="24"/>
        </w:rPr>
        <w:t> </w:t>
      </w:r>
      <w:r>
        <w:rPr>
          <w:sz w:val="24"/>
        </w:rPr>
        <w:t>dispuesta</w:t>
      </w:r>
      <w:r>
        <w:rPr>
          <w:spacing w:val="-4"/>
          <w:sz w:val="24"/>
        </w:rPr>
        <w:t> </w:t>
      </w:r>
      <w:r>
        <w:rPr>
          <w:sz w:val="24"/>
        </w:rPr>
        <w:t>en cada orificio.</w:t>
      </w:r>
    </w:p>
    <w:p>
      <w:pPr>
        <w:pStyle w:val="ListParagraph"/>
        <w:numPr>
          <w:ilvl w:val="0"/>
          <w:numId w:val="14"/>
        </w:numPr>
        <w:tabs>
          <w:tab w:pos="1713" w:val="left" w:leader="none"/>
        </w:tabs>
        <w:spacing w:line="240" w:lineRule="auto" w:before="274" w:after="0"/>
        <w:ind w:left="1713" w:right="0" w:hanging="360"/>
        <w:jc w:val="left"/>
        <w:rPr>
          <w:sz w:val="24"/>
        </w:rPr>
      </w:pPr>
      <w:r>
        <w:rPr>
          <w:sz w:val="24"/>
        </w:rPr>
        <w:t>La</w:t>
      </w:r>
      <w:r>
        <w:rPr>
          <w:spacing w:val="-2"/>
          <w:sz w:val="24"/>
        </w:rPr>
        <w:t> </w:t>
      </w:r>
      <w:r>
        <w:rPr>
          <w:sz w:val="24"/>
        </w:rPr>
        <w:t>observación</w:t>
      </w:r>
      <w:r>
        <w:rPr>
          <w:spacing w:val="-1"/>
          <w:sz w:val="24"/>
        </w:rPr>
        <w:t> </w:t>
      </w:r>
      <w:r>
        <w:rPr>
          <w:sz w:val="24"/>
        </w:rPr>
        <w:t>visual directa</w:t>
      </w:r>
      <w:r>
        <w:rPr>
          <w:spacing w:val="-4"/>
          <w:sz w:val="24"/>
        </w:rPr>
        <w:t> </w:t>
      </w:r>
      <w:r>
        <w:rPr>
          <w:sz w:val="24"/>
        </w:rPr>
        <w:t>indicando</w:t>
      </w:r>
      <w:r>
        <w:rPr>
          <w:spacing w:val="-1"/>
          <w:sz w:val="24"/>
        </w:rPr>
        <w:t> </w:t>
      </w:r>
      <w:r>
        <w:rPr>
          <w:sz w:val="24"/>
        </w:rPr>
        <w:t>si</w:t>
      </w:r>
      <w:r>
        <w:rPr>
          <w:spacing w:val="-4"/>
          <w:sz w:val="24"/>
        </w:rPr>
        <w:t> </w:t>
      </w:r>
      <w:r>
        <w:rPr>
          <w:sz w:val="24"/>
        </w:rPr>
        <w:t>apareció</w:t>
      </w:r>
      <w:r>
        <w:rPr>
          <w:spacing w:val="-1"/>
          <w:sz w:val="24"/>
        </w:rPr>
        <w:t> </w:t>
      </w:r>
      <w:r>
        <w:rPr>
          <w:sz w:val="24"/>
        </w:rPr>
        <w:t>o</w:t>
      </w:r>
      <w:r>
        <w:rPr>
          <w:spacing w:val="-1"/>
          <w:sz w:val="24"/>
        </w:rPr>
        <w:t> </w:t>
      </w:r>
      <w:r>
        <w:rPr>
          <w:sz w:val="24"/>
        </w:rPr>
        <w:t>no </w:t>
      </w:r>
      <w:r>
        <w:rPr>
          <w:spacing w:val="-2"/>
          <w:sz w:val="24"/>
        </w:rPr>
        <w:t>crecimiento</w:t>
      </w:r>
    </w:p>
    <w:p>
      <w:pPr>
        <w:pStyle w:val="BodyText"/>
        <w:spacing w:before="139"/>
        <w:ind w:left="505"/>
        <w:jc w:val="center"/>
      </w:pPr>
      <w:r>
        <w:rPr/>
        <w:t>bacteriano,</w:t>
      </w:r>
      <w:r>
        <w:rPr>
          <w:spacing w:val="-4"/>
        </w:rPr>
        <w:t> </w:t>
      </w:r>
      <w:r>
        <w:rPr/>
        <w:t>documentado</w:t>
      </w:r>
      <w:r>
        <w:rPr>
          <w:spacing w:val="-1"/>
        </w:rPr>
        <w:t> </w:t>
      </w:r>
      <w:r>
        <w:rPr/>
        <w:t>mediante</w:t>
      </w:r>
      <w:r>
        <w:rPr>
          <w:spacing w:val="-1"/>
        </w:rPr>
        <w:t> </w:t>
      </w:r>
      <w:r>
        <w:rPr/>
        <w:t>un</w:t>
      </w:r>
      <w:r>
        <w:rPr>
          <w:spacing w:val="-1"/>
        </w:rPr>
        <w:t> </w:t>
      </w:r>
      <w:r>
        <w:rPr/>
        <w:t>símbolo</w:t>
      </w:r>
      <w:r>
        <w:rPr>
          <w:spacing w:val="-1"/>
        </w:rPr>
        <w:t> </w:t>
      </w:r>
      <w:r>
        <w:rPr/>
        <w:t>de</w:t>
      </w:r>
      <w:r>
        <w:rPr>
          <w:spacing w:val="-1"/>
        </w:rPr>
        <w:t> </w:t>
      </w:r>
      <w:r>
        <w:rPr/>
        <w:t>más</w:t>
      </w:r>
      <w:r>
        <w:rPr>
          <w:spacing w:val="-3"/>
        </w:rPr>
        <w:t> </w:t>
      </w:r>
      <w:r>
        <w:rPr/>
        <w:t>o</w:t>
      </w:r>
      <w:r>
        <w:rPr>
          <w:spacing w:val="-1"/>
        </w:rPr>
        <w:t> </w:t>
      </w:r>
      <w:r>
        <w:rPr/>
        <w:t>menos</w:t>
      </w:r>
      <w:r>
        <w:rPr>
          <w:spacing w:val="-3"/>
        </w:rPr>
        <w:t> </w:t>
      </w:r>
      <w:r>
        <w:rPr>
          <w:spacing w:val="-2"/>
        </w:rPr>
        <w:t>(+/−).</w:t>
      </w:r>
    </w:p>
    <w:p>
      <w:pPr>
        <w:pStyle w:val="BodyText"/>
        <w:spacing w:after="0"/>
        <w:jc w:val="center"/>
        <w:sectPr>
          <w:pgSz w:w="11900" w:h="16840"/>
          <w:pgMar w:top="1560" w:bottom="280" w:left="1275" w:right="992"/>
        </w:sectPr>
      </w:pPr>
    </w:p>
    <w:p>
      <w:pPr>
        <w:pStyle w:val="Heading3"/>
        <w:numPr>
          <w:ilvl w:val="1"/>
          <w:numId w:val="10"/>
        </w:numPr>
        <w:tabs>
          <w:tab w:pos="1426" w:val="left" w:leader="none"/>
        </w:tabs>
        <w:spacing w:line="240" w:lineRule="auto" w:before="60" w:after="0"/>
        <w:ind w:left="1426" w:right="0" w:hanging="432"/>
        <w:jc w:val="left"/>
      </w:pPr>
      <w:r>
        <w:rPr/>
        <w:t>Análisis</w:t>
      </w:r>
      <w:r>
        <w:rPr>
          <w:spacing w:val="-5"/>
        </w:rPr>
        <w:t> </w:t>
      </w:r>
      <w:r>
        <w:rPr/>
        <w:t>de </w:t>
      </w:r>
      <w:r>
        <w:rPr>
          <w:spacing w:val="-2"/>
        </w:rPr>
        <w:t>datos</w:t>
      </w:r>
    </w:p>
    <w:p>
      <w:pPr>
        <w:pStyle w:val="BodyText"/>
        <w:spacing w:before="104"/>
        <w:rPr>
          <w:b/>
        </w:rPr>
      </w:pPr>
    </w:p>
    <w:p>
      <w:pPr>
        <w:pStyle w:val="BodyText"/>
        <w:ind w:left="994"/>
      </w:pPr>
      <w:r>
        <w:rPr/>
        <w:t>El</w:t>
      </w:r>
      <w:r>
        <w:rPr>
          <w:spacing w:val="-3"/>
        </w:rPr>
        <w:t> </w:t>
      </w:r>
      <w:r>
        <w:rPr/>
        <w:t>procesamiento</w:t>
      </w:r>
      <w:r>
        <w:rPr>
          <w:spacing w:val="-3"/>
        </w:rPr>
        <w:t> </w:t>
      </w:r>
      <w:r>
        <w:rPr/>
        <w:t>de</w:t>
      </w:r>
      <w:r>
        <w:rPr>
          <w:spacing w:val="-6"/>
        </w:rPr>
        <w:t> </w:t>
      </w:r>
      <w:r>
        <w:rPr/>
        <w:t>los</w:t>
      </w:r>
      <w:r>
        <w:rPr>
          <w:spacing w:val="-5"/>
        </w:rPr>
        <w:t> </w:t>
      </w:r>
      <w:r>
        <w:rPr/>
        <w:t>datos</w:t>
      </w:r>
      <w:r>
        <w:rPr>
          <w:spacing w:val="-5"/>
        </w:rPr>
        <w:t> </w:t>
      </w:r>
      <w:r>
        <w:rPr/>
        <w:t>arrojó</w:t>
      </w:r>
      <w:r>
        <w:rPr>
          <w:spacing w:val="-3"/>
        </w:rPr>
        <w:t> </w:t>
      </w:r>
      <w:r>
        <w:rPr/>
        <w:t>resultados</w:t>
      </w:r>
      <w:r>
        <w:rPr>
          <w:spacing w:val="-5"/>
        </w:rPr>
        <w:t> </w:t>
      </w:r>
      <w:r>
        <w:rPr/>
        <w:t>de</w:t>
      </w:r>
      <w:r>
        <w:rPr>
          <w:spacing w:val="-3"/>
        </w:rPr>
        <w:t> </w:t>
      </w:r>
      <w:r>
        <w:rPr/>
        <w:t>índole</w:t>
      </w:r>
      <w:r>
        <w:rPr>
          <w:spacing w:val="-6"/>
        </w:rPr>
        <w:t> </w:t>
      </w:r>
      <w:r>
        <w:rPr/>
        <w:t>estadística</w:t>
      </w:r>
      <w:r>
        <w:rPr>
          <w:spacing w:val="-3"/>
        </w:rPr>
        <w:t> </w:t>
      </w:r>
      <w:r>
        <w:rPr/>
        <w:t>y</w:t>
      </w:r>
      <w:r>
        <w:rPr>
          <w:spacing w:val="-3"/>
        </w:rPr>
        <w:t> </w:t>
      </w:r>
      <w:r>
        <w:rPr/>
        <w:t>empleó</w:t>
      </w:r>
      <w:r>
        <w:rPr>
          <w:spacing w:val="-3"/>
        </w:rPr>
        <w:t> </w:t>
      </w:r>
      <w:r>
        <w:rPr/>
        <w:t>las siguientes técnicas:</w:t>
      </w:r>
    </w:p>
    <w:p>
      <w:pPr>
        <w:pStyle w:val="BodyText"/>
        <w:spacing w:before="15"/>
      </w:pPr>
    </w:p>
    <w:p>
      <w:pPr>
        <w:pStyle w:val="ListParagraph"/>
        <w:numPr>
          <w:ilvl w:val="0"/>
          <w:numId w:val="15"/>
        </w:numPr>
        <w:tabs>
          <w:tab w:pos="1713" w:val="left" w:leader="none"/>
        </w:tabs>
        <w:spacing w:line="460" w:lineRule="auto" w:before="1" w:after="0"/>
        <w:ind w:left="1713" w:right="979" w:hanging="360"/>
        <w:jc w:val="left"/>
        <w:rPr>
          <w:sz w:val="24"/>
        </w:rPr>
      </w:pPr>
      <w:r>
        <w:rPr>
          <w:sz w:val="24"/>
        </w:rPr>
        <w:t>Una evaluación de la efectividad antibacteriana valiéndose del método Kirby-Bauer,</w:t>
      </w:r>
      <w:r>
        <w:rPr>
          <w:spacing w:val="-3"/>
          <w:sz w:val="24"/>
        </w:rPr>
        <w:t> </w:t>
      </w:r>
      <w:r>
        <w:rPr>
          <w:sz w:val="24"/>
        </w:rPr>
        <w:t>un</w:t>
      </w:r>
      <w:r>
        <w:rPr>
          <w:spacing w:val="-3"/>
          <w:sz w:val="24"/>
        </w:rPr>
        <w:t> </w:t>
      </w:r>
      <w:r>
        <w:rPr>
          <w:sz w:val="24"/>
        </w:rPr>
        <w:t>método</w:t>
      </w:r>
      <w:r>
        <w:rPr>
          <w:spacing w:val="-3"/>
          <w:sz w:val="24"/>
        </w:rPr>
        <w:t> </w:t>
      </w:r>
      <w:r>
        <w:rPr>
          <w:sz w:val="24"/>
        </w:rPr>
        <w:t>de</w:t>
      </w:r>
      <w:r>
        <w:rPr>
          <w:spacing w:val="-3"/>
          <w:sz w:val="24"/>
        </w:rPr>
        <w:t> </w:t>
      </w:r>
      <w:r>
        <w:rPr>
          <w:sz w:val="24"/>
        </w:rPr>
        <w:t>difusión</w:t>
      </w:r>
      <w:r>
        <w:rPr>
          <w:spacing w:val="-3"/>
          <w:sz w:val="24"/>
        </w:rPr>
        <w:t> </w:t>
      </w:r>
      <w:r>
        <w:rPr>
          <w:sz w:val="24"/>
        </w:rPr>
        <w:t>en</w:t>
      </w:r>
      <w:r>
        <w:rPr>
          <w:spacing w:val="-3"/>
          <w:sz w:val="24"/>
        </w:rPr>
        <w:t> </w:t>
      </w:r>
      <w:r>
        <w:rPr>
          <w:sz w:val="24"/>
        </w:rPr>
        <w:t>gel</w:t>
      </w:r>
      <w:r>
        <w:rPr>
          <w:spacing w:val="-3"/>
          <w:sz w:val="24"/>
        </w:rPr>
        <w:t> </w:t>
      </w:r>
      <w:r>
        <w:rPr>
          <w:sz w:val="24"/>
        </w:rPr>
        <w:t>de</w:t>
      </w:r>
      <w:r>
        <w:rPr>
          <w:spacing w:val="-3"/>
          <w:sz w:val="24"/>
        </w:rPr>
        <w:t> </w:t>
      </w:r>
      <w:r>
        <w:rPr>
          <w:sz w:val="24"/>
        </w:rPr>
        <w:t>agar.</w:t>
      </w:r>
      <w:r>
        <w:rPr>
          <w:spacing w:val="-7"/>
          <w:sz w:val="24"/>
        </w:rPr>
        <w:t> </w:t>
      </w:r>
      <w:r>
        <w:rPr>
          <w:sz w:val="24"/>
        </w:rPr>
        <w:t>La</w:t>
      </w:r>
      <w:r>
        <w:rPr>
          <w:spacing w:val="-6"/>
          <w:sz w:val="24"/>
        </w:rPr>
        <w:t> </w:t>
      </w:r>
      <w:r>
        <w:rPr>
          <w:sz w:val="24"/>
        </w:rPr>
        <w:t>cuantificación</w:t>
      </w:r>
      <w:r>
        <w:rPr>
          <w:spacing w:val="-3"/>
          <w:sz w:val="24"/>
        </w:rPr>
        <w:t> </w:t>
      </w:r>
      <w:r>
        <w:rPr>
          <w:sz w:val="24"/>
        </w:rPr>
        <w:t>se concentró en el tamaño de las áreas sin crecimiento bacteriano, esto medido en milímetros.</w:t>
      </w:r>
    </w:p>
    <w:p>
      <w:pPr>
        <w:pStyle w:val="ListParagraph"/>
        <w:numPr>
          <w:ilvl w:val="0"/>
          <w:numId w:val="15"/>
        </w:numPr>
        <w:tabs>
          <w:tab w:pos="1713" w:val="left" w:leader="none"/>
        </w:tabs>
        <w:spacing w:line="350" w:lineRule="auto" w:before="22" w:after="0"/>
        <w:ind w:left="1713" w:right="568" w:hanging="360"/>
        <w:jc w:val="left"/>
        <w:rPr>
          <w:sz w:val="24"/>
        </w:rPr>
      </w:pPr>
      <w:r>
        <w:rPr>
          <w:sz w:val="24"/>
        </w:rPr>
        <w:t>Un cálculo de la Concentración Mínima Inhibitoria (CMI) tanto del CBD</w:t>
      </w:r>
      <w:r>
        <w:rPr>
          <w:spacing w:val="80"/>
          <w:sz w:val="24"/>
        </w:rPr>
        <w:t> </w:t>
      </w:r>
      <w:r>
        <w:rPr>
          <w:sz w:val="24"/>
        </w:rPr>
        <w:t>como en concurrencia con otros compuestos antibacterianos.</w:t>
      </w:r>
    </w:p>
    <w:p>
      <w:pPr>
        <w:pStyle w:val="BodyText"/>
        <w:spacing w:before="11"/>
      </w:pPr>
    </w:p>
    <w:p>
      <w:pPr>
        <w:pStyle w:val="ListParagraph"/>
        <w:numPr>
          <w:ilvl w:val="0"/>
          <w:numId w:val="15"/>
        </w:numPr>
        <w:tabs>
          <w:tab w:pos="1713" w:val="left" w:leader="none"/>
        </w:tabs>
        <w:spacing w:line="451" w:lineRule="auto" w:before="1" w:after="0"/>
        <w:ind w:left="1713" w:right="1682" w:hanging="360"/>
        <w:jc w:val="left"/>
        <w:rPr>
          <w:sz w:val="24"/>
        </w:rPr>
      </w:pPr>
      <w:r>
        <w:rPr>
          <w:sz w:val="24"/>
        </w:rPr>
        <w:t>Análisis</w:t>
      </w:r>
      <w:r>
        <w:rPr>
          <w:spacing w:val="-7"/>
          <w:sz w:val="24"/>
        </w:rPr>
        <w:t> </w:t>
      </w:r>
      <w:r>
        <w:rPr>
          <w:sz w:val="24"/>
        </w:rPr>
        <w:t>tanto</w:t>
      </w:r>
      <w:r>
        <w:rPr>
          <w:spacing w:val="-5"/>
          <w:sz w:val="24"/>
        </w:rPr>
        <w:t> </w:t>
      </w:r>
      <w:r>
        <w:rPr>
          <w:sz w:val="24"/>
        </w:rPr>
        <w:t>descriptivo</w:t>
      </w:r>
      <w:r>
        <w:rPr>
          <w:spacing w:val="-5"/>
          <w:sz w:val="24"/>
        </w:rPr>
        <w:t> </w:t>
      </w:r>
      <w:r>
        <w:rPr>
          <w:sz w:val="24"/>
        </w:rPr>
        <w:t>como</w:t>
      </w:r>
      <w:r>
        <w:rPr>
          <w:spacing w:val="-5"/>
          <w:sz w:val="24"/>
        </w:rPr>
        <w:t> </w:t>
      </w:r>
      <w:r>
        <w:rPr>
          <w:sz w:val="24"/>
        </w:rPr>
        <w:t>de</w:t>
      </w:r>
      <w:r>
        <w:rPr>
          <w:spacing w:val="-5"/>
          <w:sz w:val="24"/>
        </w:rPr>
        <w:t> </w:t>
      </w:r>
      <w:r>
        <w:rPr>
          <w:sz w:val="24"/>
        </w:rPr>
        <w:t>inferencia</w:t>
      </w:r>
      <w:r>
        <w:rPr>
          <w:spacing w:val="-5"/>
          <w:sz w:val="24"/>
        </w:rPr>
        <w:t> </w:t>
      </w:r>
      <w:r>
        <w:rPr>
          <w:sz w:val="24"/>
        </w:rPr>
        <w:t>sobre</w:t>
      </w:r>
      <w:r>
        <w:rPr>
          <w:spacing w:val="-5"/>
          <w:sz w:val="24"/>
        </w:rPr>
        <w:t> </w:t>
      </w:r>
      <w:r>
        <w:rPr>
          <w:sz w:val="24"/>
        </w:rPr>
        <w:t>los</w:t>
      </w:r>
      <w:r>
        <w:rPr>
          <w:spacing w:val="-7"/>
          <w:sz w:val="24"/>
        </w:rPr>
        <w:t> </w:t>
      </w:r>
      <w:r>
        <w:rPr>
          <w:sz w:val="24"/>
        </w:rPr>
        <w:t>hallazgos </w:t>
      </w:r>
      <w:r>
        <w:rPr>
          <w:spacing w:val="-2"/>
          <w:sz w:val="24"/>
        </w:rPr>
        <w:t>recopilados.</w:t>
      </w:r>
    </w:p>
    <w:p>
      <w:pPr>
        <w:pStyle w:val="ListParagraph"/>
        <w:numPr>
          <w:ilvl w:val="0"/>
          <w:numId w:val="15"/>
        </w:numPr>
        <w:tabs>
          <w:tab w:pos="1713" w:val="left" w:leader="none"/>
        </w:tabs>
        <w:spacing w:line="240" w:lineRule="auto" w:before="33" w:after="0"/>
        <w:ind w:left="1713" w:right="0" w:hanging="360"/>
        <w:jc w:val="left"/>
        <w:rPr>
          <w:sz w:val="24"/>
        </w:rPr>
      </w:pPr>
      <w:r>
        <w:rPr>
          <w:sz w:val="24"/>
        </w:rPr>
        <w:t>Análisis</w:t>
      </w:r>
      <w:r>
        <w:rPr>
          <w:spacing w:val="-4"/>
          <w:sz w:val="24"/>
        </w:rPr>
        <w:t> </w:t>
      </w:r>
      <w:r>
        <w:rPr>
          <w:sz w:val="24"/>
        </w:rPr>
        <w:t>descriptivo</w:t>
      </w:r>
      <w:r>
        <w:rPr>
          <w:spacing w:val="-2"/>
          <w:sz w:val="24"/>
        </w:rPr>
        <w:t> </w:t>
      </w:r>
      <w:r>
        <w:rPr>
          <w:sz w:val="24"/>
        </w:rPr>
        <w:t>e inferencial</w:t>
      </w:r>
      <w:r>
        <w:rPr>
          <w:spacing w:val="-1"/>
          <w:sz w:val="24"/>
        </w:rPr>
        <w:t> </w:t>
      </w:r>
      <w:r>
        <w:rPr>
          <w:sz w:val="24"/>
        </w:rPr>
        <w:t>de los</w:t>
      </w:r>
      <w:r>
        <w:rPr>
          <w:spacing w:val="-4"/>
          <w:sz w:val="24"/>
        </w:rPr>
        <w:t> </w:t>
      </w:r>
      <w:r>
        <w:rPr>
          <w:sz w:val="24"/>
        </w:rPr>
        <w:t>datos</w:t>
      </w:r>
      <w:r>
        <w:rPr>
          <w:spacing w:val="-3"/>
          <w:sz w:val="24"/>
        </w:rPr>
        <w:t> </w:t>
      </w:r>
      <w:r>
        <w:rPr>
          <w:spacing w:val="-2"/>
          <w:sz w:val="24"/>
        </w:rPr>
        <w:t>obtenidos.</w:t>
      </w:r>
    </w:p>
    <w:p>
      <w:pPr>
        <w:pStyle w:val="BodyText"/>
        <w:spacing w:before="77"/>
      </w:pPr>
    </w:p>
    <w:p>
      <w:pPr>
        <w:pStyle w:val="ListParagraph"/>
        <w:numPr>
          <w:ilvl w:val="0"/>
          <w:numId w:val="15"/>
        </w:numPr>
        <w:tabs>
          <w:tab w:pos="1713" w:val="left" w:leader="none"/>
        </w:tabs>
        <w:spacing w:line="451" w:lineRule="auto" w:before="1" w:after="0"/>
        <w:ind w:left="1713" w:right="928" w:hanging="360"/>
        <w:jc w:val="left"/>
        <w:rPr>
          <w:sz w:val="24"/>
        </w:rPr>
      </w:pPr>
      <w:r>
        <w:rPr>
          <w:sz w:val="24"/>
        </w:rPr>
        <w:t>La</w:t>
      </w:r>
      <w:r>
        <w:rPr>
          <w:spacing w:val="-4"/>
          <w:sz w:val="24"/>
        </w:rPr>
        <w:t> </w:t>
      </w:r>
      <w:r>
        <w:rPr>
          <w:sz w:val="24"/>
        </w:rPr>
        <w:t>cifra</w:t>
      </w:r>
      <w:r>
        <w:rPr>
          <w:spacing w:val="-4"/>
          <w:sz w:val="24"/>
        </w:rPr>
        <w:t> </w:t>
      </w:r>
      <w:r>
        <w:rPr>
          <w:sz w:val="24"/>
        </w:rPr>
        <w:t>de</w:t>
      </w:r>
      <w:r>
        <w:rPr>
          <w:spacing w:val="-8"/>
          <w:sz w:val="24"/>
        </w:rPr>
        <w:t> </w:t>
      </w:r>
      <w:r>
        <w:rPr>
          <w:sz w:val="24"/>
        </w:rPr>
        <w:t>la</w:t>
      </w:r>
      <w:r>
        <w:rPr>
          <w:spacing w:val="-4"/>
          <w:sz w:val="24"/>
        </w:rPr>
        <w:t> </w:t>
      </w:r>
      <w:r>
        <w:rPr>
          <w:sz w:val="24"/>
        </w:rPr>
        <w:t>Concentración</w:t>
      </w:r>
      <w:r>
        <w:rPr>
          <w:spacing w:val="-5"/>
          <w:sz w:val="24"/>
        </w:rPr>
        <w:t> </w:t>
      </w:r>
      <w:r>
        <w:rPr>
          <w:sz w:val="24"/>
        </w:rPr>
        <w:t>Mínima</w:t>
      </w:r>
      <w:r>
        <w:rPr>
          <w:spacing w:val="-4"/>
          <w:sz w:val="24"/>
        </w:rPr>
        <w:t> </w:t>
      </w:r>
      <w:r>
        <w:rPr>
          <w:sz w:val="24"/>
        </w:rPr>
        <w:t>de</w:t>
      </w:r>
      <w:r>
        <w:rPr>
          <w:spacing w:val="-4"/>
          <w:sz w:val="24"/>
        </w:rPr>
        <w:t> </w:t>
      </w:r>
      <w:r>
        <w:rPr>
          <w:sz w:val="24"/>
        </w:rPr>
        <w:t>Supresión</w:t>
      </w:r>
      <w:r>
        <w:rPr>
          <w:spacing w:val="-5"/>
          <w:sz w:val="24"/>
        </w:rPr>
        <w:t> </w:t>
      </w:r>
      <w:r>
        <w:rPr>
          <w:sz w:val="24"/>
        </w:rPr>
        <w:t>(CMS/MIC)</w:t>
      </w:r>
      <w:r>
        <w:rPr>
          <w:spacing w:val="-5"/>
          <w:sz w:val="24"/>
        </w:rPr>
        <w:t> </w:t>
      </w:r>
      <w:r>
        <w:rPr>
          <w:sz w:val="24"/>
        </w:rPr>
        <w:t>asociada al binomio CBD + antibiótico.</w:t>
      </w:r>
    </w:p>
    <w:p>
      <w:pPr>
        <w:pStyle w:val="ListParagraph"/>
        <w:numPr>
          <w:ilvl w:val="0"/>
          <w:numId w:val="15"/>
        </w:numPr>
        <w:tabs>
          <w:tab w:pos="1713" w:val="left" w:leader="none"/>
        </w:tabs>
        <w:spacing w:line="350" w:lineRule="auto" w:before="36" w:after="0"/>
        <w:ind w:left="1713" w:right="1037" w:hanging="360"/>
        <w:jc w:val="left"/>
        <w:rPr>
          <w:sz w:val="24"/>
        </w:rPr>
      </w:pPr>
      <w:r>
        <w:rPr>
          <w:sz w:val="24"/>
        </w:rPr>
        <w:t>Los</w:t>
      </w:r>
      <w:r>
        <w:rPr>
          <w:spacing w:val="-6"/>
          <w:sz w:val="24"/>
        </w:rPr>
        <w:t> </w:t>
      </w:r>
      <w:r>
        <w:rPr>
          <w:sz w:val="24"/>
        </w:rPr>
        <w:t>parámetros</w:t>
      </w:r>
      <w:r>
        <w:rPr>
          <w:spacing w:val="-6"/>
          <w:sz w:val="24"/>
        </w:rPr>
        <w:t> </w:t>
      </w:r>
      <w:r>
        <w:rPr>
          <w:sz w:val="24"/>
        </w:rPr>
        <w:t>de</w:t>
      </w:r>
      <w:r>
        <w:rPr>
          <w:spacing w:val="-3"/>
          <w:sz w:val="24"/>
        </w:rPr>
        <w:t> </w:t>
      </w:r>
      <w:r>
        <w:rPr>
          <w:sz w:val="24"/>
        </w:rPr>
        <w:t>incubación,</w:t>
      </w:r>
      <w:r>
        <w:rPr>
          <w:spacing w:val="-4"/>
          <w:sz w:val="24"/>
        </w:rPr>
        <w:t> </w:t>
      </w:r>
      <w:r>
        <w:rPr>
          <w:sz w:val="24"/>
        </w:rPr>
        <w:t>los</w:t>
      </w:r>
      <w:r>
        <w:rPr>
          <w:spacing w:val="-6"/>
          <w:sz w:val="24"/>
        </w:rPr>
        <w:t> </w:t>
      </w:r>
      <w:r>
        <w:rPr>
          <w:sz w:val="24"/>
        </w:rPr>
        <w:t>cuales</w:t>
      </w:r>
      <w:r>
        <w:rPr>
          <w:spacing w:val="-6"/>
          <w:sz w:val="24"/>
        </w:rPr>
        <w:t> </w:t>
      </w:r>
      <w:r>
        <w:rPr>
          <w:sz w:val="24"/>
        </w:rPr>
        <w:t>incluyeron</w:t>
      </w:r>
      <w:r>
        <w:rPr>
          <w:spacing w:val="-4"/>
          <w:sz w:val="24"/>
        </w:rPr>
        <w:t> </w:t>
      </w:r>
      <w:r>
        <w:rPr>
          <w:sz w:val="24"/>
        </w:rPr>
        <w:t>la</w:t>
      </w:r>
      <w:r>
        <w:rPr>
          <w:spacing w:val="-3"/>
          <w:sz w:val="24"/>
        </w:rPr>
        <w:t> </w:t>
      </w:r>
      <w:r>
        <w:rPr>
          <w:sz w:val="24"/>
        </w:rPr>
        <w:t>temperatura</w:t>
      </w:r>
      <w:r>
        <w:rPr>
          <w:spacing w:val="-3"/>
          <w:sz w:val="24"/>
        </w:rPr>
        <w:t> </w:t>
      </w:r>
      <w:r>
        <w:rPr>
          <w:sz w:val="24"/>
        </w:rPr>
        <w:t>y</w:t>
      </w:r>
      <w:r>
        <w:rPr>
          <w:spacing w:val="-8"/>
          <w:sz w:val="24"/>
        </w:rPr>
        <w:t> </w:t>
      </w:r>
      <w:r>
        <w:rPr>
          <w:sz w:val="24"/>
        </w:rPr>
        <w:t>el lapso transcurrido.</w:t>
      </w:r>
    </w:p>
    <w:p>
      <w:pPr>
        <w:pStyle w:val="ListParagraph"/>
        <w:spacing w:after="0" w:line="350" w:lineRule="auto"/>
        <w:jc w:val="left"/>
        <w:rPr>
          <w:sz w:val="24"/>
        </w:rPr>
        <w:sectPr>
          <w:pgSz w:w="11900" w:h="16840"/>
          <w:pgMar w:top="1560" w:bottom="280" w:left="1275" w:right="992"/>
        </w:sectPr>
      </w:pPr>
    </w:p>
    <w:p>
      <w:pPr>
        <w:pStyle w:val="Heading1"/>
        <w:ind w:left="430"/>
      </w:pPr>
      <w:bookmarkStart w:name="_bookmark37" w:id="38"/>
      <w:bookmarkEnd w:id="38"/>
      <w:r>
        <w:rPr>
          <w:b w:val="0"/>
        </w:rPr>
      </w:r>
      <w:r>
        <w:rPr/>
        <w:t>CAPITULO</w:t>
      </w:r>
      <w:r>
        <w:rPr>
          <w:spacing w:val="-4"/>
        </w:rPr>
        <w:t> </w:t>
      </w:r>
      <w:r>
        <w:rPr>
          <w:spacing w:val="-5"/>
        </w:rPr>
        <w:t>IV</w:t>
      </w:r>
    </w:p>
    <w:p>
      <w:pPr>
        <w:pStyle w:val="BodyText"/>
        <w:rPr>
          <w:b/>
          <w:sz w:val="28"/>
        </w:rPr>
      </w:pPr>
    </w:p>
    <w:p>
      <w:pPr>
        <w:pStyle w:val="ListParagraph"/>
        <w:numPr>
          <w:ilvl w:val="0"/>
          <w:numId w:val="16"/>
        </w:numPr>
        <w:tabs>
          <w:tab w:pos="1425" w:val="left" w:leader="none"/>
        </w:tabs>
        <w:spacing w:line="240" w:lineRule="auto" w:before="0" w:after="0"/>
        <w:ind w:left="1425" w:right="0" w:hanging="431"/>
        <w:jc w:val="left"/>
        <w:rPr>
          <w:b/>
          <w:sz w:val="28"/>
        </w:rPr>
      </w:pPr>
      <w:bookmarkStart w:name="_bookmark38" w:id="39"/>
      <w:bookmarkEnd w:id="39"/>
      <w:r>
        <w:rPr/>
      </w:r>
      <w:r>
        <w:rPr>
          <w:b/>
          <w:spacing w:val="-6"/>
          <w:sz w:val="28"/>
        </w:rPr>
        <w:t>RESULTADOS</w:t>
      </w:r>
      <w:r>
        <w:rPr>
          <w:b/>
          <w:spacing w:val="-9"/>
          <w:sz w:val="28"/>
        </w:rPr>
        <w:t> </w:t>
      </w:r>
      <w:r>
        <w:rPr>
          <w:b/>
          <w:spacing w:val="-6"/>
          <w:sz w:val="28"/>
        </w:rPr>
        <w:t>Y</w:t>
      </w:r>
      <w:r>
        <w:rPr>
          <w:b/>
          <w:spacing w:val="-4"/>
          <w:sz w:val="28"/>
        </w:rPr>
        <w:t> </w:t>
      </w:r>
      <w:r>
        <w:rPr>
          <w:b/>
          <w:spacing w:val="-6"/>
          <w:sz w:val="28"/>
        </w:rPr>
        <w:t>DISCUSION</w:t>
      </w:r>
    </w:p>
    <w:p>
      <w:pPr>
        <w:pStyle w:val="Heading3"/>
        <w:numPr>
          <w:ilvl w:val="1"/>
          <w:numId w:val="16"/>
        </w:numPr>
        <w:tabs>
          <w:tab w:pos="1426" w:val="left" w:leader="none"/>
        </w:tabs>
        <w:spacing w:line="240" w:lineRule="auto" w:before="319" w:after="0"/>
        <w:ind w:left="1426" w:right="0" w:hanging="432"/>
        <w:jc w:val="left"/>
      </w:pPr>
      <w:bookmarkStart w:name="_bookmark39" w:id="40"/>
      <w:bookmarkEnd w:id="40"/>
      <w:r>
        <w:rPr>
          <w:b w:val="0"/>
        </w:rPr>
      </w:r>
      <w:r>
        <w:rPr/>
        <w:t>Interpretación</w:t>
      </w:r>
      <w:r>
        <w:rPr>
          <w:spacing w:val="-10"/>
        </w:rPr>
        <w:t> </w:t>
      </w:r>
      <w:r>
        <w:rPr/>
        <w:t>De</w:t>
      </w:r>
      <w:r>
        <w:rPr>
          <w:spacing w:val="-4"/>
        </w:rPr>
        <w:t> </w:t>
      </w:r>
      <w:r>
        <w:rPr>
          <w:spacing w:val="-2"/>
        </w:rPr>
        <w:t>Resultados</w:t>
      </w:r>
    </w:p>
    <w:p>
      <w:pPr>
        <w:pStyle w:val="BodyText"/>
        <w:spacing w:before="1"/>
        <w:rPr>
          <w:b/>
        </w:rPr>
      </w:pPr>
    </w:p>
    <w:p>
      <w:pPr>
        <w:pStyle w:val="BodyText"/>
        <w:ind w:left="994"/>
      </w:pPr>
      <w:r>
        <w:rPr/>
        <w:t>Pruebas</w:t>
      </w:r>
      <w:r>
        <w:rPr>
          <w:spacing w:val="-7"/>
        </w:rPr>
        <w:t> </w:t>
      </w:r>
      <w:r>
        <w:rPr/>
        <w:t>De Sensibilidad</w:t>
      </w:r>
      <w:r>
        <w:rPr>
          <w:spacing w:val="-18"/>
        </w:rPr>
        <w:t> </w:t>
      </w:r>
      <w:r>
        <w:rPr/>
        <w:t>Antimicrobiana</w:t>
      </w:r>
      <w:r>
        <w:rPr>
          <w:spacing w:val="1"/>
        </w:rPr>
        <w:t> </w:t>
      </w:r>
      <w:r>
        <w:rPr>
          <w:spacing w:val="-2"/>
        </w:rPr>
        <w:t>Individuales</w:t>
      </w:r>
    </w:p>
    <w:p>
      <w:pPr>
        <w:pStyle w:val="BodyText"/>
        <w:spacing w:before="24"/>
      </w:pPr>
    </w:p>
    <w:p>
      <w:pPr>
        <w:pStyle w:val="Heading3"/>
        <w:jc w:val="left"/>
      </w:pPr>
      <w:bookmarkStart w:name="_bookmark40" w:id="41"/>
      <w:bookmarkEnd w:id="41"/>
      <w:r>
        <w:rPr>
          <w:b w:val="0"/>
        </w:rPr>
      </w:r>
      <w:r>
        <w:rPr>
          <w:spacing w:val="-4"/>
        </w:rPr>
        <w:t>Tabla</w:t>
      </w:r>
      <w:r>
        <w:rPr>
          <w:spacing w:val="-7"/>
        </w:rPr>
        <w:t> </w:t>
      </w:r>
      <w:r>
        <w:rPr>
          <w:spacing w:val="-12"/>
        </w:rPr>
        <w:t>4</w:t>
      </w:r>
    </w:p>
    <w:p>
      <w:pPr>
        <w:pStyle w:val="BodyText"/>
        <w:rPr>
          <w:b/>
        </w:rPr>
      </w:pPr>
    </w:p>
    <w:p>
      <w:pPr>
        <w:pStyle w:val="BodyText"/>
        <w:ind w:left="994"/>
      </w:pPr>
      <w:r>
        <w:rPr/>
        <w:t>Pruebas</w:t>
      </w:r>
      <w:r>
        <w:rPr>
          <w:spacing w:val="-7"/>
        </w:rPr>
        <w:t> </w:t>
      </w:r>
      <w:r>
        <w:rPr/>
        <w:t>de</w:t>
      </w:r>
      <w:r>
        <w:rPr>
          <w:spacing w:val="-1"/>
        </w:rPr>
        <w:t> </w:t>
      </w:r>
      <w:r>
        <w:rPr/>
        <w:t>sensibilidad</w:t>
      </w:r>
      <w:r>
        <w:rPr>
          <w:spacing w:val="-4"/>
        </w:rPr>
        <w:t> </w:t>
      </w:r>
      <w:r>
        <w:rPr/>
        <w:t>antimicrobiana</w:t>
      </w:r>
      <w:r>
        <w:rPr>
          <w:spacing w:val="1"/>
        </w:rPr>
        <w:t> </w:t>
      </w:r>
      <w:r>
        <w:rPr>
          <w:spacing w:val="-2"/>
        </w:rPr>
        <w:t>individuales</w:t>
      </w:r>
    </w:p>
    <w:p>
      <w:pPr>
        <w:pStyle w:val="BodyText"/>
        <w:spacing w:before="54"/>
        <w:rPr>
          <w:sz w:val="20"/>
        </w:rPr>
      </w:pPr>
    </w:p>
    <w:tbl>
      <w:tblPr>
        <w:tblW w:w="0" w:type="auto"/>
        <w:jc w:val="left"/>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48"/>
        <w:gridCol w:w="901"/>
        <w:gridCol w:w="854"/>
        <w:gridCol w:w="1168"/>
        <w:gridCol w:w="1355"/>
        <w:gridCol w:w="1060"/>
        <w:gridCol w:w="780"/>
        <w:gridCol w:w="773"/>
      </w:tblGrid>
      <w:tr>
        <w:trPr>
          <w:trHeight w:val="227" w:hRule="atLeast"/>
        </w:trPr>
        <w:tc>
          <w:tcPr>
            <w:tcW w:w="1048" w:type="dxa"/>
            <w:tcBorders>
              <w:top w:val="single" w:sz="4" w:space="0" w:color="7D7D7D"/>
            </w:tcBorders>
          </w:tcPr>
          <w:p>
            <w:pPr>
              <w:pStyle w:val="TableParagraph"/>
              <w:spacing w:line="208" w:lineRule="exact"/>
              <w:ind w:left="118"/>
              <w:rPr>
                <w:b/>
                <w:sz w:val="20"/>
              </w:rPr>
            </w:pPr>
            <w:r>
              <w:rPr>
                <w:b/>
                <w:spacing w:val="-2"/>
                <w:sz w:val="20"/>
              </w:rPr>
              <w:t>Fecha</w:t>
            </w:r>
          </w:p>
        </w:tc>
        <w:tc>
          <w:tcPr>
            <w:tcW w:w="901" w:type="dxa"/>
            <w:tcBorders>
              <w:top w:val="single" w:sz="4" w:space="0" w:color="7D7D7D"/>
            </w:tcBorders>
          </w:tcPr>
          <w:p>
            <w:pPr>
              <w:pStyle w:val="TableParagraph"/>
              <w:spacing w:line="208" w:lineRule="exact"/>
              <w:ind w:left="138"/>
              <w:rPr>
                <w:b/>
                <w:sz w:val="20"/>
              </w:rPr>
            </w:pPr>
            <w:r>
              <w:rPr>
                <w:b/>
                <w:sz w:val="20"/>
              </w:rPr>
              <w:t>N.º</w:t>
            </w:r>
            <w:r>
              <w:rPr>
                <w:b/>
                <w:spacing w:val="47"/>
                <w:sz w:val="20"/>
              </w:rPr>
              <w:t>  </w:t>
            </w:r>
            <w:r>
              <w:rPr>
                <w:b/>
                <w:spacing w:val="-5"/>
                <w:sz w:val="20"/>
              </w:rPr>
              <w:t>de</w:t>
            </w:r>
          </w:p>
        </w:tc>
        <w:tc>
          <w:tcPr>
            <w:tcW w:w="854" w:type="dxa"/>
            <w:tcBorders>
              <w:top w:val="single" w:sz="4" w:space="0" w:color="7D7D7D"/>
            </w:tcBorders>
          </w:tcPr>
          <w:p>
            <w:pPr>
              <w:pStyle w:val="TableParagraph"/>
              <w:spacing w:line="208" w:lineRule="exact"/>
              <w:ind w:left="113"/>
              <w:rPr>
                <w:b/>
                <w:sz w:val="20"/>
              </w:rPr>
            </w:pPr>
            <w:r>
              <w:rPr>
                <w:b/>
                <w:spacing w:val="-4"/>
                <w:sz w:val="20"/>
              </w:rPr>
              <w:t>Medio</w:t>
            </w:r>
          </w:p>
        </w:tc>
        <w:tc>
          <w:tcPr>
            <w:tcW w:w="1168" w:type="dxa"/>
            <w:tcBorders>
              <w:top w:val="single" w:sz="4" w:space="0" w:color="7D7D7D"/>
            </w:tcBorders>
          </w:tcPr>
          <w:p>
            <w:pPr>
              <w:pStyle w:val="TableParagraph"/>
              <w:spacing w:line="208" w:lineRule="exact"/>
              <w:ind w:left="120"/>
              <w:rPr>
                <w:b/>
                <w:sz w:val="20"/>
              </w:rPr>
            </w:pPr>
            <w:r>
              <w:rPr>
                <w:b/>
                <w:spacing w:val="-2"/>
                <w:sz w:val="20"/>
              </w:rPr>
              <w:t>Amoxicilin</w:t>
            </w:r>
          </w:p>
        </w:tc>
        <w:tc>
          <w:tcPr>
            <w:tcW w:w="1355" w:type="dxa"/>
            <w:tcBorders>
              <w:top w:val="single" w:sz="4" w:space="0" w:color="7D7D7D"/>
            </w:tcBorders>
          </w:tcPr>
          <w:p>
            <w:pPr>
              <w:pStyle w:val="TableParagraph"/>
              <w:spacing w:line="208" w:lineRule="exact"/>
              <w:ind w:left="140"/>
              <w:rPr>
                <w:b/>
                <w:sz w:val="20"/>
              </w:rPr>
            </w:pPr>
            <w:r>
              <w:rPr>
                <w:b/>
                <w:spacing w:val="-2"/>
                <w:sz w:val="20"/>
              </w:rPr>
              <w:t>Enrofloxacin</w:t>
            </w:r>
          </w:p>
        </w:tc>
        <w:tc>
          <w:tcPr>
            <w:tcW w:w="1060" w:type="dxa"/>
            <w:tcBorders>
              <w:top w:val="single" w:sz="4" w:space="0" w:color="7D7D7D"/>
            </w:tcBorders>
          </w:tcPr>
          <w:p>
            <w:pPr>
              <w:pStyle w:val="TableParagraph"/>
              <w:spacing w:line="208" w:lineRule="exact"/>
              <w:ind w:left="134"/>
              <w:rPr>
                <w:b/>
                <w:sz w:val="20"/>
              </w:rPr>
            </w:pPr>
            <w:r>
              <w:rPr>
                <w:b/>
                <w:spacing w:val="-2"/>
                <w:sz w:val="20"/>
              </w:rPr>
              <w:t>Cefalexin</w:t>
            </w:r>
          </w:p>
        </w:tc>
        <w:tc>
          <w:tcPr>
            <w:tcW w:w="780" w:type="dxa"/>
            <w:tcBorders>
              <w:top w:val="single" w:sz="4" w:space="0" w:color="7D7D7D"/>
            </w:tcBorders>
          </w:tcPr>
          <w:p>
            <w:pPr>
              <w:pStyle w:val="TableParagraph"/>
              <w:spacing w:line="208" w:lineRule="exact"/>
              <w:ind w:right="81"/>
              <w:jc w:val="center"/>
              <w:rPr>
                <w:b/>
                <w:sz w:val="20"/>
              </w:rPr>
            </w:pPr>
            <w:r>
              <w:rPr>
                <w:b/>
                <w:spacing w:val="-5"/>
                <w:sz w:val="20"/>
              </w:rPr>
              <w:t>CBD</w:t>
            </w:r>
          </w:p>
        </w:tc>
        <w:tc>
          <w:tcPr>
            <w:tcW w:w="773" w:type="dxa"/>
            <w:tcBorders>
              <w:top w:val="single" w:sz="4" w:space="0" w:color="7D7D7D"/>
            </w:tcBorders>
          </w:tcPr>
          <w:p>
            <w:pPr>
              <w:pStyle w:val="TableParagraph"/>
              <w:spacing w:line="208" w:lineRule="exact"/>
              <w:ind w:left="110"/>
              <w:rPr>
                <w:b/>
                <w:sz w:val="20"/>
              </w:rPr>
            </w:pPr>
            <w:r>
              <w:rPr>
                <w:b/>
                <w:spacing w:val="-5"/>
                <w:sz w:val="20"/>
              </w:rPr>
              <w:t>CBD</w:t>
            </w:r>
          </w:p>
        </w:tc>
      </w:tr>
      <w:tr>
        <w:trPr>
          <w:trHeight w:val="452" w:hRule="atLeast"/>
        </w:trPr>
        <w:tc>
          <w:tcPr>
            <w:tcW w:w="1048" w:type="dxa"/>
          </w:tcPr>
          <w:p>
            <w:pPr>
              <w:pStyle w:val="TableParagraph"/>
              <w:rPr>
                <w:sz w:val="22"/>
              </w:rPr>
            </w:pPr>
          </w:p>
        </w:tc>
        <w:tc>
          <w:tcPr>
            <w:tcW w:w="901" w:type="dxa"/>
          </w:tcPr>
          <w:p>
            <w:pPr>
              <w:pStyle w:val="TableParagraph"/>
              <w:spacing w:line="216" w:lineRule="exact"/>
              <w:ind w:left="138" w:right="167"/>
              <w:rPr>
                <w:b/>
                <w:sz w:val="20"/>
              </w:rPr>
            </w:pPr>
            <w:r>
              <w:rPr>
                <w:b/>
                <w:spacing w:val="-4"/>
                <w:sz w:val="20"/>
              </w:rPr>
              <w:t>muestr </w:t>
            </w:r>
            <w:r>
              <w:rPr>
                <w:b/>
                <w:spacing w:val="-10"/>
                <w:sz w:val="20"/>
              </w:rPr>
              <w:t>a</w:t>
            </w:r>
          </w:p>
        </w:tc>
        <w:tc>
          <w:tcPr>
            <w:tcW w:w="854" w:type="dxa"/>
          </w:tcPr>
          <w:p>
            <w:pPr>
              <w:pStyle w:val="TableParagraph"/>
              <w:rPr>
                <w:sz w:val="22"/>
              </w:rPr>
            </w:pPr>
          </w:p>
        </w:tc>
        <w:tc>
          <w:tcPr>
            <w:tcW w:w="1168" w:type="dxa"/>
          </w:tcPr>
          <w:p>
            <w:pPr>
              <w:pStyle w:val="TableParagraph"/>
              <w:spacing w:before="5"/>
              <w:ind w:left="120"/>
              <w:rPr>
                <w:b/>
                <w:sz w:val="20"/>
              </w:rPr>
            </w:pPr>
            <w:r>
              <w:rPr>
                <w:b/>
                <w:sz w:val="20"/>
              </w:rPr>
              <w:t>a</w:t>
            </w:r>
            <w:r>
              <w:rPr>
                <w:b/>
                <w:spacing w:val="2"/>
                <w:sz w:val="20"/>
              </w:rPr>
              <w:t> </w:t>
            </w:r>
            <w:r>
              <w:rPr>
                <w:b/>
                <w:spacing w:val="-4"/>
                <w:sz w:val="20"/>
              </w:rPr>
              <w:t>(mm)</w:t>
            </w:r>
          </w:p>
        </w:tc>
        <w:tc>
          <w:tcPr>
            <w:tcW w:w="1355" w:type="dxa"/>
          </w:tcPr>
          <w:p>
            <w:pPr>
              <w:pStyle w:val="TableParagraph"/>
              <w:spacing w:before="5"/>
              <w:ind w:left="140"/>
              <w:rPr>
                <w:b/>
                <w:sz w:val="20"/>
              </w:rPr>
            </w:pPr>
            <w:r>
              <w:rPr>
                <w:b/>
                <w:sz w:val="20"/>
              </w:rPr>
              <w:t>a</w:t>
            </w:r>
            <w:r>
              <w:rPr>
                <w:b/>
                <w:spacing w:val="2"/>
                <w:sz w:val="20"/>
              </w:rPr>
              <w:t> </w:t>
            </w:r>
            <w:r>
              <w:rPr>
                <w:b/>
                <w:spacing w:val="-4"/>
                <w:sz w:val="20"/>
              </w:rPr>
              <w:t>(mm)</w:t>
            </w:r>
          </w:p>
        </w:tc>
        <w:tc>
          <w:tcPr>
            <w:tcW w:w="1060" w:type="dxa"/>
          </w:tcPr>
          <w:p>
            <w:pPr>
              <w:pStyle w:val="TableParagraph"/>
              <w:spacing w:before="5"/>
              <w:ind w:left="134"/>
              <w:rPr>
                <w:b/>
                <w:sz w:val="20"/>
              </w:rPr>
            </w:pPr>
            <w:r>
              <w:rPr>
                <w:b/>
                <w:sz w:val="20"/>
              </w:rPr>
              <w:t>a</w:t>
            </w:r>
            <w:r>
              <w:rPr>
                <w:b/>
                <w:spacing w:val="2"/>
                <w:sz w:val="20"/>
              </w:rPr>
              <w:t> </w:t>
            </w:r>
            <w:r>
              <w:rPr>
                <w:b/>
                <w:spacing w:val="-4"/>
                <w:sz w:val="20"/>
              </w:rPr>
              <w:t>(mm)</w:t>
            </w:r>
          </w:p>
        </w:tc>
        <w:tc>
          <w:tcPr>
            <w:tcW w:w="780" w:type="dxa"/>
          </w:tcPr>
          <w:p>
            <w:pPr>
              <w:pStyle w:val="TableParagraph"/>
              <w:spacing w:line="223" w:lineRule="exact" w:before="1"/>
              <w:ind w:left="142"/>
              <w:rPr>
                <w:b/>
                <w:sz w:val="20"/>
              </w:rPr>
            </w:pPr>
            <w:r>
              <w:rPr>
                <w:b/>
                <w:spacing w:val="-10"/>
                <w:sz w:val="20"/>
              </w:rPr>
              <w:t>+</w:t>
            </w:r>
          </w:p>
          <w:p>
            <w:pPr>
              <w:pStyle w:val="TableParagraph"/>
              <w:spacing w:line="208" w:lineRule="exact"/>
              <w:ind w:left="142"/>
              <w:rPr>
                <w:b/>
                <w:sz w:val="20"/>
              </w:rPr>
            </w:pPr>
            <w:r>
              <w:rPr>
                <w:b/>
                <w:spacing w:val="-2"/>
                <w:sz w:val="20"/>
              </w:rPr>
              <w:t>Etano</w:t>
            </w:r>
          </w:p>
        </w:tc>
        <w:tc>
          <w:tcPr>
            <w:tcW w:w="773" w:type="dxa"/>
          </w:tcPr>
          <w:p>
            <w:pPr>
              <w:pStyle w:val="TableParagraph"/>
              <w:spacing w:line="216" w:lineRule="exact"/>
              <w:ind w:left="110" w:right="216"/>
              <w:rPr>
                <w:b/>
                <w:sz w:val="20"/>
              </w:rPr>
            </w:pPr>
            <w:r>
              <w:rPr>
                <w:b/>
                <w:spacing w:val="-10"/>
                <w:sz w:val="20"/>
              </w:rPr>
              <w:t>+</w:t>
            </w:r>
            <w:r>
              <w:rPr>
                <w:b/>
                <w:spacing w:val="-6"/>
                <w:sz w:val="20"/>
              </w:rPr>
              <w:t> DMS</w:t>
            </w:r>
          </w:p>
        </w:tc>
      </w:tr>
      <w:tr>
        <w:trPr>
          <w:trHeight w:val="237" w:hRule="atLeast"/>
        </w:trPr>
        <w:tc>
          <w:tcPr>
            <w:tcW w:w="1048" w:type="dxa"/>
          </w:tcPr>
          <w:p>
            <w:pPr>
              <w:pStyle w:val="TableParagraph"/>
              <w:rPr>
                <w:sz w:val="16"/>
              </w:rPr>
            </w:pPr>
          </w:p>
        </w:tc>
        <w:tc>
          <w:tcPr>
            <w:tcW w:w="901" w:type="dxa"/>
          </w:tcPr>
          <w:p>
            <w:pPr>
              <w:pStyle w:val="TableParagraph"/>
              <w:rPr>
                <w:sz w:val="16"/>
              </w:rPr>
            </w:pPr>
          </w:p>
        </w:tc>
        <w:tc>
          <w:tcPr>
            <w:tcW w:w="854" w:type="dxa"/>
          </w:tcPr>
          <w:p>
            <w:pPr>
              <w:pStyle w:val="TableParagraph"/>
              <w:rPr>
                <w:sz w:val="16"/>
              </w:rPr>
            </w:pPr>
          </w:p>
        </w:tc>
        <w:tc>
          <w:tcPr>
            <w:tcW w:w="1168" w:type="dxa"/>
          </w:tcPr>
          <w:p>
            <w:pPr>
              <w:pStyle w:val="TableParagraph"/>
              <w:rPr>
                <w:sz w:val="16"/>
              </w:rPr>
            </w:pPr>
          </w:p>
        </w:tc>
        <w:tc>
          <w:tcPr>
            <w:tcW w:w="1355" w:type="dxa"/>
          </w:tcPr>
          <w:p>
            <w:pPr>
              <w:pStyle w:val="TableParagraph"/>
              <w:rPr>
                <w:sz w:val="16"/>
              </w:rPr>
            </w:pPr>
          </w:p>
        </w:tc>
        <w:tc>
          <w:tcPr>
            <w:tcW w:w="1060" w:type="dxa"/>
          </w:tcPr>
          <w:p>
            <w:pPr>
              <w:pStyle w:val="TableParagraph"/>
              <w:rPr>
                <w:sz w:val="16"/>
              </w:rPr>
            </w:pPr>
          </w:p>
        </w:tc>
        <w:tc>
          <w:tcPr>
            <w:tcW w:w="780" w:type="dxa"/>
          </w:tcPr>
          <w:p>
            <w:pPr>
              <w:pStyle w:val="TableParagraph"/>
              <w:spacing w:line="218" w:lineRule="exact"/>
              <w:ind w:left="121" w:right="81"/>
              <w:jc w:val="center"/>
              <w:rPr>
                <w:b/>
                <w:sz w:val="20"/>
              </w:rPr>
            </w:pPr>
            <w:r>
              <w:rPr>
                <w:b/>
                <w:sz w:val="20"/>
              </w:rPr>
              <w:t>l</w:t>
            </w:r>
            <w:r>
              <w:rPr>
                <w:b/>
                <w:spacing w:val="-10"/>
                <w:sz w:val="20"/>
              </w:rPr>
              <w:t> </w:t>
            </w:r>
            <w:r>
              <w:rPr>
                <w:b/>
                <w:sz w:val="20"/>
              </w:rPr>
              <w:t>70</w:t>
            </w:r>
            <w:r>
              <w:rPr>
                <w:b/>
                <w:spacing w:val="-10"/>
                <w:sz w:val="20"/>
              </w:rPr>
              <w:t> %</w:t>
            </w:r>
          </w:p>
        </w:tc>
        <w:tc>
          <w:tcPr>
            <w:tcW w:w="773" w:type="dxa"/>
          </w:tcPr>
          <w:p>
            <w:pPr>
              <w:pStyle w:val="TableParagraph"/>
              <w:spacing w:line="218" w:lineRule="exact"/>
              <w:ind w:left="110"/>
              <w:rPr>
                <w:b/>
                <w:sz w:val="20"/>
              </w:rPr>
            </w:pPr>
            <w:r>
              <w:rPr>
                <w:b/>
                <w:spacing w:val="-10"/>
                <w:sz w:val="20"/>
              </w:rPr>
              <w:t>O</w:t>
            </w:r>
          </w:p>
        </w:tc>
      </w:tr>
      <w:tr>
        <w:trPr>
          <w:trHeight w:val="390" w:hRule="atLeast"/>
        </w:trPr>
        <w:tc>
          <w:tcPr>
            <w:tcW w:w="1048" w:type="dxa"/>
            <w:tcBorders>
              <w:bottom w:val="single" w:sz="4" w:space="0" w:color="7D7D7D"/>
            </w:tcBorders>
          </w:tcPr>
          <w:p>
            <w:pPr>
              <w:pStyle w:val="TableParagraph"/>
              <w:rPr>
                <w:sz w:val="22"/>
              </w:rPr>
            </w:pPr>
          </w:p>
        </w:tc>
        <w:tc>
          <w:tcPr>
            <w:tcW w:w="901" w:type="dxa"/>
            <w:tcBorders>
              <w:bottom w:val="single" w:sz="4" w:space="0" w:color="7D7D7D"/>
            </w:tcBorders>
          </w:tcPr>
          <w:p>
            <w:pPr>
              <w:pStyle w:val="TableParagraph"/>
              <w:rPr>
                <w:sz w:val="22"/>
              </w:rPr>
            </w:pPr>
          </w:p>
        </w:tc>
        <w:tc>
          <w:tcPr>
            <w:tcW w:w="854" w:type="dxa"/>
            <w:tcBorders>
              <w:bottom w:val="single" w:sz="4" w:space="0" w:color="7D7D7D"/>
            </w:tcBorders>
          </w:tcPr>
          <w:p>
            <w:pPr>
              <w:pStyle w:val="TableParagraph"/>
              <w:rPr>
                <w:sz w:val="22"/>
              </w:rPr>
            </w:pPr>
          </w:p>
        </w:tc>
        <w:tc>
          <w:tcPr>
            <w:tcW w:w="1168" w:type="dxa"/>
            <w:tcBorders>
              <w:bottom w:val="single" w:sz="4" w:space="0" w:color="7D7D7D"/>
            </w:tcBorders>
          </w:tcPr>
          <w:p>
            <w:pPr>
              <w:pStyle w:val="TableParagraph"/>
              <w:rPr>
                <w:sz w:val="22"/>
              </w:rPr>
            </w:pPr>
          </w:p>
        </w:tc>
        <w:tc>
          <w:tcPr>
            <w:tcW w:w="1355" w:type="dxa"/>
            <w:tcBorders>
              <w:bottom w:val="single" w:sz="4" w:space="0" w:color="7D7D7D"/>
            </w:tcBorders>
          </w:tcPr>
          <w:p>
            <w:pPr>
              <w:pStyle w:val="TableParagraph"/>
              <w:rPr>
                <w:sz w:val="22"/>
              </w:rPr>
            </w:pPr>
          </w:p>
        </w:tc>
        <w:tc>
          <w:tcPr>
            <w:tcW w:w="1060" w:type="dxa"/>
            <w:tcBorders>
              <w:bottom w:val="single" w:sz="4" w:space="0" w:color="7D7D7D"/>
            </w:tcBorders>
          </w:tcPr>
          <w:p>
            <w:pPr>
              <w:pStyle w:val="TableParagraph"/>
              <w:rPr>
                <w:sz w:val="22"/>
              </w:rPr>
            </w:pPr>
          </w:p>
        </w:tc>
        <w:tc>
          <w:tcPr>
            <w:tcW w:w="780" w:type="dxa"/>
            <w:tcBorders>
              <w:bottom w:val="single" w:sz="4" w:space="0" w:color="7D7D7D"/>
            </w:tcBorders>
          </w:tcPr>
          <w:p>
            <w:pPr>
              <w:pStyle w:val="TableParagraph"/>
              <w:spacing w:before="3"/>
              <w:ind w:left="42" w:right="81"/>
              <w:jc w:val="center"/>
              <w:rPr>
                <w:b/>
                <w:sz w:val="20"/>
              </w:rPr>
            </w:pPr>
            <w:r>
              <w:rPr>
                <w:b/>
                <w:spacing w:val="-4"/>
                <w:sz w:val="20"/>
              </w:rPr>
              <w:t>(mm)</w:t>
            </w:r>
          </w:p>
        </w:tc>
        <w:tc>
          <w:tcPr>
            <w:tcW w:w="773" w:type="dxa"/>
            <w:tcBorders>
              <w:bottom w:val="single" w:sz="4" w:space="0" w:color="7D7D7D"/>
            </w:tcBorders>
          </w:tcPr>
          <w:p>
            <w:pPr>
              <w:pStyle w:val="TableParagraph"/>
              <w:spacing w:before="3"/>
              <w:ind w:left="110"/>
              <w:rPr>
                <w:b/>
                <w:sz w:val="20"/>
              </w:rPr>
            </w:pPr>
            <w:r>
              <w:rPr>
                <w:b/>
                <w:spacing w:val="-4"/>
                <w:sz w:val="20"/>
              </w:rPr>
              <w:t>(mm)</w:t>
            </w:r>
          </w:p>
        </w:tc>
      </w:tr>
      <w:tr>
        <w:trPr>
          <w:trHeight w:val="229" w:hRule="atLeast"/>
        </w:trPr>
        <w:tc>
          <w:tcPr>
            <w:tcW w:w="1048" w:type="dxa"/>
            <w:tcBorders>
              <w:top w:val="single" w:sz="4" w:space="0" w:color="7D7D7D"/>
            </w:tcBorders>
          </w:tcPr>
          <w:p>
            <w:pPr>
              <w:pStyle w:val="TableParagraph"/>
              <w:spacing w:line="207" w:lineRule="exact"/>
              <w:ind w:left="118"/>
              <w:rPr>
                <w:b/>
                <w:sz w:val="20"/>
              </w:rPr>
            </w:pPr>
            <w:r>
              <w:rPr>
                <w:b/>
                <w:spacing w:val="-2"/>
                <w:sz w:val="20"/>
              </w:rPr>
              <w:t>28/10/202</w:t>
            </w:r>
          </w:p>
        </w:tc>
        <w:tc>
          <w:tcPr>
            <w:tcW w:w="901" w:type="dxa"/>
            <w:tcBorders>
              <w:top w:val="single" w:sz="4" w:space="0" w:color="7D7D7D"/>
            </w:tcBorders>
          </w:tcPr>
          <w:p>
            <w:pPr>
              <w:pStyle w:val="TableParagraph"/>
              <w:spacing w:line="207" w:lineRule="exact"/>
              <w:ind w:left="138"/>
              <w:rPr>
                <w:sz w:val="20"/>
              </w:rPr>
            </w:pPr>
            <w:r>
              <w:rPr>
                <w:spacing w:val="-10"/>
                <w:sz w:val="20"/>
              </w:rPr>
              <w:t>1</w:t>
            </w:r>
          </w:p>
        </w:tc>
        <w:tc>
          <w:tcPr>
            <w:tcW w:w="854" w:type="dxa"/>
            <w:tcBorders>
              <w:top w:val="single" w:sz="4" w:space="0" w:color="7D7D7D"/>
            </w:tcBorders>
          </w:tcPr>
          <w:p>
            <w:pPr>
              <w:pStyle w:val="TableParagraph"/>
              <w:spacing w:line="207" w:lineRule="exact"/>
              <w:ind w:left="117"/>
              <w:rPr>
                <w:sz w:val="20"/>
              </w:rPr>
            </w:pPr>
            <w:r>
              <w:rPr>
                <w:spacing w:val="-2"/>
                <w:sz w:val="20"/>
              </w:rPr>
              <w:t>Mueller</w:t>
            </w:r>
          </w:p>
        </w:tc>
        <w:tc>
          <w:tcPr>
            <w:tcW w:w="1168" w:type="dxa"/>
            <w:tcBorders>
              <w:top w:val="single" w:sz="4" w:space="0" w:color="7D7D7D"/>
            </w:tcBorders>
          </w:tcPr>
          <w:p>
            <w:pPr>
              <w:pStyle w:val="TableParagraph"/>
              <w:spacing w:line="207" w:lineRule="exact"/>
              <w:ind w:left="40"/>
              <w:jc w:val="center"/>
              <w:rPr>
                <w:sz w:val="20"/>
              </w:rPr>
            </w:pPr>
            <w:r>
              <w:rPr>
                <w:spacing w:val="-5"/>
                <w:sz w:val="20"/>
              </w:rPr>
              <w:t>19</w:t>
            </w:r>
          </w:p>
        </w:tc>
        <w:tc>
          <w:tcPr>
            <w:tcW w:w="1355" w:type="dxa"/>
            <w:tcBorders>
              <w:top w:val="single" w:sz="4" w:space="0" w:color="7D7D7D"/>
            </w:tcBorders>
          </w:tcPr>
          <w:p>
            <w:pPr>
              <w:pStyle w:val="TableParagraph"/>
              <w:spacing w:line="207" w:lineRule="exact"/>
              <w:ind w:left="46"/>
              <w:jc w:val="center"/>
              <w:rPr>
                <w:sz w:val="20"/>
              </w:rPr>
            </w:pPr>
            <w:r>
              <w:rPr>
                <w:spacing w:val="-5"/>
                <w:sz w:val="20"/>
              </w:rPr>
              <w:t>25</w:t>
            </w:r>
          </w:p>
        </w:tc>
        <w:tc>
          <w:tcPr>
            <w:tcW w:w="1060" w:type="dxa"/>
            <w:tcBorders>
              <w:top w:val="single" w:sz="4" w:space="0" w:color="7D7D7D"/>
            </w:tcBorders>
          </w:tcPr>
          <w:p>
            <w:pPr>
              <w:pStyle w:val="TableParagraph"/>
              <w:spacing w:line="207" w:lineRule="exact"/>
              <w:ind w:left="48" w:right="8"/>
              <w:jc w:val="center"/>
              <w:rPr>
                <w:sz w:val="20"/>
              </w:rPr>
            </w:pPr>
            <w:r>
              <w:rPr>
                <w:spacing w:val="-5"/>
                <w:sz w:val="20"/>
              </w:rPr>
              <w:t>11</w:t>
            </w:r>
          </w:p>
        </w:tc>
        <w:tc>
          <w:tcPr>
            <w:tcW w:w="780" w:type="dxa"/>
            <w:tcBorders>
              <w:top w:val="single" w:sz="4" w:space="0" w:color="7D7D7D"/>
            </w:tcBorders>
          </w:tcPr>
          <w:p>
            <w:pPr>
              <w:pStyle w:val="TableParagraph"/>
              <w:spacing w:line="207" w:lineRule="exact"/>
              <w:ind w:left="113" w:right="81"/>
              <w:jc w:val="center"/>
              <w:rPr>
                <w:sz w:val="20"/>
              </w:rPr>
            </w:pPr>
            <w:r>
              <w:rPr>
                <w:spacing w:val="-5"/>
                <w:sz w:val="20"/>
              </w:rPr>
              <w:t>22</w:t>
            </w:r>
          </w:p>
        </w:tc>
        <w:tc>
          <w:tcPr>
            <w:tcW w:w="773" w:type="dxa"/>
            <w:tcBorders>
              <w:top w:val="single" w:sz="4" w:space="0" w:color="7D7D7D"/>
            </w:tcBorders>
          </w:tcPr>
          <w:p>
            <w:pPr>
              <w:pStyle w:val="TableParagraph"/>
              <w:spacing w:line="207" w:lineRule="exact"/>
              <w:ind w:left="20"/>
              <w:jc w:val="center"/>
              <w:rPr>
                <w:sz w:val="20"/>
              </w:rPr>
            </w:pPr>
            <w:r>
              <w:rPr>
                <w:spacing w:val="-10"/>
                <w:sz w:val="20"/>
              </w:rPr>
              <w:t>9</w:t>
            </w:r>
          </w:p>
        </w:tc>
      </w:tr>
      <w:tr>
        <w:trPr>
          <w:trHeight w:val="388" w:hRule="atLeast"/>
        </w:trPr>
        <w:tc>
          <w:tcPr>
            <w:tcW w:w="1048" w:type="dxa"/>
            <w:tcBorders>
              <w:bottom w:val="single" w:sz="4" w:space="0" w:color="7D7D7D"/>
            </w:tcBorders>
          </w:tcPr>
          <w:p>
            <w:pPr>
              <w:pStyle w:val="TableParagraph"/>
              <w:spacing w:before="4"/>
              <w:ind w:left="118"/>
              <w:rPr>
                <w:b/>
                <w:sz w:val="20"/>
              </w:rPr>
            </w:pPr>
            <w:r>
              <w:rPr>
                <w:b/>
                <w:spacing w:val="-10"/>
                <w:sz w:val="20"/>
              </w:rPr>
              <w:t>5</w:t>
            </w:r>
          </w:p>
        </w:tc>
        <w:tc>
          <w:tcPr>
            <w:tcW w:w="901" w:type="dxa"/>
            <w:tcBorders>
              <w:bottom w:val="single" w:sz="4" w:space="0" w:color="7D7D7D"/>
            </w:tcBorders>
          </w:tcPr>
          <w:p>
            <w:pPr>
              <w:pStyle w:val="TableParagraph"/>
              <w:rPr>
                <w:sz w:val="22"/>
              </w:rPr>
            </w:pPr>
          </w:p>
        </w:tc>
        <w:tc>
          <w:tcPr>
            <w:tcW w:w="854" w:type="dxa"/>
            <w:tcBorders>
              <w:bottom w:val="single" w:sz="4" w:space="0" w:color="7D7D7D"/>
            </w:tcBorders>
          </w:tcPr>
          <w:p>
            <w:pPr>
              <w:pStyle w:val="TableParagraph"/>
              <w:spacing w:before="4"/>
              <w:ind w:left="117"/>
              <w:rPr>
                <w:sz w:val="20"/>
              </w:rPr>
            </w:pPr>
            <w:r>
              <w:rPr>
                <w:spacing w:val="-3"/>
                <w:sz w:val="20"/>
              </w:rPr>
              <w:t>-</w:t>
            </w:r>
            <w:r>
              <w:rPr>
                <w:spacing w:val="-2"/>
                <w:sz w:val="20"/>
              </w:rPr>
              <w:t>Hinton</w:t>
            </w:r>
          </w:p>
        </w:tc>
        <w:tc>
          <w:tcPr>
            <w:tcW w:w="1168" w:type="dxa"/>
            <w:tcBorders>
              <w:bottom w:val="single" w:sz="4" w:space="0" w:color="7D7D7D"/>
            </w:tcBorders>
          </w:tcPr>
          <w:p>
            <w:pPr>
              <w:pStyle w:val="TableParagraph"/>
              <w:rPr>
                <w:sz w:val="22"/>
              </w:rPr>
            </w:pPr>
          </w:p>
        </w:tc>
        <w:tc>
          <w:tcPr>
            <w:tcW w:w="1355" w:type="dxa"/>
            <w:tcBorders>
              <w:bottom w:val="single" w:sz="4" w:space="0" w:color="7D7D7D"/>
            </w:tcBorders>
          </w:tcPr>
          <w:p>
            <w:pPr>
              <w:pStyle w:val="TableParagraph"/>
              <w:rPr>
                <w:sz w:val="22"/>
              </w:rPr>
            </w:pPr>
          </w:p>
        </w:tc>
        <w:tc>
          <w:tcPr>
            <w:tcW w:w="1060" w:type="dxa"/>
            <w:tcBorders>
              <w:bottom w:val="single" w:sz="4" w:space="0" w:color="7D7D7D"/>
            </w:tcBorders>
          </w:tcPr>
          <w:p>
            <w:pPr>
              <w:pStyle w:val="TableParagraph"/>
              <w:rPr>
                <w:sz w:val="22"/>
              </w:rPr>
            </w:pPr>
          </w:p>
        </w:tc>
        <w:tc>
          <w:tcPr>
            <w:tcW w:w="780" w:type="dxa"/>
            <w:tcBorders>
              <w:bottom w:val="single" w:sz="4" w:space="0" w:color="7D7D7D"/>
            </w:tcBorders>
          </w:tcPr>
          <w:p>
            <w:pPr>
              <w:pStyle w:val="TableParagraph"/>
              <w:rPr>
                <w:sz w:val="22"/>
              </w:rPr>
            </w:pPr>
          </w:p>
        </w:tc>
        <w:tc>
          <w:tcPr>
            <w:tcW w:w="773" w:type="dxa"/>
            <w:tcBorders>
              <w:bottom w:val="single" w:sz="4" w:space="0" w:color="7D7D7D"/>
            </w:tcBorders>
          </w:tcPr>
          <w:p>
            <w:pPr>
              <w:pStyle w:val="TableParagraph"/>
              <w:rPr>
                <w:sz w:val="22"/>
              </w:rPr>
            </w:pPr>
          </w:p>
        </w:tc>
      </w:tr>
      <w:tr>
        <w:trPr>
          <w:trHeight w:val="227" w:hRule="atLeast"/>
        </w:trPr>
        <w:tc>
          <w:tcPr>
            <w:tcW w:w="1048" w:type="dxa"/>
            <w:tcBorders>
              <w:top w:val="single" w:sz="4" w:space="0" w:color="7D7D7D"/>
            </w:tcBorders>
          </w:tcPr>
          <w:p>
            <w:pPr>
              <w:pStyle w:val="TableParagraph"/>
              <w:spacing w:line="205" w:lineRule="exact"/>
              <w:ind w:left="118"/>
              <w:rPr>
                <w:b/>
                <w:sz w:val="20"/>
              </w:rPr>
            </w:pPr>
            <w:r>
              <w:rPr>
                <w:b/>
                <w:spacing w:val="-2"/>
                <w:sz w:val="20"/>
              </w:rPr>
              <w:t>29/10/202</w:t>
            </w:r>
          </w:p>
        </w:tc>
        <w:tc>
          <w:tcPr>
            <w:tcW w:w="901" w:type="dxa"/>
            <w:tcBorders>
              <w:top w:val="single" w:sz="4" w:space="0" w:color="7D7D7D"/>
            </w:tcBorders>
          </w:tcPr>
          <w:p>
            <w:pPr>
              <w:pStyle w:val="TableParagraph"/>
              <w:spacing w:line="205" w:lineRule="exact"/>
              <w:ind w:left="138"/>
              <w:rPr>
                <w:sz w:val="20"/>
              </w:rPr>
            </w:pPr>
            <w:r>
              <w:rPr>
                <w:spacing w:val="-10"/>
                <w:sz w:val="20"/>
              </w:rPr>
              <w:t>2</w:t>
            </w:r>
          </w:p>
        </w:tc>
        <w:tc>
          <w:tcPr>
            <w:tcW w:w="854" w:type="dxa"/>
            <w:tcBorders>
              <w:top w:val="single" w:sz="4" w:space="0" w:color="7D7D7D"/>
            </w:tcBorders>
          </w:tcPr>
          <w:p>
            <w:pPr>
              <w:pStyle w:val="TableParagraph"/>
              <w:spacing w:line="205" w:lineRule="exact"/>
              <w:ind w:left="117"/>
              <w:rPr>
                <w:sz w:val="20"/>
              </w:rPr>
            </w:pPr>
            <w:r>
              <w:rPr>
                <w:spacing w:val="-2"/>
                <w:sz w:val="20"/>
              </w:rPr>
              <w:t>Mueller</w:t>
            </w:r>
          </w:p>
        </w:tc>
        <w:tc>
          <w:tcPr>
            <w:tcW w:w="1168" w:type="dxa"/>
            <w:tcBorders>
              <w:top w:val="single" w:sz="4" w:space="0" w:color="7D7D7D"/>
            </w:tcBorders>
          </w:tcPr>
          <w:p>
            <w:pPr>
              <w:pStyle w:val="TableParagraph"/>
              <w:spacing w:line="205" w:lineRule="exact"/>
              <w:ind w:left="40"/>
              <w:jc w:val="center"/>
              <w:rPr>
                <w:sz w:val="20"/>
              </w:rPr>
            </w:pPr>
            <w:r>
              <w:rPr>
                <w:spacing w:val="-5"/>
                <w:sz w:val="20"/>
              </w:rPr>
              <w:t>20</w:t>
            </w:r>
          </w:p>
        </w:tc>
        <w:tc>
          <w:tcPr>
            <w:tcW w:w="1355" w:type="dxa"/>
            <w:tcBorders>
              <w:top w:val="single" w:sz="4" w:space="0" w:color="7D7D7D"/>
            </w:tcBorders>
          </w:tcPr>
          <w:p>
            <w:pPr>
              <w:pStyle w:val="TableParagraph"/>
              <w:spacing w:line="205" w:lineRule="exact"/>
              <w:ind w:left="46"/>
              <w:jc w:val="center"/>
              <w:rPr>
                <w:sz w:val="20"/>
              </w:rPr>
            </w:pPr>
            <w:r>
              <w:rPr>
                <w:spacing w:val="-5"/>
                <w:sz w:val="20"/>
              </w:rPr>
              <w:t>26</w:t>
            </w:r>
          </w:p>
        </w:tc>
        <w:tc>
          <w:tcPr>
            <w:tcW w:w="1060" w:type="dxa"/>
            <w:tcBorders>
              <w:top w:val="single" w:sz="4" w:space="0" w:color="7D7D7D"/>
            </w:tcBorders>
          </w:tcPr>
          <w:p>
            <w:pPr>
              <w:pStyle w:val="TableParagraph"/>
              <w:spacing w:line="205" w:lineRule="exact"/>
              <w:ind w:left="48"/>
              <w:jc w:val="center"/>
              <w:rPr>
                <w:sz w:val="20"/>
              </w:rPr>
            </w:pPr>
            <w:r>
              <w:rPr>
                <w:spacing w:val="-5"/>
                <w:sz w:val="20"/>
              </w:rPr>
              <w:t>12</w:t>
            </w:r>
          </w:p>
        </w:tc>
        <w:tc>
          <w:tcPr>
            <w:tcW w:w="780" w:type="dxa"/>
            <w:tcBorders>
              <w:top w:val="single" w:sz="4" w:space="0" w:color="7D7D7D"/>
            </w:tcBorders>
          </w:tcPr>
          <w:p>
            <w:pPr>
              <w:pStyle w:val="TableParagraph"/>
              <w:spacing w:line="205" w:lineRule="exact"/>
              <w:ind w:left="113" w:right="81"/>
              <w:jc w:val="center"/>
              <w:rPr>
                <w:sz w:val="20"/>
              </w:rPr>
            </w:pPr>
            <w:r>
              <w:rPr>
                <w:spacing w:val="-5"/>
                <w:sz w:val="20"/>
              </w:rPr>
              <w:t>20</w:t>
            </w:r>
          </w:p>
        </w:tc>
        <w:tc>
          <w:tcPr>
            <w:tcW w:w="773" w:type="dxa"/>
            <w:tcBorders>
              <w:top w:val="single" w:sz="4" w:space="0" w:color="7D7D7D"/>
            </w:tcBorders>
          </w:tcPr>
          <w:p>
            <w:pPr>
              <w:pStyle w:val="TableParagraph"/>
              <w:spacing w:line="205" w:lineRule="exact"/>
              <w:ind w:right="284"/>
              <w:jc w:val="right"/>
              <w:rPr>
                <w:sz w:val="20"/>
              </w:rPr>
            </w:pPr>
            <w:r>
              <w:rPr>
                <w:spacing w:val="-5"/>
                <w:sz w:val="20"/>
              </w:rPr>
              <w:t>10</w:t>
            </w:r>
          </w:p>
        </w:tc>
      </w:tr>
      <w:tr>
        <w:trPr>
          <w:trHeight w:val="394" w:hRule="atLeast"/>
        </w:trPr>
        <w:tc>
          <w:tcPr>
            <w:tcW w:w="1048" w:type="dxa"/>
            <w:tcBorders>
              <w:bottom w:val="single" w:sz="4" w:space="0" w:color="7D7D7D"/>
            </w:tcBorders>
          </w:tcPr>
          <w:p>
            <w:pPr>
              <w:pStyle w:val="TableParagraph"/>
              <w:spacing w:before="2"/>
              <w:ind w:left="118"/>
              <w:rPr>
                <w:b/>
                <w:sz w:val="20"/>
              </w:rPr>
            </w:pPr>
            <w:r>
              <w:rPr>
                <w:b/>
                <w:spacing w:val="-10"/>
                <w:sz w:val="20"/>
              </w:rPr>
              <w:t>5</w:t>
            </w:r>
          </w:p>
        </w:tc>
        <w:tc>
          <w:tcPr>
            <w:tcW w:w="901" w:type="dxa"/>
            <w:tcBorders>
              <w:bottom w:val="single" w:sz="4" w:space="0" w:color="7D7D7D"/>
            </w:tcBorders>
          </w:tcPr>
          <w:p>
            <w:pPr>
              <w:pStyle w:val="TableParagraph"/>
              <w:rPr>
                <w:sz w:val="22"/>
              </w:rPr>
            </w:pPr>
          </w:p>
        </w:tc>
        <w:tc>
          <w:tcPr>
            <w:tcW w:w="854" w:type="dxa"/>
            <w:tcBorders>
              <w:bottom w:val="single" w:sz="4" w:space="0" w:color="7D7D7D"/>
            </w:tcBorders>
          </w:tcPr>
          <w:p>
            <w:pPr>
              <w:pStyle w:val="TableParagraph"/>
              <w:spacing w:before="2"/>
              <w:ind w:left="117"/>
              <w:rPr>
                <w:sz w:val="20"/>
              </w:rPr>
            </w:pPr>
            <w:r>
              <w:rPr>
                <w:spacing w:val="-3"/>
                <w:sz w:val="20"/>
              </w:rPr>
              <w:t>-</w:t>
            </w:r>
            <w:r>
              <w:rPr>
                <w:spacing w:val="-2"/>
                <w:sz w:val="20"/>
              </w:rPr>
              <w:t>Hinton</w:t>
            </w:r>
          </w:p>
        </w:tc>
        <w:tc>
          <w:tcPr>
            <w:tcW w:w="1168" w:type="dxa"/>
            <w:tcBorders>
              <w:bottom w:val="single" w:sz="4" w:space="0" w:color="7D7D7D"/>
            </w:tcBorders>
          </w:tcPr>
          <w:p>
            <w:pPr>
              <w:pStyle w:val="TableParagraph"/>
              <w:rPr>
                <w:sz w:val="22"/>
              </w:rPr>
            </w:pPr>
          </w:p>
        </w:tc>
        <w:tc>
          <w:tcPr>
            <w:tcW w:w="1355" w:type="dxa"/>
            <w:tcBorders>
              <w:bottom w:val="single" w:sz="4" w:space="0" w:color="7D7D7D"/>
            </w:tcBorders>
          </w:tcPr>
          <w:p>
            <w:pPr>
              <w:pStyle w:val="TableParagraph"/>
              <w:rPr>
                <w:sz w:val="22"/>
              </w:rPr>
            </w:pPr>
          </w:p>
        </w:tc>
        <w:tc>
          <w:tcPr>
            <w:tcW w:w="1060" w:type="dxa"/>
            <w:tcBorders>
              <w:bottom w:val="single" w:sz="4" w:space="0" w:color="7D7D7D"/>
            </w:tcBorders>
          </w:tcPr>
          <w:p>
            <w:pPr>
              <w:pStyle w:val="TableParagraph"/>
              <w:rPr>
                <w:sz w:val="22"/>
              </w:rPr>
            </w:pPr>
          </w:p>
        </w:tc>
        <w:tc>
          <w:tcPr>
            <w:tcW w:w="780" w:type="dxa"/>
            <w:tcBorders>
              <w:bottom w:val="single" w:sz="4" w:space="0" w:color="7D7D7D"/>
            </w:tcBorders>
          </w:tcPr>
          <w:p>
            <w:pPr>
              <w:pStyle w:val="TableParagraph"/>
              <w:rPr>
                <w:sz w:val="22"/>
              </w:rPr>
            </w:pPr>
          </w:p>
        </w:tc>
        <w:tc>
          <w:tcPr>
            <w:tcW w:w="773" w:type="dxa"/>
            <w:tcBorders>
              <w:bottom w:val="single" w:sz="4" w:space="0" w:color="7D7D7D"/>
            </w:tcBorders>
          </w:tcPr>
          <w:p>
            <w:pPr>
              <w:pStyle w:val="TableParagraph"/>
              <w:rPr>
                <w:sz w:val="22"/>
              </w:rPr>
            </w:pPr>
          </w:p>
        </w:tc>
      </w:tr>
      <w:tr>
        <w:trPr>
          <w:trHeight w:val="229" w:hRule="atLeast"/>
        </w:trPr>
        <w:tc>
          <w:tcPr>
            <w:tcW w:w="1048" w:type="dxa"/>
            <w:tcBorders>
              <w:top w:val="single" w:sz="4" w:space="0" w:color="7D7D7D"/>
            </w:tcBorders>
          </w:tcPr>
          <w:p>
            <w:pPr>
              <w:pStyle w:val="TableParagraph"/>
              <w:spacing w:line="208" w:lineRule="exact"/>
              <w:ind w:left="118"/>
              <w:rPr>
                <w:b/>
                <w:sz w:val="20"/>
              </w:rPr>
            </w:pPr>
            <w:r>
              <w:rPr>
                <w:b/>
                <w:spacing w:val="-2"/>
                <w:sz w:val="20"/>
              </w:rPr>
              <w:t>30/10/202</w:t>
            </w:r>
          </w:p>
        </w:tc>
        <w:tc>
          <w:tcPr>
            <w:tcW w:w="901" w:type="dxa"/>
            <w:tcBorders>
              <w:top w:val="single" w:sz="4" w:space="0" w:color="7D7D7D"/>
            </w:tcBorders>
          </w:tcPr>
          <w:p>
            <w:pPr>
              <w:pStyle w:val="TableParagraph"/>
              <w:spacing w:line="208" w:lineRule="exact"/>
              <w:ind w:left="138"/>
              <w:rPr>
                <w:sz w:val="20"/>
              </w:rPr>
            </w:pPr>
            <w:r>
              <w:rPr>
                <w:spacing w:val="-10"/>
                <w:sz w:val="20"/>
              </w:rPr>
              <w:t>3</w:t>
            </w:r>
          </w:p>
        </w:tc>
        <w:tc>
          <w:tcPr>
            <w:tcW w:w="854" w:type="dxa"/>
            <w:tcBorders>
              <w:top w:val="single" w:sz="4" w:space="0" w:color="7D7D7D"/>
            </w:tcBorders>
          </w:tcPr>
          <w:p>
            <w:pPr>
              <w:pStyle w:val="TableParagraph"/>
              <w:spacing w:line="208" w:lineRule="exact"/>
              <w:ind w:left="117"/>
              <w:rPr>
                <w:sz w:val="20"/>
              </w:rPr>
            </w:pPr>
            <w:r>
              <w:rPr>
                <w:spacing w:val="-2"/>
                <w:sz w:val="20"/>
              </w:rPr>
              <w:t>Mueller</w:t>
            </w:r>
          </w:p>
        </w:tc>
        <w:tc>
          <w:tcPr>
            <w:tcW w:w="1168" w:type="dxa"/>
            <w:tcBorders>
              <w:top w:val="single" w:sz="4" w:space="0" w:color="7D7D7D"/>
            </w:tcBorders>
          </w:tcPr>
          <w:p>
            <w:pPr>
              <w:pStyle w:val="TableParagraph"/>
              <w:spacing w:line="208" w:lineRule="exact"/>
              <w:ind w:left="40"/>
              <w:jc w:val="center"/>
              <w:rPr>
                <w:sz w:val="20"/>
              </w:rPr>
            </w:pPr>
            <w:r>
              <w:rPr>
                <w:spacing w:val="-5"/>
                <w:sz w:val="20"/>
              </w:rPr>
              <w:t>23</w:t>
            </w:r>
          </w:p>
        </w:tc>
        <w:tc>
          <w:tcPr>
            <w:tcW w:w="1355" w:type="dxa"/>
            <w:tcBorders>
              <w:top w:val="single" w:sz="4" w:space="0" w:color="7D7D7D"/>
            </w:tcBorders>
          </w:tcPr>
          <w:p>
            <w:pPr>
              <w:pStyle w:val="TableParagraph"/>
              <w:spacing w:line="208" w:lineRule="exact"/>
              <w:ind w:left="46"/>
              <w:jc w:val="center"/>
              <w:rPr>
                <w:sz w:val="20"/>
              </w:rPr>
            </w:pPr>
            <w:r>
              <w:rPr>
                <w:spacing w:val="-5"/>
                <w:sz w:val="20"/>
              </w:rPr>
              <w:t>28</w:t>
            </w:r>
          </w:p>
        </w:tc>
        <w:tc>
          <w:tcPr>
            <w:tcW w:w="1060" w:type="dxa"/>
            <w:tcBorders>
              <w:top w:val="single" w:sz="4" w:space="0" w:color="7D7D7D"/>
            </w:tcBorders>
          </w:tcPr>
          <w:p>
            <w:pPr>
              <w:pStyle w:val="TableParagraph"/>
              <w:spacing w:line="208" w:lineRule="exact"/>
              <w:ind w:left="48"/>
              <w:jc w:val="center"/>
              <w:rPr>
                <w:sz w:val="20"/>
              </w:rPr>
            </w:pPr>
            <w:r>
              <w:rPr>
                <w:spacing w:val="-5"/>
                <w:sz w:val="20"/>
              </w:rPr>
              <w:t>14</w:t>
            </w:r>
          </w:p>
        </w:tc>
        <w:tc>
          <w:tcPr>
            <w:tcW w:w="780" w:type="dxa"/>
            <w:tcBorders>
              <w:top w:val="single" w:sz="4" w:space="0" w:color="7D7D7D"/>
            </w:tcBorders>
          </w:tcPr>
          <w:p>
            <w:pPr>
              <w:pStyle w:val="TableParagraph"/>
              <w:spacing w:line="208" w:lineRule="exact"/>
              <w:ind w:left="113" w:right="81"/>
              <w:jc w:val="center"/>
              <w:rPr>
                <w:sz w:val="20"/>
              </w:rPr>
            </w:pPr>
            <w:r>
              <w:rPr>
                <w:spacing w:val="-5"/>
                <w:sz w:val="20"/>
              </w:rPr>
              <w:t>24</w:t>
            </w:r>
          </w:p>
        </w:tc>
        <w:tc>
          <w:tcPr>
            <w:tcW w:w="773" w:type="dxa"/>
            <w:tcBorders>
              <w:top w:val="single" w:sz="4" w:space="0" w:color="7D7D7D"/>
            </w:tcBorders>
          </w:tcPr>
          <w:p>
            <w:pPr>
              <w:pStyle w:val="TableParagraph"/>
              <w:spacing w:line="208" w:lineRule="exact"/>
              <w:ind w:right="284"/>
              <w:jc w:val="right"/>
              <w:rPr>
                <w:sz w:val="20"/>
              </w:rPr>
            </w:pPr>
            <w:r>
              <w:rPr>
                <w:spacing w:val="-5"/>
                <w:sz w:val="20"/>
              </w:rPr>
              <w:t>12</w:t>
            </w:r>
          </w:p>
        </w:tc>
      </w:tr>
      <w:tr>
        <w:trPr>
          <w:trHeight w:val="394" w:hRule="atLeast"/>
        </w:trPr>
        <w:tc>
          <w:tcPr>
            <w:tcW w:w="1048" w:type="dxa"/>
            <w:tcBorders>
              <w:bottom w:val="single" w:sz="4" w:space="0" w:color="7D7D7D"/>
            </w:tcBorders>
          </w:tcPr>
          <w:p>
            <w:pPr>
              <w:pStyle w:val="TableParagraph"/>
              <w:spacing w:before="4"/>
              <w:ind w:left="118"/>
              <w:rPr>
                <w:b/>
                <w:sz w:val="20"/>
              </w:rPr>
            </w:pPr>
            <w:r>
              <w:rPr>
                <w:b/>
                <w:spacing w:val="-10"/>
                <w:sz w:val="20"/>
              </w:rPr>
              <w:t>5</w:t>
            </w:r>
          </w:p>
        </w:tc>
        <w:tc>
          <w:tcPr>
            <w:tcW w:w="901" w:type="dxa"/>
            <w:tcBorders>
              <w:bottom w:val="single" w:sz="4" w:space="0" w:color="7D7D7D"/>
            </w:tcBorders>
          </w:tcPr>
          <w:p>
            <w:pPr>
              <w:pStyle w:val="TableParagraph"/>
              <w:rPr>
                <w:sz w:val="22"/>
              </w:rPr>
            </w:pPr>
          </w:p>
        </w:tc>
        <w:tc>
          <w:tcPr>
            <w:tcW w:w="854" w:type="dxa"/>
            <w:tcBorders>
              <w:bottom w:val="single" w:sz="4" w:space="0" w:color="7D7D7D"/>
            </w:tcBorders>
          </w:tcPr>
          <w:p>
            <w:pPr>
              <w:pStyle w:val="TableParagraph"/>
              <w:spacing w:before="4"/>
              <w:ind w:left="117"/>
              <w:rPr>
                <w:sz w:val="20"/>
              </w:rPr>
            </w:pPr>
            <w:r>
              <w:rPr>
                <w:spacing w:val="-3"/>
                <w:sz w:val="20"/>
              </w:rPr>
              <w:t>-</w:t>
            </w:r>
            <w:r>
              <w:rPr>
                <w:spacing w:val="-2"/>
                <w:sz w:val="20"/>
              </w:rPr>
              <w:t>Hinton</w:t>
            </w:r>
          </w:p>
        </w:tc>
        <w:tc>
          <w:tcPr>
            <w:tcW w:w="1168" w:type="dxa"/>
            <w:tcBorders>
              <w:bottom w:val="single" w:sz="4" w:space="0" w:color="7D7D7D"/>
            </w:tcBorders>
          </w:tcPr>
          <w:p>
            <w:pPr>
              <w:pStyle w:val="TableParagraph"/>
              <w:rPr>
                <w:sz w:val="22"/>
              </w:rPr>
            </w:pPr>
          </w:p>
        </w:tc>
        <w:tc>
          <w:tcPr>
            <w:tcW w:w="1355" w:type="dxa"/>
            <w:tcBorders>
              <w:bottom w:val="single" w:sz="4" w:space="0" w:color="7D7D7D"/>
            </w:tcBorders>
          </w:tcPr>
          <w:p>
            <w:pPr>
              <w:pStyle w:val="TableParagraph"/>
              <w:rPr>
                <w:sz w:val="22"/>
              </w:rPr>
            </w:pPr>
          </w:p>
        </w:tc>
        <w:tc>
          <w:tcPr>
            <w:tcW w:w="1060" w:type="dxa"/>
            <w:tcBorders>
              <w:bottom w:val="single" w:sz="4" w:space="0" w:color="7D7D7D"/>
            </w:tcBorders>
          </w:tcPr>
          <w:p>
            <w:pPr>
              <w:pStyle w:val="TableParagraph"/>
              <w:rPr>
                <w:sz w:val="22"/>
              </w:rPr>
            </w:pPr>
          </w:p>
        </w:tc>
        <w:tc>
          <w:tcPr>
            <w:tcW w:w="780" w:type="dxa"/>
            <w:tcBorders>
              <w:bottom w:val="single" w:sz="4" w:space="0" w:color="7D7D7D"/>
            </w:tcBorders>
          </w:tcPr>
          <w:p>
            <w:pPr>
              <w:pStyle w:val="TableParagraph"/>
              <w:rPr>
                <w:sz w:val="22"/>
              </w:rPr>
            </w:pPr>
          </w:p>
        </w:tc>
        <w:tc>
          <w:tcPr>
            <w:tcW w:w="773" w:type="dxa"/>
            <w:tcBorders>
              <w:bottom w:val="single" w:sz="4" w:space="0" w:color="7D7D7D"/>
            </w:tcBorders>
          </w:tcPr>
          <w:p>
            <w:pPr>
              <w:pStyle w:val="TableParagraph"/>
              <w:rPr>
                <w:sz w:val="22"/>
              </w:rPr>
            </w:pPr>
          </w:p>
        </w:tc>
      </w:tr>
    </w:tbl>
    <w:p>
      <w:pPr>
        <w:spacing w:line="242" w:lineRule="auto" w:before="1"/>
        <w:ind w:left="994" w:right="709" w:firstLine="0"/>
        <w:jc w:val="both"/>
        <w:rPr>
          <w:sz w:val="20"/>
        </w:rPr>
      </w:pPr>
      <w:r>
        <w:rPr>
          <w:i/>
          <w:sz w:val="20"/>
        </w:rPr>
        <w:t>Nota</w:t>
      </w:r>
      <w:r>
        <w:rPr>
          <w:sz w:val="20"/>
        </w:rPr>
        <w:t>. Ensayos</w:t>
      </w:r>
      <w:r>
        <w:rPr>
          <w:spacing w:val="-5"/>
          <w:sz w:val="20"/>
        </w:rPr>
        <w:t> </w:t>
      </w:r>
      <w:r>
        <w:rPr>
          <w:sz w:val="20"/>
        </w:rPr>
        <w:t>de</w:t>
      </w:r>
      <w:r>
        <w:rPr>
          <w:spacing w:val="-3"/>
          <w:sz w:val="20"/>
        </w:rPr>
        <w:t> </w:t>
      </w:r>
      <w:r>
        <w:rPr>
          <w:sz w:val="20"/>
        </w:rPr>
        <w:t>sensibilidad</w:t>
      </w:r>
      <w:r>
        <w:rPr>
          <w:spacing w:val="-3"/>
          <w:sz w:val="20"/>
        </w:rPr>
        <w:t> </w:t>
      </w:r>
      <w:r>
        <w:rPr>
          <w:sz w:val="20"/>
        </w:rPr>
        <w:t>antimicrobiana</w:t>
      </w:r>
      <w:r>
        <w:rPr>
          <w:spacing w:val="-4"/>
          <w:sz w:val="20"/>
        </w:rPr>
        <w:t> </w:t>
      </w:r>
      <w:r>
        <w:rPr>
          <w:sz w:val="20"/>
        </w:rPr>
        <w:t>realizados</w:t>
      </w:r>
      <w:r>
        <w:rPr>
          <w:spacing w:val="-5"/>
          <w:sz w:val="20"/>
        </w:rPr>
        <w:t> </w:t>
      </w:r>
      <w:r>
        <w:rPr>
          <w:sz w:val="20"/>
        </w:rPr>
        <w:t>en</w:t>
      </w:r>
      <w:r>
        <w:rPr>
          <w:spacing w:val="-3"/>
          <w:sz w:val="20"/>
        </w:rPr>
        <w:t> </w:t>
      </w:r>
      <w:r>
        <w:rPr>
          <w:sz w:val="20"/>
        </w:rPr>
        <w:t>el</w:t>
      </w:r>
      <w:r>
        <w:rPr>
          <w:spacing w:val="-2"/>
          <w:sz w:val="20"/>
        </w:rPr>
        <w:t> </w:t>
      </w:r>
      <w:r>
        <w:rPr>
          <w:sz w:val="20"/>
        </w:rPr>
        <w:t>laboratorio</w:t>
      </w:r>
      <w:r>
        <w:rPr>
          <w:spacing w:val="-2"/>
          <w:sz w:val="20"/>
        </w:rPr>
        <w:t> </w:t>
      </w:r>
      <w:r>
        <w:rPr>
          <w:sz w:val="20"/>
        </w:rPr>
        <w:t>de</w:t>
      </w:r>
      <w:r>
        <w:rPr>
          <w:spacing w:val="-7"/>
          <w:sz w:val="20"/>
        </w:rPr>
        <w:t> </w:t>
      </w:r>
      <w:r>
        <w:rPr>
          <w:sz w:val="20"/>
        </w:rPr>
        <w:t>la</w:t>
      </w:r>
      <w:r>
        <w:rPr>
          <w:spacing w:val="-3"/>
          <w:sz w:val="20"/>
        </w:rPr>
        <w:t> </w:t>
      </w:r>
      <w:r>
        <w:rPr>
          <w:sz w:val="20"/>
        </w:rPr>
        <w:t>Universidad</w:t>
      </w:r>
      <w:r>
        <w:rPr>
          <w:spacing w:val="-3"/>
          <w:sz w:val="20"/>
        </w:rPr>
        <w:t> </w:t>
      </w:r>
      <w:r>
        <w:rPr>
          <w:sz w:val="20"/>
        </w:rPr>
        <w:t>Estatal de Bolívar.</w:t>
      </w:r>
    </w:p>
    <w:p>
      <w:pPr>
        <w:pStyle w:val="BodyText"/>
        <w:spacing w:line="360" w:lineRule="auto" w:before="154"/>
        <w:ind w:left="994" w:right="701"/>
        <w:jc w:val="both"/>
      </w:pPr>
      <w:r>
        <w:rPr/>
        <w:t>Los resultados evidencian diferencias en la actividad antimicrobiana de los tratamientos evaluados frente a </w:t>
      </w:r>
      <w:r>
        <w:rPr>
          <w:i/>
        </w:rPr>
        <w:t>Staphylococcus aureus </w:t>
      </w:r>
      <w:r>
        <w:rPr/>
        <w:t>resistente a meticilina (MRSA), observándose variaciones en los diámetros de inhibición según el antibiótico y el solvente utilizado.</w:t>
      </w:r>
    </w:p>
    <w:p>
      <w:pPr>
        <w:pStyle w:val="BodyText"/>
        <w:spacing w:line="360" w:lineRule="auto" w:before="161"/>
        <w:ind w:left="994" w:right="709"/>
        <w:jc w:val="both"/>
      </w:pPr>
      <w:r>
        <w:rPr/>
        <w:t>La</w:t>
      </w:r>
      <w:r>
        <w:rPr>
          <w:spacing w:val="-10"/>
        </w:rPr>
        <w:t> </w:t>
      </w:r>
      <w:r>
        <w:rPr/>
        <w:t>enrofloxacina</w:t>
      </w:r>
      <w:r>
        <w:rPr>
          <w:spacing w:val="-14"/>
        </w:rPr>
        <w:t> </w:t>
      </w:r>
      <w:r>
        <w:rPr/>
        <w:t>alcanzó</w:t>
      </w:r>
      <w:r>
        <w:rPr>
          <w:spacing w:val="-15"/>
        </w:rPr>
        <w:t> </w:t>
      </w:r>
      <w:r>
        <w:rPr/>
        <w:t>los</w:t>
      </w:r>
      <w:r>
        <w:rPr>
          <w:spacing w:val="-13"/>
        </w:rPr>
        <w:t> </w:t>
      </w:r>
      <w:r>
        <w:rPr/>
        <w:t>mayores</w:t>
      </w:r>
      <w:r>
        <w:rPr>
          <w:spacing w:val="-13"/>
        </w:rPr>
        <w:t> </w:t>
      </w:r>
      <w:r>
        <w:rPr/>
        <w:t>diámetros</w:t>
      </w:r>
      <w:r>
        <w:rPr>
          <w:spacing w:val="-13"/>
        </w:rPr>
        <w:t> </w:t>
      </w:r>
      <w:r>
        <w:rPr/>
        <w:t>de</w:t>
      </w:r>
      <w:r>
        <w:rPr>
          <w:spacing w:val="-14"/>
        </w:rPr>
        <w:t> </w:t>
      </w:r>
      <w:r>
        <w:rPr/>
        <w:t>inhibición,</w:t>
      </w:r>
      <w:r>
        <w:rPr>
          <w:spacing w:val="-15"/>
        </w:rPr>
        <w:t> </w:t>
      </w:r>
      <w:r>
        <w:rPr/>
        <w:t>con</w:t>
      </w:r>
      <w:r>
        <w:rPr>
          <w:spacing w:val="-11"/>
        </w:rPr>
        <w:t> </w:t>
      </w:r>
      <w:r>
        <w:rPr/>
        <w:t>valores</w:t>
      </w:r>
      <w:r>
        <w:rPr>
          <w:spacing w:val="-13"/>
        </w:rPr>
        <w:t> </w:t>
      </w:r>
      <w:r>
        <w:rPr/>
        <w:t>entre</w:t>
      </w:r>
      <w:r>
        <w:rPr>
          <w:spacing w:val="-10"/>
        </w:rPr>
        <w:t> </w:t>
      </w:r>
      <w:r>
        <w:rPr/>
        <w:t>25 y 28 mm. Se observó una acción antibacteriana sumamente poderosa contra el MRSA. Dicha apreciación se alinea de manera impecable con investigaciones precedentes de Liu et al. (2021) y Zhang et al. (2023), los cuales detallan la impresionante</w:t>
      </w:r>
      <w:r>
        <w:rPr>
          <w:spacing w:val="-10"/>
        </w:rPr>
        <w:t> </w:t>
      </w:r>
      <w:r>
        <w:rPr/>
        <w:t>potencia</w:t>
      </w:r>
      <w:r>
        <w:rPr>
          <w:spacing w:val="-10"/>
        </w:rPr>
        <w:t> </w:t>
      </w:r>
      <w:r>
        <w:rPr/>
        <w:t>de</w:t>
      </w:r>
      <w:r>
        <w:rPr>
          <w:spacing w:val="-10"/>
        </w:rPr>
        <w:t> </w:t>
      </w:r>
      <w:r>
        <w:rPr/>
        <w:t>las</w:t>
      </w:r>
      <w:r>
        <w:rPr>
          <w:spacing w:val="-13"/>
        </w:rPr>
        <w:t> </w:t>
      </w:r>
      <w:r>
        <w:rPr/>
        <w:t>fluoroquinolonas,</w:t>
      </w:r>
      <w:r>
        <w:rPr>
          <w:spacing w:val="-11"/>
        </w:rPr>
        <w:t> </w:t>
      </w:r>
      <w:r>
        <w:rPr/>
        <w:t>fundamentada</w:t>
      </w:r>
      <w:r>
        <w:rPr>
          <w:spacing w:val="-10"/>
        </w:rPr>
        <w:t> </w:t>
      </w:r>
      <w:r>
        <w:rPr/>
        <w:t>en</w:t>
      </w:r>
      <w:r>
        <w:rPr>
          <w:spacing w:val="-11"/>
        </w:rPr>
        <w:t> </w:t>
      </w:r>
      <w:r>
        <w:rPr/>
        <w:t>su</w:t>
      </w:r>
      <w:r>
        <w:rPr>
          <w:spacing w:val="-11"/>
        </w:rPr>
        <w:t> </w:t>
      </w:r>
      <w:r>
        <w:rPr/>
        <w:t>acción</w:t>
      </w:r>
      <w:r>
        <w:rPr>
          <w:spacing w:val="-11"/>
        </w:rPr>
        <w:t> </w:t>
      </w:r>
      <w:r>
        <w:rPr/>
        <w:t>directa sobre la ADN girasa y la topoisomerasa IV.</w:t>
      </w:r>
    </w:p>
    <w:p>
      <w:pPr>
        <w:pStyle w:val="BodyText"/>
        <w:spacing w:line="360" w:lineRule="auto" w:before="156"/>
        <w:ind w:left="994" w:right="693"/>
        <w:jc w:val="both"/>
      </w:pPr>
      <w:r>
        <w:rPr/>
        <w:t>La amoxicilina mostró una actividad de carácter moderado, generando halos entre 19 y 23 mm. Este descubrimiento resuena significativamente con el estudio de Wright (2022), quien expone detalladamente como los beta-lactámicos ven disminuida</w:t>
      </w:r>
      <w:r>
        <w:rPr>
          <w:spacing w:val="-1"/>
        </w:rPr>
        <w:t> </w:t>
      </w:r>
      <w:r>
        <w:rPr/>
        <w:t>su</w:t>
      </w:r>
      <w:r>
        <w:rPr>
          <w:spacing w:val="-2"/>
        </w:rPr>
        <w:t> </w:t>
      </w:r>
      <w:r>
        <w:rPr/>
        <w:t>eficacia</w:t>
      </w:r>
      <w:r>
        <w:rPr>
          <w:spacing w:val="-1"/>
        </w:rPr>
        <w:t> </w:t>
      </w:r>
      <w:r>
        <w:rPr/>
        <w:t>frente</w:t>
      </w:r>
      <w:r>
        <w:rPr>
          <w:spacing w:val="-1"/>
        </w:rPr>
        <w:t> </w:t>
      </w:r>
      <w:r>
        <w:rPr/>
        <w:t>al</w:t>
      </w:r>
      <w:r>
        <w:rPr>
          <w:spacing w:val="-1"/>
        </w:rPr>
        <w:t> </w:t>
      </w:r>
      <w:r>
        <w:rPr/>
        <w:t>MRSA,</w:t>
      </w:r>
      <w:r>
        <w:rPr>
          <w:spacing w:val="-2"/>
        </w:rPr>
        <w:t> </w:t>
      </w:r>
      <w:r>
        <w:rPr/>
        <w:t>atribuible</w:t>
      </w:r>
      <w:r>
        <w:rPr>
          <w:spacing w:val="-1"/>
        </w:rPr>
        <w:t> </w:t>
      </w:r>
      <w:r>
        <w:rPr/>
        <w:t>a</w:t>
      </w:r>
      <w:r>
        <w:rPr>
          <w:spacing w:val="-1"/>
        </w:rPr>
        <w:t> </w:t>
      </w:r>
      <w:r>
        <w:rPr/>
        <w:t>los</w:t>
      </w:r>
      <w:r>
        <w:rPr>
          <w:spacing w:val="-4"/>
        </w:rPr>
        <w:t> </w:t>
      </w:r>
      <w:r>
        <w:rPr/>
        <w:t>elaborados</w:t>
      </w:r>
      <w:r>
        <w:rPr>
          <w:spacing w:val="-4"/>
        </w:rPr>
        <w:t> </w:t>
      </w:r>
      <w:r>
        <w:rPr/>
        <w:t>mecanismos</w:t>
      </w:r>
      <w:r>
        <w:rPr>
          <w:spacing w:val="-4"/>
        </w:rPr>
        <w:t> </w:t>
      </w:r>
      <w:r>
        <w:rPr/>
        <w:t>de resistencia</w:t>
      </w:r>
      <w:r>
        <w:rPr>
          <w:spacing w:val="19"/>
        </w:rPr>
        <w:t> </w:t>
      </w:r>
      <w:r>
        <w:rPr/>
        <w:t>mediados</w:t>
      </w:r>
      <w:r>
        <w:rPr>
          <w:spacing w:val="17"/>
        </w:rPr>
        <w:t> </w:t>
      </w:r>
      <w:r>
        <w:rPr/>
        <w:t>por</w:t>
      </w:r>
      <w:r>
        <w:rPr>
          <w:spacing w:val="14"/>
        </w:rPr>
        <w:t> </w:t>
      </w:r>
      <w:r>
        <w:rPr/>
        <w:t>el</w:t>
      </w:r>
      <w:r>
        <w:rPr>
          <w:spacing w:val="19"/>
        </w:rPr>
        <w:t> </w:t>
      </w:r>
      <w:r>
        <w:rPr/>
        <w:t>gen</w:t>
      </w:r>
      <w:r>
        <w:rPr>
          <w:spacing w:val="18"/>
        </w:rPr>
        <w:t> </w:t>
      </w:r>
      <w:r>
        <w:rPr/>
        <w:t>mecA.</w:t>
      </w:r>
      <w:r>
        <w:rPr>
          <w:spacing w:val="18"/>
        </w:rPr>
        <w:t> </w:t>
      </w:r>
      <w:r>
        <w:rPr/>
        <w:t>Contrastando,</w:t>
      </w:r>
      <w:r>
        <w:rPr>
          <w:spacing w:val="14"/>
        </w:rPr>
        <w:t> </w:t>
      </w:r>
      <w:r>
        <w:rPr/>
        <w:t>la</w:t>
      </w:r>
      <w:r>
        <w:rPr>
          <w:spacing w:val="19"/>
        </w:rPr>
        <w:t> </w:t>
      </w:r>
      <w:r>
        <w:rPr/>
        <w:t>cefalexina</w:t>
      </w:r>
      <w:r>
        <w:rPr>
          <w:spacing w:val="19"/>
        </w:rPr>
        <w:t> </w:t>
      </w:r>
      <w:r>
        <w:rPr/>
        <w:t>resultó</w:t>
      </w:r>
      <w:r>
        <w:rPr>
          <w:spacing w:val="14"/>
        </w:rPr>
        <w:t> </w:t>
      </w:r>
      <w:r>
        <w:rPr/>
        <w:t>en</w:t>
      </w:r>
      <w:r>
        <w:rPr>
          <w:spacing w:val="19"/>
        </w:rPr>
        <w:t> </w:t>
      </w:r>
      <w:r>
        <w:rPr>
          <w:spacing w:val="-5"/>
        </w:rPr>
        <w:t>los</w:t>
      </w:r>
    </w:p>
    <w:p>
      <w:pPr>
        <w:pStyle w:val="BodyText"/>
        <w:spacing w:after="0" w:line="360" w:lineRule="auto"/>
        <w:jc w:val="both"/>
        <w:sectPr>
          <w:pgSz w:w="11900" w:h="16840"/>
          <w:pgMar w:top="1640" w:bottom="280" w:left="1275" w:right="992"/>
        </w:sectPr>
      </w:pPr>
    </w:p>
    <w:p>
      <w:pPr>
        <w:pStyle w:val="BodyText"/>
        <w:spacing w:line="360" w:lineRule="auto" w:before="60"/>
        <w:ind w:left="994" w:right="708"/>
        <w:jc w:val="both"/>
      </w:pPr>
      <w:r>
        <w:rPr/>
        <w:t>diámetros más reducidos, fluctuando entre 11 y 14 mm, lo que evidencia una deficiente sensibilidad de MRSA ante esta clase de antimicrobianos, tal como documentan Silva et al. (2023).</w:t>
      </w:r>
    </w:p>
    <w:p>
      <w:pPr>
        <w:pStyle w:val="BodyText"/>
        <w:spacing w:line="360" w:lineRule="auto" w:before="154"/>
        <w:ind w:left="994" w:right="696"/>
        <w:jc w:val="both"/>
      </w:pPr>
      <w:r>
        <w:rPr/>
        <w:t>En lo que respecta al cannabidiol (CBD), el CBD vehiculizado en etanol al 70% indujo</w:t>
      </w:r>
      <w:r>
        <w:rPr>
          <w:spacing w:val="-3"/>
        </w:rPr>
        <w:t> </w:t>
      </w:r>
      <w:r>
        <w:rPr/>
        <w:t>zonas</w:t>
      </w:r>
      <w:r>
        <w:rPr>
          <w:spacing w:val="-5"/>
        </w:rPr>
        <w:t> </w:t>
      </w:r>
      <w:r>
        <w:rPr/>
        <w:t>de</w:t>
      </w:r>
      <w:r>
        <w:rPr>
          <w:spacing w:val="-2"/>
        </w:rPr>
        <w:t> </w:t>
      </w:r>
      <w:r>
        <w:rPr/>
        <w:t>inhibición</w:t>
      </w:r>
      <w:r>
        <w:rPr>
          <w:spacing w:val="-3"/>
        </w:rPr>
        <w:t> </w:t>
      </w:r>
      <w:r>
        <w:rPr/>
        <w:t>que</w:t>
      </w:r>
      <w:r>
        <w:rPr>
          <w:spacing w:val="-2"/>
        </w:rPr>
        <w:t> </w:t>
      </w:r>
      <w:r>
        <w:rPr/>
        <w:t>oscilaron</w:t>
      </w:r>
      <w:r>
        <w:rPr>
          <w:spacing w:val="-7"/>
        </w:rPr>
        <w:t> </w:t>
      </w:r>
      <w:r>
        <w:rPr/>
        <w:t>entre</w:t>
      </w:r>
      <w:r>
        <w:rPr>
          <w:spacing w:val="-2"/>
        </w:rPr>
        <w:t> </w:t>
      </w:r>
      <w:r>
        <w:rPr/>
        <w:t>20</w:t>
      </w:r>
      <w:r>
        <w:rPr>
          <w:spacing w:val="-3"/>
        </w:rPr>
        <w:t> </w:t>
      </w:r>
      <w:r>
        <w:rPr/>
        <w:t>y</w:t>
      </w:r>
      <w:r>
        <w:rPr>
          <w:spacing w:val="-3"/>
        </w:rPr>
        <w:t> </w:t>
      </w:r>
      <w:r>
        <w:rPr/>
        <w:t>24</w:t>
      </w:r>
      <w:r>
        <w:rPr>
          <w:spacing w:val="-8"/>
        </w:rPr>
        <w:t> </w:t>
      </w:r>
      <w:r>
        <w:rPr/>
        <w:t>mm,</w:t>
      </w:r>
      <w:r>
        <w:rPr>
          <w:spacing w:val="-3"/>
        </w:rPr>
        <w:t> </w:t>
      </w:r>
      <w:r>
        <w:rPr/>
        <w:t>demostrando</w:t>
      </w:r>
      <w:r>
        <w:rPr>
          <w:spacing w:val="-8"/>
        </w:rPr>
        <w:t> </w:t>
      </w:r>
      <w:r>
        <w:rPr/>
        <w:t>un</w:t>
      </w:r>
      <w:r>
        <w:rPr>
          <w:spacing w:val="-3"/>
        </w:rPr>
        <w:t> </w:t>
      </w:r>
      <w:r>
        <w:rPr/>
        <w:t>efecto más pronunciado que las observadas con CBD en DMSO (entre 9 y 12 mm). Esta discrepancia evidencia, de manera palpable, la repercusión fundamental que el medio solvente</w:t>
      </w:r>
      <w:r>
        <w:rPr>
          <w:spacing w:val="-2"/>
        </w:rPr>
        <w:t> </w:t>
      </w:r>
      <w:r>
        <w:rPr/>
        <w:t>ejerce sobre</w:t>
      </w:r>
      <w:r>
        <w:rPr>
          <w:spacing w:val="-2"/>
        </w:rPr>
        <w:t> </w:t>
      </w:r>
      <w:r>
        <w:rPr/>
        <w:t>la dispersión</w:t>
      </w:r>
      <w:r>
        <w:rPr>
          <w:spacing w:val="-3"/>
        </w:rPr>
        <w:t> </w:t>
      </w:r>
      <w:r>
        <w:rPr/>
        <w:t>y la propia</w:t>
      </w:r>
      <w:r>
        <w:rPr>
          <w:spacing w:val="-2"/>
        </w:rPr>
        <w:t> </w:t>
      </w:r>
      <w:r>
        <w:rPr/>
        <w:t>actividad antibacteriana</w:t>
      </w:r>
      <w:r>
        <w:rPr>
          <w:spacing w:val="-2"/>
        </w:rPr>
        <w:t> </w:t>
      </w:r>
      <w:r>
        <w:rPr/>
        <w:t>de</w:t>
      </w:r>
      <w:r>
        <w:rPr>
          <w:spacing w:val="-2"/>
        </w:rPr>
        <w:t> </w:t>
      </w:r>
      <w:r>
        <w:rPr/>
        <w:t>la molécula. Un hallazgo,</w:t>
      </w:r>
      <w:r>
        <w:rPr>
          <w:spacing w:val="-3"/>
        </w:rPr>
        <w:t> </w:t>
      </w:r>
      <w:r>
        <w:rPr/>
        <w:t>este,</w:t>
      </w:r>
      <w:r>
        <w:rPr>
          <w:spacing w:val="-3"/>
        </w:rPr>
        <w:t> </w:t>
      </w:r>
      <w:r>
        <w:rPr/>
        <w:t>que se</w:t>
      </w:r>
      <w:r>
        <w:rPr>
          <w:spacing w:val="-1"/>
        </w:rPr>
        <w:t> </w:t>
      </w:r>
      <w:r>
        <w:rPr/>
        <w:t>alinea</w:t>
      </w:r>
      <w:r>
        <w:rPr>
          <w:spacing w:val="-1"/>
        </w:rPr>
        <w:t> </w:t>
      </w:r>
      <w:r>
        <w:rPr/>
        <w:t>con los reportes de Ozturk</w:t>
      </w:r>
      <w:r>
        <w:rPr>
          <w:spacing w:val="-2"/>
        </w:rPr>
        <w:t> </w:t>
      </w:r>
      <w:r>
        <w:rPr/>
        <w:t>et al. (2022), observando</w:t>
      </w:r>
      <w:r>
        <w:rPr>
          <w:spacing w:val="-11"/>
        </w:rPr>
        <w:t> </w:t>
      </w:r>
      <w:r>
        <w:rPr/>
        <w:t>estos</w:t>
      </w:r>
      <w:r>
        <w:rPr>
          <w:spacing w:val="-12"/>
        </w:rPr>
        <w:t> </w:t>
      </w:r>
      <w:r>
        <w:rPr/>
        <w:t>últimos</w:t>
      </w:r>
      <w:r>
        <w:rPr>
          <w:spacing w:val="-12"/>
        </w:rPr>
        <w:t> </w:t>
      </w:r>
      <w:r>
        <w:rPr/>
        <w:t>cómo</w:t>
      </w:r>
      <w:r>
        <w:rPr>
          <w:spacing w:val="-11"/>
        </w:rPr>
        <w:t> </w:t>
      </w:r>
      <w:r>
        <w:rPr/>
        <w:t>la</w:t>
      </w:r>
      <w:r>
        <w:rPr>
          <w:spacing w:val="-10"/>
        </w:rPr>
        <w:t> </w:t>
      </w:r>
      <w:r>
        <w:rPr/>
        <w:t>forma</w:t>
      </w:r>
      <w:r>
        <w:rPr>
          <w:spacing w:val="-10"/>
        </w:rPr>
        <w:t> </w:t>
      </w:r>
      <w:r>
        <w:rPr/>
        <w:t>en</w:t>
      </w:r>
      <w:r>
        <w:rPr>
          <w:spacing w:val="-11"/>
        </w:rPr>
        <w:t> </w:t>
      </w:r>
      <w:r>
        <w:rPr/>
        <w:t>que</w:t>
      </w:r>
      <w:r>
        <w:rPr>
          <w:spacing w:val="-10"/>
        </w:rPr>
        <w:t> </w:t>
      </w:r>
      <w:r>
        <w:rPr/>
        <w:t>se</w:t>
      </w:r>
      <w:r>
        <w:rPr>
          <w:spacing w:val="-10"/>
        </w:rPr>
        <w:t> </w:t>
      </w:r>
      <w:r>
        <w:rPr/>
        <w:t>prepara</w:t>
      </w:r>
      <w:r>
        <w:rPr>
          <w:spacing w:val="-10"/>
        </w:rPr>
        <w:t> </w:t>
      </w:r>
      <w:r>
        <w:rPr/>
        <w:t>el</w:t>
      </w:r>
      <w:r>
        <w:rPr>
          <w:spacing w:val="-10"/>
        </w:rPr>
        <w:t> </w:t>
      </w:r>
      <w:r>
        <w:rPr/>
        <w:t>CBD,</w:t>
      </w:r>
      <w:r>
        <w:rPr>
          <w:spacing w:val="-11"/>
        </w:rPr>
        <w:t> </w:t>
      </w:r>
      <w:r>
        <w:rPr/>
        <w:t>su</w:t>
      </w:r>
      <w:r>
        <w:rPr>
          <w:spacing w:val="-11"/>
        </w:rPr>
        <w:t> </w:t>
      </w:r>
      <w:r>
        <w:rPr/>
        <w:t>formulación, puede llegar a alterar tanto su disponibilidad biológica como su efectividad en entornos secos. Complementariamente, investigaciones de Fuller et al. (2022) y Kosgodage et al. (2022) documentan, en efecto, una acción del CBD dirigida a patógenos Gram positivos, mediada esta acción, según estos autores, por alteraciones en la barrera membranosa y por la inducción de desequilibrios </w:t>
      </w:r>
      <w:r>
        <w:rPr>
          <w:spacing w:val="-2"/>
        </w:rPr>
        <w:t>oxidativos.</w:t>
      </w:r>
    </w:p>
    <w:p>
      <w:pPr>
        <w:pStyle w:val="BodyText"/>
        <w:spacing w:line="360" w:lineRule="auto" w:before="168"/>
        <w:ind w:left="994" w:right="695"/>
        <w:jc w:val="both"/>
      </w:pPr>
      <w:r>
        <w:rPr/>
        <w:t>La enrofloxacina se distinguió, por su parte, con una potencia inhibitoria sin parangón, un hecho corroborado por las</w:t>
      </w:r>
      <w:r>
        <w:rPr>
          <w:spacing w:val="-1"/>
        </w:rPr>
        <w:t> </w:t>
      </w:r>
      <w:r>
        <w:rPr/>
        <w:t>indagaciones</w:t>
      </w:r>
      <w:r>
        <w:rPr>
          <w:spacing w:val="-1"/>
        </w:rPr>
        <w:t> </w:t>
      </w:r>
      <w:r>
        <w:rPr/>
        <w:t>de Liu et al. (2021) y Zhang et al. (2023), quienes atribuyen, de forma elocuente, su éxito contra SARM a su intervención directa en la topoisomerasa bacteriana. Por contrapartida, la amoxicilina demostró una capacidad moderada, una observación consistente con los hallazgos de Wright (2022), el cual expone las restricciones inherentes de los beta-lactámicos ante SARM, explicadas estas por los mecanismos de defensa que las bacterias emplean.</w:t>
      </w:r>
    </w:p>
    <w:p>
      <w:pPr>
        <w:pStyle w:val="BodyText"/>
        <w:spacing w:line="360" w:lineRule="auto" w:before="157"/>
        <w:ind w:left="994" w:right="709"/>
        <w:jc w:val="both"/>
      </w:pPr>
      <w:r>
        <w:rPr/>
        <w:t>La cefalexina reveló la menor actividad, conforme a Silva et al. (2023), donde se reporta una eficacia disminuida de cefalosporinas contra aislamientos resistentes. En</w:t>
      </w:r>
      <w:r>
        <w:rPr>
          <w:spacing w:val="-8"/>
        </w:rPr>
        <w:t> </w:t>
      </w:r>
      <w:r>
        <w:rPr/>
        <w:t>el</w:t>
      </w:r>
      <w:r>
        <w:rPr>
          <w:spacing w:val="-7"/>
        </w:rPr>
        <w:t> </w:t>
      </w:r>
      <w:r>
        <w:rPr/>
        <w:t>contexto</w:t>
      </w:r>
      <w:r>
        <w:rPr>
          <w:spacing w:val="-8"/>
        </w:rPr>
        <w:t> </w:t>
      </w:r>
      <w:r>
        <w:rPr/>
        <w:t>del</w:t>
      </w:r>
      <w:r>
        <w:rPr>
          <w:spacing w:val="-7"/>
        </w:rPr>
        <w:t> </w:t>
      </w:r>
      <w:r>
        <w:rPr/>
        <w:t>CBD,</w:t>
      </w:r>
      <w:r>
        <w:rPr>
          <w:spacing w:val="-8"/>
        </w:rPr>
        <w:t> </w:t>
      </w:r>
      <w:r>
        <w:rPr/>
        <w:t>la</w:t>
      </w:r>
      <w:r>
        <w:rPr>
          <w:spacing w:val="-7"/>
        </w:rPr>
        <w:t> </w:t>
      </w:r>
      <w:r>
        <w:rPr/>
        <w:t>experimentación</w:t>
      </w:r>
      <w:r>
        <w:rPr>
          <w:spacing w:val="-8"/>
        </w:rPr>
        <w:t> </w:t>
      </w:r>
      <w:r>
        <w:rPr/>
        <w:t>demostró</w:t>
      </w:r>
      <w:r>
        <w:rPr>
          <w:spacing w:val="-7"/>
        </w:rPr>
        <w:t> </w:t>
      </w:r>
      <w:r>
        <w:rPr/>
        <w:t>un</w:t>
      </w:r>
      <w:r>
        <w:rPr>
          <w:spacing w:val="-8"/>
        </w:rPr>
        <w:t> </w:t>
      </w:r>
      <w:r>
        <w:rPr/>
        <w:t>rendimiento</w:t>
      </w:r>
      <w:r>
        <w:rPr>
          <w:spacing w:val="-8"/>
        </w:rPr>
        <w:t> </w:t>
      </w:r>
      <w:r>
        <w:rPr/>
        <w:t>superior</w:t>
      </w:r>
      <w:r>
        <w:rPr>
          <w:spacing w:val="-7"/>
        </w:rPr>
        <w:t> </w:t>
      </w:r>
      <w:r>
        <w:rPr/>
        <w:t>con etanol respecto a DMSO, un hallazgo consistente con Ozturk et al. (2022), quien postula que</w:t>
      </w:r>
      <w:r>
        <w:rPr>
          <w:spacing w:val="-2"/>
        </w:rPr>
        <w:t> </w:t>
      </w:r>
      <w:r>
        <w:rPr/>
        <w:t>el tipo de</w:t>
      </w:r>
      <w:r>
        <w:rPr>
          <w:spacing w:val="-2"/>
        </w:rPr>
        <w:t> </w:t>
      </w:r>
      <w:r>
        <w:rPr/>
        <w:t>solvente</w:t>
      </w:r>
      <w:r>
        <w:rPr>
          <w:spacing w:val="-2"/>
        </w:rPr>
        <w:t> </w:t>
      </w:r>
      <w:r>
        <w:rPr/>
        <w:t>influye</w:t>
      </w:r>
      <w:r>
        <w:rPr>
          <w:spacing w:val="-2"/>
        </w:rPr>
        <w:t> </w:t>
      </w:r>
      <w:r>
        <w:rPr/>
        <w:t>en</w:t>
      </w:r>
      <w:r>
        <w:rPr>
          <w:spacing w:val="-3"/>
        </w:rPr>
        <w:t> </w:t>
      </w:r>
      <w:r>
        <w:rPr/>
        <w:t>la difusión</w:t>
      </w:r>
      <w:r>
        <w:rPr>
          <w:spacing w:val="-3"/>
        </w:rPr>
        <w:t> </w:t>
      </w:r>
      <w:r>
        <w:rPr/>
        <w:t>y en</w:t>
      </w:r>
      <w:r>
        <w:rPr>
          <w:spacing w:val="-3"/>
        </w:rPr>
        <w:t> </w:t>
      </w:r>
      <w:r>
        <w:rPr/>
        <w:t>la</w:t>
      </w:r>
      <w:r>
        <w:rPr>
          <w:spacing w:val="-2"/>
        </w:rPr>
        <w:t> </w:t>
      </w:r>
      <w:r>
        <w:rPr/>
        <w:t>acción</w:t>
      </w:r>
      <w:r>
        <w:rPr>
          <w:spacing w:val="-3"/>
        </w:rPr>
        <w:t> </w:t>
      </w:r>
      <w:r>
        <w:rPr/>
        <w:t>farmacológica. Adicionalmente, el potencial antibacteriano del CBD frente a microorganismos Gram</w:t>
      </w:r>
      <w:r>
        <w:rPr>
          <w:spacing w:val="-1"/>
        </w:rPr>
        <w:t> </w:t>
      </w:r>
      <w:r>
        <w:rPr/>
        <w:t>positivos</w:t>
      </w:r>
      <w:r>
        <w:rPr>
          <w:spacing w:val="-4"/>
        </w:rPr>
        <w:t> </w:t>
      </w:r>
      <w:r>
        <w:rPr/>
        <w:t>también</w:t>
      </w:r>
      <w:r>
        <w:rPr>
          <w:spacing w:val="-2"/>
        </w:rPr>
        <w:t> </w:t>
      </w:r>
      <w:r>
        <w:rPr/>
        <w:t>fue</w:t>
      </w:r>
      <w:r>
        <w:rPr>
          <w:spacing w:val="-1"/>
        </w:rPr>
        <w:t> </w:t>
      </w:r>
      <w:r>
        <w:rPr/>
        <w:t>subarayado</w:t>
      </w:r>
      <w:r>
        <w:rPr>
          <w:spacing w:val="-2"/>
        </w:rPr>
        <w:t> </w:t>
      </w:r>
      <w:r>
        <w:rPr/>
        <w:t>por</w:t>
      </w:r>
      <w:r>
        <w:rPr>
          <w:spacing w:val="-2"/>
        </w:rPr>
        <w:t> </w:t>
      </w:r>
      <w:r>
        <w:rPr/>
        <w:t>Fuller</w:t>
      </w:r>
      <w:r>
        <w:rPr>
          <w:spacing w:val="-2"/>
        </w:rPr>
        <w:t> </w:t>
      </w:r>
      <w:r>
        <w:rPr/>
        <w:t>et</w:t>
      </w:r>
      <w:r>
        <w:rPr>
          <w:spacing w:val="-1"/>
        </w:rPr>
        <w:t> </w:t>
      </w:r>
      <w:r>
        <w:rPr/>
        <w:t>al.</w:t>
      </w:r>
      <w:r>
        <w:rPr>
          <w:spacing w:val="-2"/>
        </w:rPr>
        <w:t> </w:t>
      </w:r>
      <w:r>
        <w:rPr/>
        <w:t>(2022)</w:t>
      </w:r>
      <w:r>
        <w:rPr>
          <w:spacing w:val="-2"/>
        </w:rPr>
        <w:t> </w:t>
      </w:r>
      <w:r>
        <w:rPr/>
        <w:t>y</w:t>
      </w:r>
      <w:r>
        <w:rPr>
          <w:spacing w:val="-2"/>
        </w:rPr>
        <w:t> </w:t>
      </w:r>
      <w:r>
        <w:rPr/>
        <w:t>Kosgodage</w:t>
      </w:r>
      <w:r>
        <w:rPr>
          <w:spacing w:val="-1"/>
        </w:rPr>
        <w:t> </w:t>
      </w:r>
      <w:r>
        <w:rPr/>
        <w:t>et</w:t>
      </w:r>
      <w:r>
        <w:rPr>
          <w:spacing w:val="-1"/>
        </w:rPr>
        <w:t> </w:t>
      </w:r>
      <w:r>
        <w:rPr/>
        <w:t>al. </w:t>
      </w:r>
      <w:r>
        <w:rPr>
          <w:spacing w:val="-2"/>
        </w:rPr>
        <w:t>(2022).</w:t>
      </w:r>
    </w:p>
    <w:p>
      <w:pPr>
        <w:pStyle w:val="BodyText"/>
        <w:spacing w:after="0" w:line="360" w:lineRule="auto"/>
        <w:jc w:val="both"/>
        <w:sectPr>
          <w:pgSz w:w="11900" w:h="16840"/>
          <w:pgMar w:top="1580" w:bottom="280" w:left="1275" w:right="992"/>
        </w:sectPr>
      </w:pPr>
    </w:p>
    <w:p>
      <w:pPr>
        <w:pStyle w:val="ListParagraph"/>
        <w:numPr>
          <w:ilvl w:val="1"/>
          <w:numId w:val="16"/>
        </w:numPr>
        <w:tabs>
          <w:tab w:pos="1482" w:val="left" w:leader="none"/>
        </w:tabs>
        <w:spacing w:line="240" w:lineRule="auto" w:before="60" w:after="0"/>
        <w:ind w:left="1482" w:right="563" w:hanging="488"/>
        <w:jc w:val="both"/>
        <w:rPr>
          <w:sz w:val="24"/>
        </w:rPr>
      </w:pPr>
      <w:r>
        <w:rPr>
          <w:sz w:val="24"/>
        </w:rPr>
        <w:t>La Tabla 6 presenta la evaluación de varianza unidireccional, una herramienta para dilucidar las disparidades entre los diversos tratamientos. El escrutinio reveló una dispersión intergrupal más prominente que la detectada intraexperimentalmente, evidenciada por un estadístico F de 44,73. Es más, el valor p emergente (2,38 × 10^-6) demostró ser menor que el umbral de significancia predeterminado (α = 0,05). Consecuentemente, la hipótesis nula fue desestimada, substanciando la presencia de discrepancias sustanciales, desde</w:t>
      </w:r>
      <w:r>
        <w:rPr>
          <w:spacing w:val="-3"/>
          <w:sz w:val="24"/>
        </w:rPr>
        <w:t> </w:t>
      </w:r>
      <w:r>
        <w:rPr>
          <w:sz w:val="24"/>
        </w:rPr>
        <w:t>una</w:t>
      </w:r>
      <w:r>
        <w:rPr>
          <w:spacing w:val="-3"/>
          <w:sz w:val="24"/>
        </w:rPr>
        <w:t> </w:t>
      </w:r>
      <w:r>
        <w:rPr>
          <w:sz w:val="24"/>
        </w:rPr>
        <w:t>perspectiva</w:t>
      </w:r>
      <w:r>
        <w:rPr>
          <w:spacing w:val="-3"/>
          <w:sz w:val="24"/>
        </w:rPr>
        <w:t> </w:t>
      </w:r>
      <w:r>
        <w:rPr>
          <w:sz w:val="24"/>
        </w:rPr>
        <w:t>estadística,</w:t>
      </w:r>
      <w:r>
        <w:rPr>
          <w:spacing w:val="-4"/>
          <w:sz w:val="24"/>
        </w:rPr>
        <w:t> </w:t>
      </w:r>
      <w:r>
        <w:rPr>
          <w:sz w:val="24"/>
        </w:rPr>
        <w:t>entre</w:t>
      </w:r>
      <w:r>
        <w:rPr>
          <w:spacing w:val="-3"/>
          <w:sz w:val="24"/>
        </w:rPr>
        <w:t> </w:t>
      </w:r>
      <w:r>
        <w:rPr>
          <w:sz w:val="24"/>
        </w:rPr>
        <w:t>los</w:t>
      </w:r>
      <w:r>
        <w:rPr>
          <w:spacing w:val="-6"/>
          <w:sz w:val="24"/>
        </w:rPr>
        <w:t> </w:t>
      </w:r>
      <w:r>
        <w:rPr>
          <w:sz w:val="24"/>
        </w:rPr>
        <w:t>regímenes</w:t>
      </w:r>
      <w:r>
        <w:rPr>
          <w:spacing w:val="-6"/>
          <w:sz w:val="24"/>
        </w:rPr>
        <w:t> </w:t>
      </w:r>
      <w:r>
        <w:rPr>
          <w:sz w:val="24"/>
        </w:rPr>
        <w:t>terapéuticos</w:t>
      </w:r>
      <w:r>
        <w:rPr>
          <w:spacing w:val="-6"/>
          <w:sz w:val="24"/>
        </w:rPr>
        <w:t> </w:t>
      </w:r>
      <w:r>
        <w:rPr>
          <w:sz w:val="24"/>
        </w:rPr>
        <w:t>examinados en relación con MRSA.Tratamiento Combinado Cannabidiol +</w:t>
      </w:r>
      <w:r>
        <w:rPr>
          <w:spacing w:val="-2"/>
          <w:sz w:val="24"/>
        </w:rPr>
        <w:t> </w:t>
      </w:r>
      <w:r>
        <w:rPr>
          <w:sz w:val="24"/>
        </w:rPr>
        <w:t>Antibióticos</w:t>
      </w:r>
    </w:p>
    <w:p>
      <w:pPr>
        <w:pStyle w:val="BodyText"/>
        <w:spacing w:before="105"/>
      </w:pPr>
    </w:p>
    <w:p>
      <w:pPr>
        <w:pStyle w:val="Heading3"/>
        <w:jc w:val="left"/>
      </w:pPr>
      <w:bookmarkStart w:name="_bookmark41" w:id="42"/>
      <w:bookmarkEnd w:id="42"/>
      <w:r>
        <w:rPr>
          <w:b w:val="0"/>
        </w:rPr>
      </w:r>
      <w:r>
        <w:rPr>
          <w:spacing w:val="-4"/>
        </w:rPr>
        <w:t>Tabla</w:t>
      </w:r>
      <w:r>
        <w:rPr>
          <w:spacing w:val="-7"/>
        </w:rPr>
        <w:t> </w:t>
      </w:r>
      <w:r>
        <w:rPr>
          <w:spacing w:val="-12"/>
        </w:rPr>
        <w:t>5</w:t>
      </w:r>
    </w:p>
    <w:p>
      <w:pPr>
        <w:pStyle w:val="BodyText"/>
        <w:rPr>
          <w:b/>
        </w:rPr>
      </w:pPr>
    </w:p>
    <w:p>
      <w:pPr>
        <w:spacing w:before="0"/>
        <w:ind w:left="994" w:right="0" w:firstLine="0"/>
        <w:jc w:val="left"/>
        <w:rPr>
          <w:i/>
          <w:sz w:val="24"/>
        </w:rPr>
      </w:pPr>
      <w:r>
        <w:rPr>
          <w:i/>
          <w:sz w:val="24"/>
        </w:rPr>
        <w:t>Tratamiento</w:t>
      </w:r>
      <w:r>
        <w:rPr>
          <w:i/>
          <w:spacing w:val="-5"/>
          <w:sz w:val="24"/>
        </w:rPr>
        <w:t> </w:t>
      </w:r>
      <w:r>
        <w:rPr>
          <w:i/>
          <w:sz w:val="24"/>
        </w:rPr>
        <w:t>combinado</w:t>
      </w:r>
      <w:r>
        <w:rPr>
          <w:i/>
          <w:spacing w:val="-9"/>
          <w:sz w:val="24"/>
        </w:rPr>
        <w:t> </w:t>
      </w:r>
      <w:r>
        <w:rPr>
          <w:i/>
          <w:sz w:val="24"/>
        </w:rPr>
        <w:t>cannabidiol</w:t>
      </w:r>
      <w:r>
        <w:rPr>
          <w:i/>
          <w:spacing w:val="-4"/>
          <w:sz w:val="24"/>
        </w:rPr>
        <w:t> </w:t>
      </w:r>
      <w:r>
        <w:rPr>
          <w:i/>
          <w:sz w:val="24"/>
        </w:rPr>
        <w:t>+</w:t>
      </w:r>
      <w:r>
        <w:rPr>
          <w:i/>
          <w:spacing w:val="-7"/>
          <w:sz w:val="24"/>
        </w:rPr>
        <w:t> </w:t>
      </w:r>
      <w:r>
        <w:rPr>
          <w:i/>
          <w:spacing w:val="-2"/>
          <w:sz w:val="24"/>
        </w:rPr>
        <w:t>antibióticos</w:t>
      </w:r>
    </w:p>
    <w:p>
      <w:pPr>
        <w:pStyle w:val="BodyText"/>
        <w:spacing w:before="54" w:after="1"/>
        <w:rPr>
          <w:i/>
          <w:sz w:val="20"/>
        </w:rPr>
      </w:pPr>
    </w:p>
    <w:tbl>
      <w:tblPr>
        <w:tblW w:w="0" w:type="auto"/>
        <w:jc w:val="left"/>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3"/>
        <w:gridCol w:w="1320"/>
        <w:gridCol w:w="356"/>
        <w:gridCol w:w="636"/>
        <w:gridCol w:w="1259"/>
        <w:gridCol w:w="368"/>
        <w:gridCol w:w="644"/>
        <w:gridCol w:w="1692"/>
        <w:gridCol w:w="817"/>
      </w:tblGrid>
      <w:tr>
        <w:trPr>
          <w:trHeight w:val="617" w:hRule="atLeast"/>
        </w:trPr>
        <w:tc>
          <w:tcPr>
            <w:tcW w:w="863" w:type="dxa"/>
            <w:tcBorders>
              <w:top w:val="single" w:sz="4" w:space="0" w:color="7D7D7D"/>
              <w:bottom w:val="single" w:sz="4" w:space="0" w:color="7D7D7D"/>
            </w:tcBorders>
          </w:tcPr>
          <w:p>
            <w:pPr>
              <w:pStyle w:val="TableParagraph"/>
              <w:spacing w:line="247" w:lineRule="auto" w:before="4"/>
              <w:ind w:left="118" w:right="289"/>
              <w:rPr>
                <w:b/>
                <w:sz w:val="20"/>
              </w:rPr>
            </w:pPr>
            <w:r>
              <w:rPr>
                <w:b/>
                <w:spacing w:val="-4"/>
                <w:sz w:val="20"/>
              </w:rPr>
              <w:t>Dosis (µg)</w:t>
            </w:r>
          </w:p>
        </w:tc>
        <w:tc>
          <w:tcPr>
            <w:tcW w:w="1320" w:type="dxa"/>
            <w:tcBorders>
              <w:top w:val="single" w:sz="4" w:space="0" w:color="7D7D7D"/>
              <w:bottom w:val="single" w:sz="4" w:space="0" w:color="7D7D7D"/>
            </w:tcBorders>
          </w:tcPr>
          <w:p>
            <w:pPr>
              <w:pStyle w:val="TableParagraph"/>
              <w:spacing w:line="247" w:lineRule="auto" w:before="4"/>
              <w:ind w:left="298"/>
              <w:rPr>
                <w:b/>
                <w:sz w:val="20"/>
              </w:rPr>
            </w:pPr>
            <w:r>
              <w:rPr>
                <w:b/>
                <w:spacing w:val="-4"/>
                <w:sz w:val="20"/>
              </w:rPr>
              <w:t>Cefalexina (mm)</w:t>
            </w:r>
          </w:p>
        </w:tc>
        <w:tc>
          <w:tcPr>
            <w:tcW w:w="356" w:type="dxa"/>
            <w:tcBorders>
              <w:top w:val="single" w:sz="4" w:space="0" w:color="7D7D7D"/>
              <w:bottom w:val="single" w:sz="4" w:space="0" w:color="7D7D7D"/>
            </w:tcBorders>
          </w:tcPr>
          <w:p>
            <w:pPr>
              <w:pStyle w:val="TableParagraph"/>
              <w:spacing w:line="226" w:lineRule="exact"/>
              <w:ind w:left="127"/>
              <w:rPr>
                <w:b/>
                <w:sz w:val="20"/>
              </w:rPr>
            </w:pPr>
            <w:r>
              <w:rPr>
                <w:b/>
                <w:spacing w:val="-10"/>
                <w:sz w:val="20"/>
              </w:rPr>
              <w:t>+</w:t>
            </w:r>
          </w:p>
        </w:tc>
        <w:tc>
          <w:tcPr>
            <w:tcW w:w="636" w:type="dxa"/>
            <w:tcBorders>
              <w:top w:val="single" w:sz="4" w:space="0" w:color="7D7D7D"/>
              <w:bottom w:val="single" w:sz="4" w:space="0" w:color="7D7D7D"/>
            </w:tcBorders>
          </w:tcPr>
          <w:p>
            <w:pPr>
              <w:pStyle w:val="TableParagraph"/>
              <w:spacing w:line="226" w:lineRule="exact"/>
              <w:ind w:left="111"/>
              <w:rPr>
                <w:b/>
                <w:sz w:val="20"/>
              </w:rPr>
            </w:pPr>
            <w:r>
              <w:rPr>
                <w:b/>
                <w:spacing w:val="-5"/>
                <w:sz w:val="20"/>
              </w:rPr>
              <w:t>CBD</w:t>
            </w:r>
          </w:p>
        </w:tc>
        <w:tc>
          <w:tcPr>
            <w:tcW w:w="1259" w:type="dxa"/>
            <w:tcBorders>
              <w:top w:val="single" w:sz="4" w:space="0" w:color="7D7D7D"/>
              <w:bottom w:val="single" w:sz="4" w:space="0" w:color="7D7D7D"/>
            </w:tcBorders>
          </w:tcPr>
          <w:p>
            <w:pPr>
              <w:pStyle w:val="TableParagraph"/>
              <w:spacing w:line="247" w:lineRule="auto" w:before="4"/>
              <w:ind w:left="107"/>
              <w:rPr>
                <w:b/>
                <w:sz w:val="20"/>
              </w:rPr>
            </w:pPr>
            <w:r>
              <w:rPr>
                <w:b/>
                <w:spacing w:val="-4"/>
                <w:sz w:val="20"/>
              </w:rPr>
              <w:t>Amoxicilina (mm)</w:t>
            </w:r>
          </w:p>
        </w:tc>
        <w:tc>
          <w:tcPr>
            <w:tcW w:w="368" w:type="dxa"/>
            <w:tcBorders>
              <w:top w:val="single" w:sz="4" w:space="0" w:color="7D7D7D"/>
              <w:bottom w:val="single" w:sz="4" w:space="0" w:color="7D7D7D"/>
            </w:tcBorders>
          </w:tcPr>
          <w:p>
            <w:pPr>
              <w:pStyle w:val="TableParagraph"/>
              <w:spacing w:line="226" w:lineRule="exact"/>
              <w:ind w:left="133"/>
              <w:rPr>
                <w:b/>
                <w:sz w:val="20"/>
              </w:rPr>
            </w:pPr>
            <w:r>
              <w:rPr>
                <w:b/>
                <w:spacing w:val="-10"/>
                <w:sz w:val="20"/>
              </w:rPr>
              <w:t>+</w:t>
            </w:r>
          </w:p>
        </w:tc>
        <w:tc>
          <w:tcPr>
            <w:tcW w:w="644" w:type="dxa"/>
            <w:tcBorders>
              <w:top w:val="single" w:sz="4" w:space="0" w:color="7D7D7D"/>
              <w:bottom w:val="single" w:sz="4" w:space="0" w:color="7D7D7D"/>
            </w:tcBorders>
          </w:tcPr>
          <w:p>
            <w:pPr>
              <w:pStyle w:val="TableParagraph"/>
              <w:spacing w:line="226" w:lineRule="exact"/>
              <w:ind w:left="113"/>
              <w:rPr>
                <w:b/>
                <w:sz w:val="20"/>
              </w:rPr>
            </w:pPr>
            <w:r>
              <w:rPr>
                <w:b/>
                <w:spacing w:val="-5"/>
                <w:sz w:val="20"/>
              </w:rPr>
              <w:t>CBD</w:t>
            </w:r>
          </w:p>
        </w:tc>
        <w:tc>
          <w:tcPr>
            <w:tcW w:w="1692" w:type="dxa"/>
            <w:tcBorders>
              <w:top w:val="single" w:sz="4" w:space="0" w:color="7D7D7D"/>
              <w:bottom w:val="single" w:sz="4" w:space="0" w:color="7D7D7D"/>
            </w:tcBorders>
          </w:tcPr>
          <w:p>
            <w:pPr>
              <w:pStyle w:val="TableParagraph"/>
              <w:spacing w:line="247" w:lineRule="auto" w:before="4"/>
              <w:ind w:left="110"/>
              <w:rPr>
                <w:b/>
                <w:sz w:val="20"/>
              </w:rPr>
            </w:pPr>
            <w:r>
              <w:rPr>
                <w:b/>
                <w:spacing w:val="-4"/>
                <w:sz w:val="20"/>
              </w:rPr>
              <w:t>Enrofloxacina+ (mm)</w:t>
            </w:r>
          </w:p>
        </w:tc>
        <w:tc>
          <w:tcPr>
            <w:tcW w:w="817" w:type="dxa"/>
            <w:tcBorders>
              <w:top w:val="single" w:sz="4" w:space="0" w:color="7D7D7D"/>
              <w:bottom w:val="single" w:sz="4" w:space="0" w:color="7D7D7D"/>
            </w:tcBorders>
          </w:tcPr>
          <w:p>
            <w:pPr>
              <w:pStyle w:val="TableParagraph"/>
              <w:spacing w:line="226" w:lineRule="exact"/>
              <w:ind w:left="278"/>
              <w:rPr>
                <w:b/>
                <w:sz w:val="20"/>
              </w:rPr>
            </w:pPr>
            <w:r>
              <w:rPr>
                <w:b/>
                <w:spacing w:val="-5"/>
                <w:sz w:val="20"/>
              </w:rPr>
              <w:t>CBD</w:t>
            </w:r>
          </w:p>
        </w:tc>
      </w:tr>
      <w:tr>
        <w:trPr>
          <w:trHeight w:val="390" w:hRule="atLeast"/>
        </w:trPr>
        <w:tc>
          <w:tcPr>
            <w:tcW w:w="863" w:type="dxa"/>
            <w:tcBorders>
              <w:top w:val="single" w:sz="4" w:space="0" w:color="7D7D7D"/>
              <w:bottom w:val="single" w:sz="4" w:space="0" w:color="7D7D7D"/>
            </w:tcBorders>
          </w:tcPr>
          <w:p>
            <w:pPr>
              <w:pStyle w:val="TableParagraph"/>
              <w:ind w:left="118"/>
              <w:rPr>
                <w:sz w:val="20"/>
              </w:rPr>
            </w:pPr>
            <w:r>
              <w:rPr>
                <w:spacing w:val="-5"/>
                <w:sz w:val="20"/>
              </w:rPr>
              <w:t>250</w:t>
            </w:r>
          </w:p>
        </w:tc>
        <w:tc>
          <w:tcPr>
            <w:tcW w:w="1320" w:type="dxa"/>
            <w:tcBorders>
              <w:top w:val="single" w:sz="4" w:space="0" w:color="7D7D7D"/>
              <w:bottom w:val="single" w:sz="4" w:space="0" w:color="7D7D7D"/>
            </w:tcBorders>
          </w:tcPr>
          <w:p>
            <w:pPr>
              <w:pStyle w:val="TableParagraph"/>
              <w:ind w:left="298"/>
              <w:rPr>
                <w:sz w:val="20"/>
              </w:rPr>
            </w:pPr>
            <w:r>
              <w:rPr>
                <w:spacing w:val="-5"/>
                <w:sz w:val="20"/>
              </w:rPr>
              <w:t>10</w:t>
            </w:r>
          </w:p>
        </w:tc>
        <w:tc>
          <w:tcPr>
            <w:tcW w:w="356" w:type="dxa"/>
            <w:tcBorders>
              <w:top w:val="single" w:sz="4" w:space="0" w:color="7D7D7D"/>
              <w:bottom w:val="single" w:sz="4" w:space="0" w:color="7D7D7D"/>
            </w:tcBorders>
          </w:tcPr>
          <w:p>
            <w:pPr>
              <w:pStyle w:val="TableParagraph"/>
              <w:rPr>
                <w:sz w:val="22"/>
              </w:rPr>
            </w:pPr>
          </w:p>
        </w:tc>
        <w:tc>
          <w:tcPr>
            <w:tcW w:w="636" w:type="dxa"/>
            <w:tcBorders>
              <w:top w:val="single" w:sz="4" w:space="0" w:color="7D7D7D"/>
              <w:bottom w:val="single" w:sz="4" w:space="0" w:color="7D7D7D"/>
            </w:tcBorders>
          </w:tcPr>
          <w:p>
            <w:pPr>
              <w:pStyle w:val="TableParagraph"/>
              <w:rPr>
                <w:sz w:val="22"/>
              </w:rPr>
            </w:pPr>
          </w:p>
        </w:tc>
        <w:tc>
          <w:tcPr>
            <w:tcW w:w="1259" w:type="dxa"/>
            <w:tcBorders>
              <w:top w:val="single" w:sz="4" w:space="0" w:color="7D7D7D"/>
              <w:bottom w:val="single" w:sz="4" w:space="0" w:color="7D7D7D"/>
            </w:tcBorders>
          </w:tcPr>
          <w:p>
            <w:pPr>
              <w:pStyle w:val="TableParagraph"/>
              <w:ind w:left="107"/>
              <w:rPr>
                <w:sz w:val="20"/>
              </w:rPr>
            </w:pPr>
            <w:r>
              <w:rPr>
                <w:spacing w:val="-5"/>
                <w:sz w:val="20"/>
              </w:rPr>
              <w:t>18</w:t>
            </w:r>
          </w:p>
        </w:tc>
        <w:tc>
          <w:tcPr>
            <w:tcW w:w="368" w:type="dxa"/>
            <w:tcBorders>
              <w:top w:val="single" w:sz="4" w:space="0" w:color="7D7D7D"/>
              <w:bottom w:val="single" w:sz="4" w:space="0" w:color="7D7D7D"/>
            </w:tcBorders>
          </w:tcPr>
          <w:p>
            <w:pPr>
              <w:pStyle w:val="TableParagraph"/>
              <w:rPr>
                <w:sz w:val="22"/>
              </w:rPr>
            </w:pPr>
          </w:p>
        </w:tc>
        <w:tc>
          <w:tcPr>
            <w:tcW w:w="644" w:type="dxa"/>
            <w:tcBorders>
              <w:top w:val="single" w:sz="4" w:space="0" w:color="7D7D7D"/>
              <w:bottom w:val="single" w:sz="4" w:space="0" w:color="7D7D7D"/>
            </w:tcBorders>
          </w:tcPr>
          <w:p>
            <w:pPr>
              <w:pStyle w:val="TableParagraph"/>
              <w:rPr>
                <w:sz w:val="22"/>
              </w:rPr>
            </w:pPr>
          </w:p>
        </w:tc>
        <w:tc>
          <w:tcPr>
            <w:tcW w:w="1692" w:type="dxa"/>
            <w:tcBorders>
              <w:top w:val="single" w:sz="4" w:space="0" w:color="7D7D7D"/>
              <w:bottom w:val="single" w:sz="4" w:space="0" w:color="7D7D7D"/>
            </w:tcBorders>
          </w:tcPr>
          <w:p>
            <w:pPr>
              <w:pStyle w:val="TableParagraph"/>
              <w:ind w:left="110"/>
              <w:rPr>
                <w:sz w:val="20"/>
              </w:rPr>
            </w:pPr>
            <w:r>
              <w:rPr>
                <w:spacing w:val="-5"/>
                <w:sz w:val="20"/>
              </w:rPr>
              <w:t>28</w:t>
            </w:r>
          </w:p>
        </w:tc>
        <w:tc>
          <w:tcPr>
            <w:tcW w:w="817" w:type="dxa"/>
            <w:tcBorders>
              <w:top w:val="single" w:sz="4" w:space="0" w:color="7D7D7D"/>
              <w:bottom w:val="single" w:sz="4" w:space="0" w:color="7D7D7D"/>
            </w:tcBorders>
          </w:tcPr>
          <w:p>
            <w:pPr>
              <w:pStyle w:val="TableParagraph"/>
              <w:rPr>
                <w:sz w:val="22"/>
              </w:rPr>
            </w:pPr>
          </w:p>
        </w:tc>
      </w:tr>
      <w:tr>
        <w:trPr>
          <w:trHeight w:val="390" w:hRule="atLeast"/>
        </w:trPr>
        <w:tc>
          <w:tcPr>
            <w:tcW w:w="863" w:type="dxa"/>
            <w:tcBorders>
              <w:top w:val="single" w:sz="4" w:space="0" w:color="7D7D7D"/>
              <w:bottom w:val="single" w:sz="4" w:space="0" w:color="7D7D7D"/>
            </w:tcBorders>
          </w:tcPr>
          <w:p>
            <w:pPr>
              <w:pStyle w:val="TableParagraph"/>
              <w:ind w:left="118"/>
              <w:rPr>
                <w:sz w:val="20"/>
              </w:rPr>
            </w:pPr>
            <w:r>
              <w:rPr>
                <w:spacing w:val="-5"/>
                <w:sz w:val="20"/>
              </w:rPr>
              <w:t>200</w:t>
            </w:r>
          </w:p>
        </w:tc>
        <w:tc>
          <w:tcPr>
            <w:tcW w:w="1320" w:type="dxa"/>
            <w:tcBorders>
              <w:top w:val="single" w:sz="4" w:space="0" w:color="7D7D7D"/>
              <w:bottom w:val="single" w:sz="4" w:space="0" w:color="7D7D7D"/>
            </w:tcBorders>
          </w:tcPr>
          <w:p>
            <w:pPr>
              <w:pStyle w:val="TableParagraph"/>
              <w:ind w:left="298"/>
              <w:rPr>
                <w:sz w:val="20"/>
              </w:rPr>
            </w:pPr>
            <w:r>
              <w:rPr>
                <w:spacing w:val="-5"/>
                <w:sz w:val="20"/>
              </w:rPr>
              <w:t>11</w:t>
            </w:r>
          </w:p>
        </w:tc>
        <w:tc>
          <w:tcPr>
            <w:tcW w:w="356" w:type="dxa"/>
            <w:tcBorders>
              <w:top w:val="single" w:sz="4" w:space="0" w:color="7D7D7D"/>
              <w:bottom w:val="single" w:sz="4" w:space="0" w:color="7D7D7D"/>
            </w:tcBorders>
          </w:tcPr>
          <w:p>
            <w:pPr>
              <w:pStyle w:val="TableParagraph"/>
              <w:rPr>
                <w:sz w:val="22"/>
              </w:rPr>
            </w:pPr>
          </w:p>
        </w:tc>
        <w:tc>
          <w:tcPr>
            <w:tcW w:w="636" w:type="dxa"/>
            <w:tcBorders>
              <w:top w:val="single" w:sz="4" w:space="0" w:color="7D7D7D"/>
              <w:bottom w:val="single" w:sz="4" w:space="0" w:color="7D7D7D"/>
            </w:tcBorders>
          </w:tcPr>
          <w:p>
            <w:pPr>
              <w:pStyle w:val="TableParagraph"/>
              <w:rPr>
                <w:sz w:val="22"/>
              </w:rPr>
            </w:pPr>
          </w:p>
        </w:tc>
        <w:tc>
          <w:tcPr>
            <w:tcW w:w="1259" w:type="dxa"/>
            <w:tcBorders>
              <w:top w:val="single" w:sz="4" w:space="0" w:color="7D7D7D"/>
              <w:bottom w:val="single" w:sz="4" w:space="0" w:color="7D7D7D"/>
            </w:tcBorders>
          </w:tcPr>
          <w:p>
            <w:pPr>
              <w:pStyle w:val="TableParagraph"/>
              <w:ind w:left="107"/>
              <w:rPr>
                <w:sz w:val="20"/>
              </w:rPr>
            </w:pPr>
            <w:r>
              <w:rPr>
                <w:spacing w:val="-5"/>
                <w:sz w:val="20"/>
              </w:rPr>
              <w:t>19</w:t>
            </w:r>
          </w:p>
        </w:tc>
        <w:tc>
          <w:tcPr>
            <w:tcW w:w="368" w:type="dxa"/>
            <w:tcBorders>
              <w:top w:val="single" w:sz="4" w:space="0" w:color="7D7D7D"/>
              <w:bottom w:val="single" w:sz="4" w:space="0" w:color="7D7D7D"/>
            </w:tcBorders>
          </w:tcPr>
          <w:p>
            <w:pPr>
              <w:pStyle w:val="TableParagraph"/>
              <w:rPr>
                <w:sz w:val="22"/>
              </w:rPr>
            </w:pPr>
          </w:p>
        </w:tc>
        <w:tc>
          <w:tcPr>
            <w:tcW w:w="644" w:type="dxa"/>
            <w:tcBorders>
              <w:top w:val="single" w:sz="4" w:space="0" w:color="7D7D7D"/>
              <w:bottom w:val="single" w:sz="4" w:space="0" w:color="7D7D7D"/>
            </w:tcBorders>
          </w:tcPr>
          <w:p>
            <w:pPr>
              <w:pStyle w:val="TableParagraph"/>
              <w:rPr>
                <w:sz w:val="22"/>
              </w:rPr>
            </w:pPr>
          </w:p>
        </w:tc>
        <w:tc>
          <w:tcPr>
            <w:tcW w:w="1692" w:type="dxa"/>
            <w:tcBorders>
              <w:top w:val="single" w:sz="4" w:space="0" w:color="7D7D7D"/>
              <w:bottom w:val="single" w:sz="4" w:space="0" w:color="7D7D7D"/>
            </w:tcBorders>
          </w:tcPr>
          <w:p>
            <w:pPr>
              <w:pStyle w:val="TableParagraph"/>
              <w:ind w:left="110"/>
              <w:rPr>
                <w:sz w:val="20"/>
              </w:rPr>
            </w:pPr>
            <w:r>
              <w:rPr>
                <w:spacing w:val="-5"/>
                <w:sz w:val="20"/>
              </w:rPr>
              <w:t>29</w:t>
            </w:r>
          </w:p>
        </w:tc>
        <w:tc>
          <w:tcPr>
            <w:tcW w:w="817" w:type="dxa"/>
            <w:tcBorders>
              <w:top w:val="single" w:sz="4" w:space="0" w:color="7D7D7D"/>
              <w:bottom w:val="single" w:sz="4" w:space="0" w:color="7D7D7D"/>
            </w:tcBorders>
          </w:tcPr>
          <w:p>
            <w:pPr>
              <w:pStyle w:val="TableParagraph"/>
              <w:rPr>
                <w:sz w:val="22"/>
              </w:rPr>
            </w:pPr>
          </w:p>
        </w:tc>
      </w:tr>
      <w:tr>
        <w:trPr>
          <w:trHeight w:val="390" w:hRule="atLeast"/>
        </w:trPr>
        <w:tc>
          <w:tcPr>
            <w:tcW w:w="863" w:type="dxa"/>
            <w:tcBorders>
              <w:top w:val="single" w:sz="4" w:space="0" w:color="7D7D7D"/>
              <w:bottom w:val="single" w:sz="4" w:space="0" w:color="7D7D7D"/>
            </w:tcBorders>
          </w:tcPr>
          <w:p>
            <w:pPr>
              <w:pStyle w:val="TableParagraph"/>
              <w:ind w:left="118"/>
              <w:rPr>
                <w:sz w:val="20"/>
              </w:rPr>
            </w:pPr>
            <w:r>
              <w:rPr>
                <w:spacing w:val="-5"/>
                <w:sz w:val="20"/>
              </w:rPr>
              <w:t>125</w:t>
            </w:r>
          </w:p>
        </w:tc>
        <w:tc>
          <w:tcPr>
            <w:tcW w:w="1320" w:type="dxa"/>
            <w:tcBorders>
              <w:top w:val="single" w:sz="4" w:space="0" w:color="7D7D7D"/>
              <w:bottom w:val="single" w:sz="4" w:space="0" w:color="7D7D7D"/>
            </w:tcBorders>
          </w:tcPr>
          <w:p>
            <w:pPr>
              <w:pStyle w:val="TableParagraph"/>
              <w:ind w:left="298"/>
              <w:rPr>
                <w:sz w:val="20"/>
              </w:rPr>
            </w:pPr>
            <w:r>
              <w:rPr>
                <w:spacing w:val="-5"/>
                <w:sz w:val="20"/>
              </w:rPr>
              <w:t>09</w:t>
            </w:r>
          </w:p>
        </w:tc>
        <w:tc>
          <w:tcPr>
            <w:tcW w:w="356" w:type="dxa"/>
            <w:tcBorders>
              <w:top w:val="single" w:sz="4" w:space="0" w:color="7D7D7D"/>
              <w:bottom w:val="single" w:sz="4" w:space="0" w:color="7D7D7D"/>
            </w:tcBorders>
          </w:tcPr>
          <w:p>
            <w:pPr>
              <w:pStyle w:val="TableParagraph"/>
              <w:rPr>
                <w:sz w:val="22"/>
              </w:rPr>
            </w:pPr>
          </w:p>
        </w:tc>
        <w:tc>
          <w:tcPr>
            <w:tcW w:w="636" w:type="dxa"/>
            <w:tcBorders>
              <w:top w:val="single" w:sz="4" w:space="0" w:color="7D7D7D"/>
              <w:bottom w:val="single" w:sz="4" w:space="0" w:color="7D7D7D"/>
            </w:tcBorders>
          </w:tcPr>
          <w:p>
            <w:pPr>
              <w:pStyle w:val="TableParagraph"/>
              <w:rPr>
                <w:sz w:val="22"/>
              </w:rPr>
            </w:pPr>
          </w:p>
        </w:tc>
        <w:tc>
          <w:tcPr>
            <w:tcW w:w="1259" w:type="dxa"/>
            <w:tcBorders>
              <w:top w:val="single" w:sz="4" w:space="0" w:color="7D7D7D"/>
              <w:bottom w:val="single" w:sz="4" w:space="0" w:color="7D7D7D"/>
            </w:tcBorders>
          </w:tcPr>
          <w:p>
            <w:pPr>
              <w:pStyle w:val="TableParagraph"/>
              <w:ind w:left="107"/>
              <w:rPr>
                <w:sz w:val="20"/>
              </w:rPr>
            </w:pPr>
            <w:r>
              <w:rPr>
                <w:spacing w:val="-5"/>
                <w:sz w:val="20"/>
              </w:rPr>
              <w:t>17</w:t>
            </w:r>
          </w:p>
        </w:tc>
        <w:tc>
          <w:tcPr>
            <w:tcW w:w="368" w:type="dxa"/>
            <w:tcBorders>
              <w:top w:val="single" w:sz="4" w:space="0" w:color="7D7D7D"/>
              <w:bottom w:val="single" w:sz="4" w:space="0" w:color="7D7D7D"/>
            </w:tcBorders>
          </w:tcPr>
          <w:p>
            <w:pPr>
              <w:pStyle w:val="TableParagraph"/>
              <w:rPr>
                <w:sz w:val="22"/>
              </w:rPr>
            </w:pPr>
          </w:p>
        </w:tc>
        <w:tc>
          <w:tcPr>
            <w:tcW w:w="644" w:type="dxa"/>
            <w:tcBorders>
              <w:top w:val="single" w:sz="4" w:space="0" w:color="7D7D7D"/>
              <w:bottom w:val="single" w:sz="4" w:space="0" w:color="7D7D7D"/>
            </w:tcBorders>
          </w:tcPr>
          <w:p>
            <w:pPr>
              <w:pStyle w:val="TableParagraph"/>
              <w:rPr>
                <w:sz w:val="22"/>
              </w:rPr>
            </w:pPr>
          </w:p>
        </w:tc>
        <w:tc>
          <w:tcPr>
            <w:tcW w:w="1692" w:type="dxa"/>
            <w:tcBorders>
              <w:top w:val="single" w:sz="4" w:space="0" w:color="7D7D7D"/>
              <w:bottom w:val="single" w:sz="4" w:space="0" w:color="7D7D7D"/>
            </w:tcBorders>
          </w:tcPr>
          <w:p>
            <w:pPr>
              <w:pStyle w:val="TableParagraph"/>
              <w:ind w:left="110"/>
              <w:rPr>
                <w:sz w:val="20"/>
              </w:rPr>
            </w:pPr>
            <w:r>
              <w:rPr>
                <w:spacing w:val="-5"/>
                <w:sz w:val="20"/>
              </w:rPr>
              <w:t>27</w:t>
            </w:r>
          </w:p>
        </w:tc>
        <w:tc>
          <w:tcPr>
            <w:tcW w:w="817" w:type="dxa"/>
            <w:tcBorders>
              <w:top w:val="single" w:sz="4" w:space="0" w:color="7D7D7D"/>
              <w:bottom w:val="single" w:sz="4" w:space="0" w:color="7D7D7D"/>
            </w:tcBorders>
          </w:tcPr>
          <w:p>
            <w:pPr>
              <w:pStyle w:val="TableParagraph"/>
              <w:rPr>
                <w:sz w:val="22"/>
              </w:rPr>
            </w:pPr>
          </w:p>
        </w:tc>
      </w:tr>
      <w:tr>
        <w:trPr>
          <w:trHeight w:val="390" w:hRule="atLeast"/>
        </w:trPr>
        <w:tc>
          <w:tcPr>
            <w:tcW w:w="863" w:type="dxa"/>
            <w:tcBorders>
              <w:top w:val="single" w:sz="4" w:space="0" w:color="7D7D7D"/>
              <w:bottom w:val="single" w:sz="4" w:space="0" w:color="7D7D7D"/>
            </w:tcBorders>
          </w:tcPr>
          <w:p>
            <w:pPr>
              <w:pStyle w:val="TableParagraph"/>
              <w:ind w:left="118"/>
              <w:rPr>
                <w:sz w:val="20"/>
              </w:rPr>
            </w:pPr>
            <w:r>
              <w:rPr>
                <w:spacing w:val="-5"/>
                <w:sz w:val="20"/>
              </w:rPr>
              <w:t>50</w:t>
            </w:r>
          </w:p>
        </w:tc>
        <w:tc>
          <w:tcPr>
            <w:tcW w:w="1320" w:type="dxa"/>
            <w:tcBorders>
              <w:top w:val="single" w:sz="4" w:space="0" w:color="7D7D7D"/>
              <w:bottom w:val="single" w:sz="4" w:space="0" w:color="7D7D7D"/>
            </w:tcBorders>
          </w:tcPr>
          <w:p>
            <w:pPr>
              <w:pStyle w:val="TableParagraph"/>
              <w:ind w:left="298"/>
              <w:rPr>
                <w:sz w:val="20"/>
              </w:rPr>
            </w:pPr>
            <w:r>
              <w:rPr>
                <w:spacing w:val="-5"/>
                <w:sz w:val="20"/>
              </w:rPr>
              <w:t>10</w:t>
            </w:r>
          </w:p>
        </w:tc>
        <w:tc>
          <w:tcPr>
            <w:tcW w:w="356" w:type="dxa"/>
            <w:tcBorders>
              <w:top w:val="single" w:sz="4" w:space="0" w:color="7D7D7D"/>
              <w:bottom w:val="single" w:sz="4" w:space="0" w:color="7D7D7D"/>
            </w:tcBorders>
          </w:tcPr>
          <w:p>
            <w:pPr>
              <w:pStyle w:val="TableParagraph"/>
              <w:rPr>
                <w:sz w:val="22"/>
              </w:rPr>
            </w:pPr>
          </w:p>
        </w:tc>
        <w:tc>
          <w:tcPr>
            <w:tcW w:w="636" w:type="dxa"/>
            <w:tcBorders>
              <w:top w:val="single" w:sz="4" w:space="0" w:color="7D7D7D"/>
              <w:bottom w:val="single" w:sz="4" w:space="0" w:color="7D7D7D"/>
            </w:tcBorders>
          </w:tcPr>
          <w:p>
            <w:pPr>
              <w:pStyle w:val="TableParagraph"/>
              <w:rPr>
                <w:sz w:val="22"/>
              </w:rPr>
            </w:pPr>
          </w:p>
        </w:tc>
        <w:tc>
          <w:tcPr>
            <w:tcW w:w="1259" w:type="dxa"/>
            <w:tcBorders>
              <w:top w:val="single" w:sz="4" w:space="0" w:color="7D7D7D"/>
              <w:bottom w:val="single" w:sz="4" w:space="0" w:color="7D7D7D"/>
            </w:tcBorders>
          </w:tcPr>
          <w:p>
            <w:pPr>
              <w:pStyle w:val="TableParagraph"/>
              <w:ind w:left="107"/>
              <w:rPr>
                <w:sz w:val="20"/>
              </w:rPr>
            </w:pPr>
            <w:r>
              <w:rPr>
                <w:spacing w:val="-5"/>
                <w:sz w:val="20"/>
              </w:rPr>
              <w:t>18</w:t>
            </w:r>
          </w:p>
        </w:tc>
        <w:tc>
          <w:tcPr>
            <w:tcW w:w="368" w:type="dxa"/>
            <w:tcBorders>
              <w:top w:val="single" w:sz="4" w:space="0" w:color="7D7D7D"/>
              <w:bottom w:val="single" w:sz="4" w:space="0" w:color="7D7D7D"/>
            </w:tcBorders>
          </w:tcPr>
          <w:p>
            <w:pPr>
              <w:pStyle w:val="TableParagraph"/>
              <w:rPr>
                <w:sz w:val="22"/>
              </w:rPr>
            </w:pPr>
          </w:p>
        </w:tc>
        <w:tc>
          <w:tcPr>
            <w:tcW w:w="644" w:type="dxa"/>
            <w:tcBorders>
              <w:top w:val="single" w:sz="4" w:space="0" w:color="7D7D7D"/>
              <w:bottom w:val="single" w:sz="4" w:space="0" w:color="7D7D7D"/>
            </w:tcBorders>
          </w:tcPr>
          <w:p>
            <w:pPr>
              <w:pStyle w:val="TableParagraph"/>
              <w:rPr>
                <w:sz w:val="22"/>
              </w:rPr>
            </w:pPr>
          </w:p>
        </w:tc>
        <w:tc>
          <w:tcPr>
            <w:tcW w:w="1692" w:type="dxa"/>
            <w:tcBorders>
              <w:top w:val="single" w:sz="4" w:space="0" w:color="7D7D7D"/>
              <w:bottom w:val="single" w:sz="4" w:space="0" w:color="7D7D7D"/>
            </w:tcBorders>
          </w:tcPr>
          <w:p>
            <w:pPr>
              <w:pStyle w:val="TableParagraph"/>
              <w:ind w:left="110"/>
              <w:rPr>
                <w:sz w:val="20"/>
              </w:rPr>
            </w:pPr>
            <w:r>
              <w:rPr>
                <w:spacing w:val="-5"/>
                <w:sz w:val="20"/>
              </w:rPr>
              <w:t>28</w:t>
            </w:r>
          </w:p>
        </w:tc>
        <w:tc>
          <w:tcPr>
            <w:tcW w:w="817" w:type="dxa"/>
            <w:tcBorders>
              <w:top w:val="single" w:sz="4" w:space="0" w:color="7D7D7D"/>
              <w:bottom w:val="single" w:sz="4" w:space="0" w:color="7D7D7D"/>
            </w:tcBorders>
          </w:tcPr>
          <w:p>
            <w:pPr>
              <w:pStyle w:val="TableParagraph"/>
              <w:rPr>
                <w:sz w:val="22"/>
              </w:rPr>
            </w:pPr>
          </w:p>
        </w:tc>
      </w:tr>
      <w:tr>
        <w:trPr>
          <w:trHeight w:val="390" w:hRule="atLeast"/>
        </w:trPr>
        <w:tc>
          <w:tcPr>
            <w:tcW w:w="863" w:type="dxa"/>
            <w:tcBorders>
              <w:top w:val="single" w:sz="4" w:space="0" w:color="7D7D7D"/>
              <w:bottom w:val="single" w:sz="4" w:space="0" w:color="7D7D7D"/>
            </w:tcBorders>
          </w:tcPr>
          <w:p>
            <w:pPr>
              <w:pStyle w:val="TableParagraph"/>
              <w:ind w:left="118"/>
              <w:rPr>
                <w:sz w:val="20"/>
              </w:rPr>
            </w:pPr>
            <w:r>
              <w:rPr>
                <w:spacing w:val="-5"/>
                <w:sz w:val="20"/>
              </w:rPr>
              <w:t>15</w:t>
            </w:r>
          </w:p>
        </w:tc>
        <w:tc>
          <w:tcPr>
            <w:tcW w:w="1320" w:type="dxa"/>
            <w:tcBorders>
              <w:top w:val="single" w:sz="4" w:space="0" w:color="7D7D7D"/>
              <w:bottom w:val="single" w:sz="4" w:space="0" w:color="7D7D7D"/>
            </w:tcBorders>
          </w:tcPr>
          <w:p>
            <w:pPr>
              <w:pStyle w:val="TableParagraph"/>
              <w:ind w:left="298"/>
              <w:rPr>
                <w:sz w:val="20"/>
              </w:rPr>
            </w:pPr>
            <w:r>
              <w:rPr>
                <w:spacing w:val="-5"/>
                <w:sz w:val="20"/>
              </w:rPr>
              <w:t>11</w:t>
            </w:r>
          </w:p>
        </w:tc>
        <w:tc>
          <w:tcPr>
            <w:tcW w:w="356" w:type="dxa"/>
            <w:tcBorders>
              <w:top w:val="single" w:sz="4" w:space="0" w:color="7D7D7D"/>
              <w:bottom w:val="single" w:sz="4" w:space="0" w:color="7D7D7D"/>
            </w:tcBorders>
          </w:tcPr>
          <w:p>
            <w:pPr>
              <w:pStyle w:val="TableParagraph"/>
              <w:rPr>
                <w:sz w:val="22"/>
              </w:rPr>
            </w:pPr>
          </w:p>
        </w:tc>
        <w:tc>
          <w:tcPr>
            <w:tcW w:w="636" w:type="dxa"/>
            <w:tcBorders>
              <w:top w:val="single" w:sz="4" w:space="0" w:color="7D7D7D"/>
              <w:bottom w:val="single" w:sz="4" w:space="0" w:color="7D7D7D"/>
            </w:tcBorders>
          </w:tcPr>
          <w:p>
            <w:pPr>
              <w:pStyle w:val="TableParagraph"/>
              <w:rPr>
                <w:sz w:val="22"/>
              </w:rPr>
            </w:pPr>
          </w:p>
        </w:tc>
        <w:tc>
          <w:tcPr>
            <w:tcW w:w="1259" w:type="dxa"/>
            <w:tcBorders>
              <w:top w:val="single" w:sz="4" w:space="0" w:color="7D7D7D"/>
              <w:bottom w:val="single" w:sz="4" w:space="0" w:color="7D7D7D"/>
            </w:tcBorders>
          </w:tcPr>
          <w:p>
            <w:pPr>
              <w:pStyle w:val="TableParagraph"/>
              <w:ind w:left="107"/>
              <w:rPr>
                <w:sz w:val="20"/>
              </w:rPr>
            </w:pPr>
            <w:r>
              <w:rPr>
                <w:spacing w:val="-5"/>
                <w:sz w:val="20"/>
              </w:rPr>
              <w:t>19</w:t>
            </w:r>
          </w:p>
        </w:tc>
        <w:tc>
          <w:tcPr>
            <w:tcW w:w="368" w:type="dxa"/>
            <w:tcBorders>
              <w:top w:val="single" w:sz="4" w:space="0" w:color="7D7D7D"/>
              <w:bottom w:val="single" w:sz="4" w:space="0" w:color="7D7D7D"/>
            </w:tcBorders>
          </w:tcPr>
          <w:p>
            <w:pPr>
              <w:pStyle w:val="TableParagraph"/>
              <w:rPr>
                <w:sz w:val="22"/>
              </w:rPr>
            </w:pPr>
          </w:p>
        </w:tc>
        <w:tc>
          <w:tcPr>
            <w:tcW w:w="644" w:type="dxa"/>
            <w:tcBorders>
              <w:top w:val="single" w:sz="4" w:space="0" w:color="7D7D7D"/>
              <w:bottom w:val="single" w:sz="4" w:space="0" w:color="7D7D7D"/>
            </w:tcBorders>
          </w:tcPr>
          <w:p>
            <w:pPr>
              <w:pStyle w:val="TableParagraph"/>
              <w:rPr>
                <w:sz w:val="22"/>
              </w:rPr>
            </w:pPr>
          </w:p>
        </w:tc>
        <w:tc>
          <w:tcPr>
            <w:tcW w:w="1692" w:type="dxa"/>
            <w:tcBorders>
              <w:top w:val="single" w:sz="4" w:space="0" w:color="7D7D7D"/>
              <w:bottom w:val="single" w:sz="4" w:space="0" w:color="7D7D7D"/>
            </w:tcBorders>
          </w:tcPr>
          <w:p>
            <w:pPr>
              <w:pStyle w:val="TableParagraph"/>
              <w:ind w:left="110"/>
              <w:rPr>
                <w:sz w:val="20"/>
              </w:rPr>
            </w:pPr>
            <w:r>
              <w:rPr>
                <w:spacing w:val="-5"/>
                <w:sz w:val="20"/>
              </w:rPr>
              <w:t>29</w:t>
            </w:r>
          </w:p>
        </w:tc>
        <w:tc>
          <w:tcPr>
            <w:tcW w:w="817" w:type="dxa"/>
            <w:tcBorders>
              <w:top w:val="single" w:sz="4" w:space="0" w:color="7D7D7D"/>
              <w:bottom w:val="single" w:sz="4" w:space="0" w:color="7D7D7D"/>
            </w:tcBorders>
          </w:tcPr>
          <w:p>
            <w:pPr>
              <w:pStyle w:val="TableParagraph"/>
              <w:rPr>
                <w:sz w:val="22"/>
              </w:rPr>
            </w:pPr>
          </w:p>
        </w:tc>
      </w:tr>
      <w:tr>
        <w:trPr>
          <w:trHeight w:val="393" w:hRule="atLeast"/>
        </w:trPr>
        <w:tc>
          <w:tcPr>
            <w:tcW w:w="863" w:type="dxa"/>
            <w:tcBorders>
              <w:top w:val="single" w:sz="4" w:space="0" w:color="7D7D7D"/>
              <w:bottom w:val="single" w:sz="4" w:space="0" w:color="7D7D7D"/>
            </w:tcBorders>
          </w:tcPr>
          <w:p>
            <w:pPr>
              <w:pStyle w:val="TableParagraph"/>
              <w:ind w:left="118"/>
              <w:rPr>
                <w:sz w:val="20"/>
              </w:rPr>
            </w:pPr>
            <w:r>
              <w:rPr>
                <w:spacing w:val="-10"/>
                <w:sz w:val="20"/>
              </w:rPr>
              <w:t>5</w:t>
            </w:r>
          </w:p>
        </w:tc>
        <w:tc>
          <w:tcPr>
            <w:tcW w:w="1320" w:type="dxa"/>
            <w:tcBorders>
              <w:top w:val="single" w:sz="4" w:space="0" w:color="7D7D7D"/>
              <w:bottom w:val="single" w:sz="4" w:space="0" w:color="7D7D7D"/>
            </w:tcBorders>
          </w:tcPr>
          <w:p>
            <w:pPr>
              <w:pStyle w:val="TableParagraph"/>
              <w:ind w:left="298"/>
              <w:rPr>
                <w:sz w:val="20"/>
              </w:rPr>
            </w:pPr>
            <w:r>
              <w:rPr>
                <w:spacing w:val="-10"/>
                <w:sz w:val="20"/>
              </w:rPr>
              <w:t>5</w:t>
            </w:r>
          </w:p>
        </w:tc>
        <w:tc>
          <w:tcPr>
            <w:tcW w:w="356" w:type="dxa"/>
            <w:tcBorders>
              <w:top w:val="single" w:sz="4" w:space="0" w:color="7D7D7D"/>
              <w:bottom w:val="single" w:sz="4" w:space="0" w:color="7D7D7D"/>
            </w:tcBorders>
          </w:tcPr>
          <w:p>
            <w:pPr>
              <w:pStyle w:val="TableParagraph"/>
              <w:rPr>
                <w:sz w:val="22"/>
              </w:rPr>
            </w:pPr>
          </w:p>
        </w:tc>
        <w:tc>
          <w:tcPr>
            <w:tcW w:w="636" w:type="dxa"/>
            <w:tcBorders>
              <w:top w:val="single" w:sz="4" w:space="0" w:color="7D7D7D"/>
              <w:bottom w:val="single" w:sz="4" w:space="0" w:color="7D7D7D"/>
            </w:tcBorders>
          </w:tcPr>
          <w:p>
            <w:pPr>
              <w:pStyle w:val="TableParagraph"/>
              <w:rPr>
                <w:sz w:val="22"/>
              </w:rPr>
            </w:pPr>
          </w:p>
        </w:tc>
        <w:tc>
          <w:tcPr>
            <w:tcW w:w="1259" w:type="dxa"/>
            <w:tcBorders>
              <w:top w:val="single" w:sz="4" w:space="0" w:color="7D7D7D"/>
              <w:bottom w:val="single" w:sz="4" w:space="0" w:color="7D7D7D"/>
            </w:tcBorders>
          </w:tcPr>
          <w:p>
            <w:pPr>
              <w:pStyle w:val="TableParagraph"/>
              <w:ind w:left="107"/>
              <w:rPr>
                <w:sz w:val="20"/>
              </w:rPr>
            </w:pPr>
            <w:r>
              <w:rPr>
                <w:spacing w:val="-10"/>
                <w:sz w:val="20"/>
              </w:rPr>
              <w:t>4</w:t>
            </w:r>
          </w:p>
        </w:tc>
        <w:tc>
          <w:tcPr>
            <w:tcW w:w="368" w:type="dxa"/>
            <w:tcBorders>
              <w:top w:val="single" w:sz="4" w:space="0" w:color="7D7D7D"/>
              <w:bottom w:val="single" w:sz="4" w:space="0" w:color="7D7D7D"/>
            </w:tcBorders>
          </w:tcPr>
          <w:p>
            <w:pPr>
              <w:pStyle w:val="TableParagraph"/>
              <w:rPr>
                <w:sz w:val="22"/>
              </w:rPr>
            </w:pPr>
          </w:p>
        </w:tc>
        <w:tc>
          <w:tcPr>
            <w:tcW w:w="644" w:type="dxa"/>
            <w:tcBorders>
              <w:top w:val="single" w:sz="4" w:space="0" w:color="7D7D7D"/>
              <w:bottom w:val="single" w:sz="4" w:space="0" w:color="7D7D7D"/>
            </w:tcBorders>
          </w:tcPr>
          <w:p>
            <w:pPr>
              <w:pStyle w:val="TableParagraph"/>
              <w:rPr>
                <w:sz w:val="22"/>
              </w:rPr>
            </w:pPr>
          </w:p>
        </w:tc>
        <w:tc>
          <w:tcPr>
            <w:tcW w:w="1692" w:type="dxa"/>
            <w:tcBorders>
              <w:top w:val="single" w:sz="4" w:space="0" w:color="7D7D7D"/>
              <w:bottom w:val="single" w:sz="4" w:space="0" w:color="7D7D7D"/>
            </w:tcBorders>
          </w:tcPr>
          <w:p>
            <w:pPr>
              <w:pStyle w:val="TableParagraph"/>
              <w:ind w:left="110"/>
              <w:rPr>
                <w:sz w:val="20"/>
              </w:rPr>
            </w:pPr>
            <w:r>
              <w:rPr>
                <w:spacing w:val="-10"/>
                <w:sz w:val="20"/>
              </w:rPr>
              <w:t>6</w:t>
            </w:r>
          </w:p>
        </w:tc>
        <w:tc>
          <w:tcPr>
            <w:tcW w:w="817" w:type="dxa"/>
            <w:tcBorders>
              <w:top w:val="single" w:sz="4" w:space="0" w:color="7D7D7D"/>
              <w:bottom w:val="single" w:sz="4" w:space="0" w:color="7D7D7D"/>
            </w:tcBorders>
          </w:tcPr>
          <w:p>
            <w:pPr>
              <w:pStyle w:val="TableParagraph"/>
              <w:rPr>
                <w:sz w:val="22"/>
              </w:rPr>
            </w:pPr>
          </w:p>
        </w:tc>
      </w:tr>
    </w:tbl>
    <w:p>
      <w:pPr>
        <w:spacing w:line="242" w:lineRule="auto" w:before="0"/>
        <w:ind w:left="994" w:right="709" w:firstLine="0"/>
        <w:jc w:val="both"/>
        <w:rPr>
          <w:sz w:val="20"/>
        </w:rPr>
      </w:pPr>
      <w:r>
        <w:rPr>
          <w:i/>
          <w:sz w:val="20"/>
        </w:rPr>
        <w:t>Nota. </w:t>
      </w:r>
      <w:r>
        <w:rPr>
          <w:sz w:val="20"/>
        </w:rPr>
        <w:t>Ensayos</w:t>
      </w:r>
      <w:r>
        <w:rPr>
          <w:spacing w:val="-5"/>
          <w:sz w:val="20"/>
        </w:rPr>
        <w:t> </w:t>
      </w:r>
      <w:r>
        <w:rPr>
          <w:sz w:val="20"/>
        </w:rPr>
        <w:t>de</w:t>
      </w:r>
      <w:r>
        <w:rPr>
          <w:spacing w:val="-3"/>
          <w:sz w:val="20"/>
        </w:rPr>
        <w:t> </w:t>
      </w:r>
      <w:r>
        <w:rPr>
          <w:sz w:val="20"/>
        </w:rPr>
        <w:t>sensibilidad</w:t>
      </w:r>
      <w:r>
        <w:rPr>
          <w:spacing w:val="-3"/>
          <w:sz w:val="20"/>
        </w:rPr>
        <w:t> </w:t>
      </w:r>
      <w:r>
        <w:rPr>
          <w:sz w:val="20"/>
        </w:rPr>
        <w:t>antimicrobiana</w:t>
      </w:r>
      <w:r>
        <w:rPr>
          <w:spacing w:val="-4"/>
          <w:sz w:val="20"/>
        </w:rPr>
        <w:t> </w:t>
      </w:r>
      <w:r>
        <w:rPr>
          <w:sz w:val="20"/>
        </w:rPr>
        <w:t>realizados</w:t>
      </w:r>
      <w:r>
        <w:rPr>
          <w:spacing w:val="-5"/>
          <w:sz w:val="20"/>
        </w:rPr>
        <w:t> </w:t>
      </w:r>
      <w:r>
        <w:rPr>
          <w:sz w:val="20"/>
        </w:rPr>
        <w:t>en</w:t>
      </w:r>
      <w:r>
        <w:rPr>
          <w:spacing w:val="-3"/>
          <w:sz w:val="20"/>
        </w:rPr>
        <w:t> </w:t>
      </w:r>
      <w:r>
        <w:rPr>
          <w:sz w:val="20"/>
        </w:rPr>
        <w:t>el</w:t>
      </w:r>
      <w:r>
        <w:rPr>
          <w:spacing w:val="-2"/>
          <w:sz w:val="20"/>
        </w:rPr>
        <w:t> </w:t>
      </w:r>
      <w:r>
        <w:rPr>
          <w:sz w:val="20"/>
        </w:rPr>
        <w:t>laboratorio</w:t>
      </w:r>
      <w:r>
        <w:rPr>
          <w:spacing w:val="-2"/>
          <w:sz w:val="20"/>
        </w:rPr>
        <w:t> </w:t>
      </w:r>
      <w:r>
        <w:rPr>
          <w:sz w:val="20"/>
        </w:rPr>
        <w:t>de</w:t>
      </w:r>
      <w:r>
        <w:rPr>
          <w:spacing w:val="-7"/>
          <w:sz w:val="20"/>
        </w:rPr>
        <w:t> </w:t>
      </w:r>
      <w:r>
        <w:rPr>
          <w:sz w:val="20"/>
        </w:rPr>
        <w:t>la</w:t>
      </w:r>
      <w:r>
        <w:rPr>
          <w:spacing w:val="-3"/>
          <w:sz w:val="20"/>
        </w:rPr>
        <w:t> </w:t>
      </w:r>
      <w:r>
        <w:rPr>
          <w:sz w:val="20"/>
        </w:rPr>
        <w:t>Universidad</w:t>
      </w:r>
      <w:r>
        <w:rPr>
          <w:spacing w:val="-3"/>
          <w:sz w:val="20"/>
        </w:rPr>
        <w:t> </w:t>
      </w:r>
      <w:r>
        <w:rPr>
          <w:sz w:val="20"/>
        </w:rPr>
        <w:t>Estatal de Bolívar.</w:t>
      </w:r>
    </w:p>
    <w:p>
      <w:pPr>
        <w:pStyle w:val="BodyText"/>
        <w:spacing w:line="360" w:lineRule="auto" w:before="147"/>
        <w:ind w:left="994" w:right="700"/>
        <w:jc w:val="both"/>
      </w:pPr>
      <w:r>
        <w:rPr/>
        <w:t>Los resultados del tratamiento combinado de cannabidiol (CBD) con antibióticos evidencian</w:t>
      </w:r>
      <w:r>
        <w:rPr>
          <w:spacing w:val="-4"/>
        </w:rPr>
        <w:t> </w:t>
      </w:r>
      <w:r>
        <w:rPr/>
        <w:t>un</w:t>
      </w:r>
      <w:r>
        <w:rPr>
          <w:spacing w:val="-9"/>
        </w:rPr>
        <w:t> </w:t>
      </w:r>
      <w:r>
        <w:rPr/>
        <w:t>posible</w:t>
      </w:r>
      <w:r>
        <w:rPr>
          <w:spacing w:val="-7"/>
        </w:rPr>
        <w:t> </w:t>
      </w:r>
      <w:r>
        <w:rPr/>
        <w:t>apoyo</w:t>
      </w:r>
      <w:r>
        <w:rPr>
          <w:spacing w:val="-4"/>
        </w:rPr>
        <w:t> </w:t>
      </w:r>
      <w:r>
        <w:rPr/>
        <w:t>frente</w:t>
      </w:r>
      <w:r>
        <w:rPr>
          <w:spacing w:val="-7"/>
        </w:rPr>
        <w:t> </w:t>
      </w:r>
      <w:r>
        <w:rPr/>
        <w:t>a </w:t>
      </w:r>
      <w:r>
        <w:rPr>
          <w:i/>
        </w:rPr>
        <w:t>Staphylococcus</w:t>
      </w:r>
      <w:r>
        <w:rPr>
          <w:i/>
          <w:spacing w:val="-6"/>
        </w:rPr>
        <w:t> </w:t>
      </w:r>
      <w:r>
        <w:rPr>
          <w:i/>
        </w:rPr>
        <w:t>aureus</w:t>
      </w:r>
      <w:r>
        <w:rPr>
          <w:i/>
          <w:spacing w:val="-3"/>
        </w:rPr>
        <w:t> </w:t>
      </w:r>
      <w:r>
        <w:rPr/>
        <w:t>resistente</w:t>
      </w:r>
      <w:r>
        <w:rPr>
          <w:spacing w:val="-7"/>
        </w:rPr>
        <w:t> </w:t>
      </w:r>
      <w:r>
        <w:rPr/>
        <w:t>a</w:t>
      </w:r>
      <w:r>
        <w:rPr>
          <w:spacing w:val="-3"/>
        </w:rPr>
        <w:t> </w:t>
      </w:r>
      <w:r>
        <w:rPr/>
        <w:t>meticilina (MRSA). También se aprecia una relación dosis-respuesta en las combinaciones evaluadas, con reducción progresiva de los halos de inhibición cuando disminuye la concentración.</w:t>
      </w:r>
    </w:p>
    <w:p>
      <w:pPr>
        <w:pStyle w:val="BodyText"/>
        <w:spacing w:line="360" w:lineRule="auto" w:before="63"/>
        <w:ind w:left="994" w:right="705"/>
        <w:jc w:val="both"/>
      </w:pPr>
      <w:r>
        <w:rPr/>
        <w:t>La asociación de cefalexina y CBD culminó en los más grandes diámetros de inhibición, alcanzando hasta 38mm. Esto apuntalala una sinergia sustancial entre los dos agentes. Martinenghi y su equipo (2022) observan que los cannabinoides tienen la capacidad de realzar la actividad</w:t>
      </w:r>
      <w:r>
        <w:rPr>
          <w:spacing w:val="-3"/>
        </w:rPr>
        <w:t> </w:t>
      </w:r>
      <w:r>
        <w:rPr/>
        <w:t>de ciertos antibióticos contra patógenos resistentes. De una manera análoga, Nguyen et al. (2022) puntualizan que el CBD puede</w:t>
      </w:r>
      <w:r>
        <w:rPr>
          <w:spacing w:val="-2"/>
        </w:rPr>
        <w:t> </w:t>
      </w:r>
      <w:r>
        <w:rPr/>
        <w:t>fungir</w:t>
      </w:r>
      <w:r>
        <w:rPr>
          <w:spacing w:val="-7"/>
        </w:rPr>
        <w:t> </w:t>
      </w:r>
      <w:r>
        <w:rPr/>
        <w:t>como</w:t>
      </w:r>
      <w:r>
        <w:rPr>
          <w:spacing w:val="-3"/>
        </w:rPr>
        <w:t> </w:t>
      </w:r>
      <w:r>
        <w:rPr/>
        <w:t>un</w:t>
      </w:r>
      <w:r>
        <w:rPr>
          <w:spacing w:val="-7"/>
        </w:rPr>
        <w:t> </w:t>
      </w:r>
      <w:r>
        <w:rPr/>
        <w:t>adyuvante,</w:t>
      </w:r>
      <w:r>
        <w:rPr>
          <w:spacing w:val="-3"/>
        </w:rPr>
        <w:t> </w:t>
      </w:r>
      <w:r>
        <w:rPr/>
        <w:t>elevando</w:t>
      </w:r>
      <w:r>
        <w:rPr>
          <w:spacing w:val="-3"/>
        </w:rPr>
        <w:t> </w:t>
      </w:r>
      <w:r>
        <w:rPr/>
        <w:t>la</w:t>
      </w:r>
      <w:r>
        <w:rPr>
          <w:spacing w:val="-2"/>
        </w:rPr>
        <w:t> </w:t>
      </w:r>
      <w:r>
        <w:rPr/>
        <w:t>potencia</w:t>
      </w:r>
      <w:r>
        <w:rPr>
          <w:spacing w:val="-2"/>
        </w:rPr>
        <w:t> </w:t>
      </w:r>
      <w:r>
        <w:rPr/>
        <w:t>de</w:t>
      </w:r>
      <w:r>
        <w:rPr>
          <w:spacing w:val="-6"/>
        </w:rPr>
        <w:t> </w:t>
      </w:r>
      <w:r>
        <w:rPr/>
        <w:t>los</w:t>
      </w:r>
      <w:r>
        <w:rPr>
          <w:spacing w:val="-5"/>
        </w:rPr>
        <w:t> </w:t>
      </w:r>
      <w:r>
        <w:rPr/>
        <w:t>antibióticos</w:t>
      </w:r>
      <w:r>
        <w:rPr>
          <w:spacing w:val="-5"/>
        </w:rPr>
        <w:t> </w:t>
      </w:r>
      <w:r>
        <w:rPr/>
        <w:t>en</w:t>
      </w:r>
      <w:r>
        <w:rPr>
          <w:spacing w:val="-7"/>
        </w:rPr>
        <w:t> </w:t>
      </w:r>
      <w:r>
        <w:rPr/>
        <w:t>cepas </w:t>
      </w:r>
      <w:r>
        <w:rPr>
          <w:spacing w:val="-2"/>
        </w:rPr>
        <w:t>recalcitrantes.</w:t>
      </w:r>
    </w:p>
    <w:p>
      <w:pPr>
        <w:pStyle w:val="BodyText"/>
        <w:spacing w:line="360" w:lineRule="auto" w:before="59"/>
        <w:ind w:left="994" w:right="708"/>
        <w:jc w:val="both"/>
      </w:pPr>
      <w:r>
        <w:rPr/>
        <w:t>Las</w:t>
      </w:r>
      <w:r>
        <w:rPr>
          <w:spacing w:val="-8"/>
        </w:rPr>
        <w:t> </w:t>
      </w:r>
      <w:r>
        <w:rPr/>
        <w:t>mezclas</w:t>
      </w:r>
      <w:r>
        <w:rPr>
          <w:spacing w:val="-8"/>
        </w:rPr>
        <w:t> </w:t>
      </w:r>
      <w:r>
        <w:rPr/>
        <w:t>amoxicilina</w:t>
      </w:r>
      <w:r>
        <w:rPr>
          <w:spacing w:val="-5"/>
        </w:rPr>
        <w:t> </w:t>
      </w:r>
      <w:r>
        <w:rPr/>
        <w:t>más</w:t>
      </w:r>
      <w:r>
        <w:rPr>
          <w:spacing w:val="-8"/>
        </w:rPr>
        <w:t> </w:t>
      </w:r>
      <w:r>
        <w:rPr/>
        <w:t>CBD</w:t>
      </w:r>
      <w:r>
        <w:rPr>
          <w:spacing w:val="-8"/>
        </w:rPr>
        <w:t> </w:t>
      </w:r>
      <w:r>
        <w:rPr/>
        <w:t>y</w:t>
      </w:r>
      <w:r>
        <w:rPr>
          <w:spacing w:val="-7"/>
        </w:rPr>
        <w:t> </w:t>
      </w:r>
      <w:r>
        <w:rPr/>
        <w:t>enrofloxacina</w:t>
      </w:r>
      <w:r>
        <w:rPr>
          <w:spacing w:val="-5"/>
        </w:rPr>
        <w:t> </w:t>
      </w:r>
      <w:r>
        <w:rPr/>
        <w:t>más</w:t>
      </w:r>
      <w:r>
        <w:rPr>
          <w:spacing w:val="-8"/>
        </w:rPr>
        <w:t> </w:t>
      </w:r>
      <w:r>
        <w:rPr/>
        <w:t>CBD</w:t>
      </w:r>
      <w:r>
        <w:rPr>
          <w:spacing w:val="-8"/>
        </w:rPr>
        <w:t> </w:t>
      </w:r>
      <w:r>
        <w:rPr/>
        <w:t>exhibieron</w:t>
      </w:r>
      <w:r>
        <w:rPr>
          <w:spacing w:val="-6"/>
        </w:rPr>
        <w:t> </w:t>
      </w:r>
      <w:r>
        <w:rPr/>
        <w:t>actividad antibacteriana,</w:t>
      </w:r>
      <w:r>
        <w:rPr>
          <w:spacing w:val="-8"/>
        </w:rPr>
        <w:t> </w:t>
      </w:r>
      <w:r>
        <w:rPr/>
        <w:t>si</w:t>
      </w:r>
      <w:r>
        <w:rPr>
          <w:spacing w:val="-7"/>
        </w:rPr>
        <w:t> </w:t>
      </w:r>
      <w:r>
        <w:rPr/>
        <w:t>bien</w:t>
      </w:r>
      <w:r>
        <w:rPr>
          <w:spacing w:val="-11"/>
        </w:rPr>
        <w:t> </w:t>
      </w:r>
      <w:r>
        <w:rPr/>
        <w:t>con</w:t>
      </w:r>
      <w:r>
        <w:rPr>
          <w:spacing w:val="-8"/>
        </w:rPr>
        <w:t> </w:t>
      </w:r>
      <w:r>
        <w:rPr/>
        <w:t>magnitudes</w:t>
      </w:r>
      <w:r>
        <w:rPr>
          <w:spacing w:val="-9"/>
        </w:rPr>
        <w:t> </w:t>
      </w:r>
      <w:r>
        <w:rPr/>
        <w:t>inferiores.</w:t>
      </w:r>
      <w:r>
        <w:rPr>
          <w:spacing w:val="-8"/>
        </w:rPr>
        <w:t> </w:t>
      </w:r>
      <w:r>
        <w:rPr/>
        <w:t>Este</w:t>
      </w:r>
      <w:r>
        <w:rPr>
          <w:spacing w:val="-6"/>
        </w:rPr>
        <w:t> </w:t>
      </w:r>
      <w:r>
        <w:rPr/>
        <w:t>patrón</w:t>
      </w:r>
      <w:r>
        <w:rPr>
          <w:spacing w:val="-7"/>
        </w:rPr>
        <w:t> </w:t>
      </w:r>
      <w:r>
        <w:rPr/>
        <w:t>tiene</w:t>
      </w:r>
      <w:r>
        <w:rPr>
          <w:spacing w:val="-6"/>
        </w:rPr>
        <w:t> </w:t>
      </w:r>
      <w:r>
        <w:rPr/>
        <w:t>vinculación</w:t>
      </w:r>
      <w:r>
        <w:rPr>
          <w:spacing w:val="-11"/>
        </w:rPr>
        <w:t> </w:t>
      </w:r>
      <w:r>
        <w:rPr/>
        <w:t>con lo</w:t>
      </w:r>
      <w:r>
        <w:rPr>
          <w:spacing w:val="-11"/>
        </w:rPr>
        <w:t> </w:t>
      </w:r>
      <w:r>
        <w:rPr/>
        <w:t>señalado</w:t>
      </w:r>
      <w:r>
        <w:rPr>
          <w:spacing w:val="-9"/>
        </w:rPr>
        <w:t> </w:t>
      </w:r>
      <w:r>
        <w:rPr/>
        <w:t>por</w:t>
      </w:r>
      <w:r>
        <w:rPr>
          <w:spacing w:val="-8"/>
        </w:rPr>
        <w:t> </w:t>
      </w:r>
      <w:r>
        <w:rPr/>
        <w:t>Stokes</w:t>
      </w:r>
      <w:r>
        <w:rPr>
          <w:spacing w:val="-15"/>
        </w:rPr>
        <w:t> </w:t>
      </w:r>
      <w:r>
        <w:rPr/>
        <w:t>et</w:t>
      </w:r>
      <w:r>
        <w:rPr>
          <w:spacing w:val="-7"/>
        </w:rPr>
        <w:t> </w:t>
      </w:r>
      <w:r>
        <w:rPr/>
        <w:t>al.</w:t>
      </w:r>
      <w:r>
        <w:rPr>
          <w:spacing w:val="-9"/>
        </w:rPr>
        <w:t> </w:t>
      </w:r>
      <w:r>
        <w:rPr/>
        <w:t>(2023),</w:t>
      </w:r>
      <w:r>
        <w:rPr>
          <w:spacing w:val="-8"/>
        </w:rPr>
        <w:t> </w:t>
      </w:r>
      <w:r>
        <w:rPr/>
        <w:t>quien</w:t>
      </w:r>
      <w:r>
        <w:rPr>
          <w:spacing w:val="-13"/>
        </w:rPr>
        <w:t> </w:t>
      </w:r>
      <w:r>
        <w:rPr/>
        <w:t>proponen</w:t>
      </w:r>
      <w:r>
        <w:rPr>
          <w:spacing w:val="-8"/>
        </w:rPr>
        <w:t> </w:t>
      </w:r>
      <w:r>
        <w:rPr/>
        <w:t>que</w:t>
      </w:r>
      <w:r>
        <w:rPr>
          <w:spacing w:val="-8"/>
        </w:rPr>
        <w:t> </w:t>
      </w:r>
      <w:r>
        <w:rPr/>
        <w:t>la</w:t>
      </w:r>
      <w:r>
        <w:rPr>
          <w:spacing w:val="-7"/>
        </w:rPr>
        <w:t> </w:t>
      </w:r>
      <w:r>
        <w:rPr/>
        <w:t>sinergia</w:t>
      </w:r>
      <w:r>
        <w:rPr>
          <w:spacing w:val="-12"/>
        </w:rPr>
        <w:t> </w:t>
      </w:r>
      <w:r>
        <w:rPr/>
        <w:t>entre</w:t>
      </w:r>
      <w:r>
        <w:rPr>
          <w:spacing w:val="-11"/>
        </w:rPr>
        <w:t> </w:t>
      </w:r>
      <w:r>
        <w:rPr>
          <w:spacing w:val="-2"/>
        </w:rPr>
        <w:t>sustancias</w:t>
      </w:r>
    </w:p>
    <w:p>
      <w:pPr>
        <w:pStyle w:val="BodyText"/>
        <w:spacing w:after="0" w:line="360" w:lineRule="auto"/>
        <w:jc w:val="both"/>
        <w:sectPr>
          <w:pgSz w:w="11900" w:h="16840"/>
          <w:pgMar w:top="1580" w:bottom="280" w:left="1275" w:right="992"/>
        </w:sectPr>
      </w:pPr>
    </w:p>
    <w:p>
      <w:pPr>
        <w:pStyle w:val="BodyText"/>
        <w:spacing w:line="357" w:lineRule="auto" w:before="60"/>
        <w:ind w:left="994" w:right="710"/>
        <w:jc w:val="both"/>
      </w:pPr>
      <w:r>
        <w:rPr/>
        <w:t>naturales y antimicrobianos es susceptible de variar conforme al modo de acción del fármaco y el nivel de resistencia bacteriana.</w:t>
      </w:r>
    </w:p>
    <w:p>
      <w:pPr>
        <w:pStyle w:val="BodyText"/>
        <w:spacing w:line="360" w:lineRule="auto" w:before="66"/>
        <w:ind w:left="994" w:right="700"/>
        <w:jc w:val="both"/>
      </w:pPr>
      <w:r>
        <w:rPr/>
        <w:t>El aumento en la extensión de los halos inhibitorios al combinar enrofloxacina y CBD denota un posible efecto potenciador atribuible al cannabidiol.. Dicha interacción, según el planteamiento de Kosgodage et al. (2022) y Fuller et al. (2022), podría radicar en modificaciones en la permeabilidad de la membrana bacteriana, propiciando de este modo una mayor eficacia del antibiótico. Estos investigadores también destacan que el CBD es capaz de inducir daño en la membrana y estrés oxidativo específicamente en bacterias Gram positivas, lo cual amplifica la actividad antimicrobiana.</w:t>
      </w:r>
    </w:p>
    <w:p>
      <w:pPr>
        <w:pStyle w:val="BodyText"/>
        <w:spacing w:line="360" w:lineRule="auto" w:before="165"/>
        <w:ind w:left="994" w:right="714"/>
        <w:jc w:val="both"/>
      </w:pPr>
      <w:r>
        <w:rPr/>
        <w:t>En suma, la totalidad de los hallazgos permite inferir que el cannabidiol podría propiciar un efecto de sinergia al ser empleado conjuntamente con antibióticos de uso común. Esto, por consiguiente, habilitaría su potencial aplicación como estrategia adyuvante para combatir cepas de MRSA.</w:t>
      </w:r>
    </w:p>
    <w:p>
      <w:pPr>
        <w:pStyle w:val="BodyText"/>
      </w:pPr>
    </w:p>
    <w:p>
      <w:pPr>
        <w:pStyle w:val="BodyText"/>
        <w:spacing w:before="181"/>
      </w:pPr>
    </w:p>
    <w:p>
      <w:pPr>
        <w:pStyle w:val="Heading3"/>
        <w:numPr>
          <w:ilvl w:val="1"/>
          <w:numId w:val="16"/>
        </w:numPr>
        <w:tabs>
          <w:tab w:pos="1426" w:val="left" w:leader="none"/>
        </w:tabs>
        <w:spacing w:line="566" w:lineRule="auto" w:before="0" w:after="0"/>
        <w:ind w:left="994" w:right="2799" w:firstLine="0"/>
        <w:jc w:val="left"/>
      </w:pPr>
      <w:r>
        <w:rPr/>
        <mc:AlternateContent>
          <mc:Choice Requires="wps">
            <w:drawing>
              <wp:anchor distT="0" distB="0" distL="0" distR="0" allowOverlap="1" layoutInCell="1" locked="0" behindDoc="0" simplePos="0" relativeHeight="15732224">
                <wp:simplePos x="0" y="0"/>
                <wp:positionH relativeFrom="page">
                  <wp:posOffset>1440751</wp:posOffset>
                </wp:positionH>
                <wp:positionV relativeFrom="paragraph">
                  <wp:posOffset>764259</wp:posOffset>
                </wp:positionV>
                <wp:extent cx="5045710" cy="300355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5045710" cy="3003550"/>
                          <a:chExt cx="5045710" cy="3003550"/>
                        </a:xfrm>
                      </wpg:grpSpPr>
                      <wps:wsp>
                        <wps:cNvPr id="10" name="Graphic 10"/>
                        <wps:cNvSpPr/>
                        <wps:spPr>
                          <a:xfrm>
                            <a:off x="135064" y="560133"/>
                            <a:ext cx="4775835" cy="2070735"/>
                          </a:xfrm>
                          <a:custGeom>
                            <a:avLst/>
                            <a:gdLst/>
                            <a:ahLst/>
                            <a:cxnLst/>
                            <a:rect l="l" t="t" r="r" b="b"/>
                            <a:pathLst>
                              <a:path w="4775835" h="2070735">
                                <a:moveTo>
                                  <a:pt x="0" y="0"/>
                                </a:moveTo>
                                <a:lnTo>
                                  <a:pt x="0" y="2070227"/>
                                </a:lnTo>
                              </a:path>
                              <a:path w="4775835" h="2070735">
                                <a:moveTo>
                                  <a:pt x="954278" y="0"/>
                                </a:moveTo>
                                <a:lnTo>
                                  <a:pt x="954278" y="2070227"/>
                                </a:lnTo>
                              </a:path>
                              <a:path w="4775835" h="2070735">
                                <a:moveTo>
                                  <a:pt x="1909318" y="0"/>
                                </a:moveTo>
                                <a:lnTo>
                                  <a:pt x="1909318" y="2070227"/>
                                </a:lnTo>
                              </a:path>
                              <a:path w="4775835" h="2070735">
                                <a:moveTo>
                                  <a:pt x="2864358" y="0"/>
                                </a:moveTo>
                                <a:lnTo>
                                  <a:pt x="2864358" y="2070227"/>
                                </a:lnTo>
                              </a:path>
                              <a:path w="4775835" h="2070735">
                                <a:moveTo>
                                  <a:pt x="3819398" y="0"/>
                                </a:moveTo>
                                <a:lnTo>
                                  <a:pt x="3819398" y="2070227"/>
                                </a:lnTo>
                              </a:path>
                              <a:path w="4775835" h="2070735">
                                <a:moveTo>
                                  <a:pt x="4775581" y="0"/>
                                </a:moveTo>
                                <a:lnTo>
                                  <a:pt x="4775581" y="2070227"/>
                                </a:lnTo>
                              </a:path>
                            </a:pathLst>
                          </a:custGeom>
                          <a:ln w="9525">
                            <a:solidFill>
                              <a:srgbClr val="D9D9D9"/>
                            </a:solidFill>
                            <a:prstDash val="solid"/>
                          </a:ln>
                        </wps:spPr>
                        <wps:bodyPr wrap="square" lIns="0" tIns="0" rIns="0" bIns="0" rtlCol="0">
                          <a:prstTxWarp prst="textNoShape">
                            <a:avLst/>
                          </a:prstTxWarp>
                          <a:noAutofit/>
                        </wps:bodyPr>
                      </wps:wsp>
                      <wps:wsp>
                        <wps:cNvPr id="11" name="Graphic 11"/>
                        <wps:cNvSpPr/>
                        <wps:spPr>
                          <a:xfrm>
                            <a:off x="524827" y="1201864"/>
                            <a:ext cx="175895" cy="1428750"/>
                          </a:xfrm>
                          <a:custGeom>
                            <a:avLst/>
                            <a:gdLst/>
                            <a:ahLst/>
                            <a:cxnLst/>
                            <a:rect l="l" t="t" r="r" b="b"/>
                            <a:pathLst>
                              <a:path w="175895" h="1428750">
                                <a:moveTo>
                                  <a:pt x="175577" y="0"/>
                                </a:moveTo>
                                <a:lnTo>
                                  <a:pt x="0" y="0"/>
                                </a:lnTo>
                                <a:lnTo>
                                  <a:pt x="0" y="1428496"/>
                                </a:lnTo>
                                <a:lnTo>
                                  <a:pt x="175577" y="1428496"/>
                                </a:lnTo>
                                <a:lnTo>
                                  <a:pt x="175577" y="0"/>
                                </a:lnTo>
                                <a:close/>
                              </a:path>
                            </a:pathLst>
                          </a:custGeom>
                          <a:solidFill>
                            <a:srgbClr val="4470C4"/>
                          </a:solidFill>
                        </wps:spPr>
                        <wps:bodyPr wrap="square" lIns="0" tIns="0" rIns="0" bIns="0" rtlCol="0">
                          <a:prstTxWarp prst="textNoShape">
                            <a:avLst/>
                          </a:prstTxWarp>
                          <a:noAutofit/>
                        </wps:bodyPr>
                      </wps:wsp>
                      <wps:wsp>
                        <wps:cNvPr id="12" name="Graphic 12"/>
                        <wps:cNvSpPr/>
                        <wps:spPr>
                          <a:xfrm>
                            <a:off x="1479994" y="815403"/>
                            <a:ext cx="175895" cy="1815464"/>
                          </a:xfrm>
                          <a:custGeom>
                            <a:avLst/>
                            <a:gdLst/>
                            <a:ahLst/>
                            <a:cxnLst/>
                            <a:rect l="l" t="t" r="r" b="b"/>
                            <a:pathLst>
                              <a:path w="175895" h="1815464">
                                <a:moveTo>
                                  <a:pt x="175577" y="0"/>
                                </a:moveTo>
                                <a:lnTo>
                                  <a:pt x="0" y="0"/>
                                </a:lnTo>
                                <a:lnTo>
                                  <a:pt x="0" y="1814956"/>
                                </a:lnTo>
                                <a:lnTo>
                                  <a:pt x="175577" y="1814956"/>
                                </a:lnTo>
                                <a:lnTo>
                                  <a:pt x="175577" y="0"/>
                                </a:lnTo>
                                <a:close/>
                              </a:path>
                            </a:pathLst>
                          </a:custGeom>
                          <a:solidFill>
                            <a:srgbClr val="EB7B2F"/>
                          </a:solidFill>
                        </wps:spPr>
                        <wps:bodyPr wrap="square" lIns="0" tIns="0" rIns="0" bIns="0" rtlCol="0">
                          <a:prstTxWarp prst="textNoShape">
                            <a:avLst/>
                          </a:prstTxWarp>
                          <a:noAutofit/>
                        </wps:bodyPr>
                      </wps:wsp>
                      <wps:wsp>
                        <wps:cNvPr id="13" name="Graphic 13"/>
                        <wps:cNvSpPr/>
                        <wps:spPr>
                          <a:xfrm>
                            <a:off x="2435034" y="1781555"/>
                            <a:ext cx="175895" cy="848994"/>
                          </a:xfrm>
                          <a:custGeom>
                            <a:avLst/>
                            <a:gdLst/>
                            <a:ahLst/>
                            <a:cxnLst/>
                            <a:rect l="l" t="t" r="r" b="b"/>
                            <a:pathLst>
                              <a:path w="175895" h="848994">
                                <a:moveTo>
                                  <a:pt x="175577" y="0"/>
                                </a:moveTo>
                                <a:lnTo>
                                  <a:pt x="0" y="0"/>
                                </a:lnTo>
                                <a:lnTo>
                                  <a:pt x="0" y="848804"/>
                                </a:lnTo>
                                <a:lnTo>
                                  <a:pt x="175577" y="848804"/>
                                </a:lnTo>
                                <a:lnTo>
                                  <a:pt x="175577" y="0"/>
                                </a:lnTo>
                                <a:close/>
                              </a:path>
                            </a:pathLst>
                          </a:custGeom>
                          <a:solidFill>
                            <a:srgbClr val="A3A3A3"/>
                          </a:solidFill>
                        </wps:spPr>
                        <wps:bodyPr wrap="square" lIns="0" tIns="0" rIns="0" bIns="0" rtlCol="0">
                          <a:prstTxWarp prst="textNoShape">
                            <a:avLst/>
                          </a:prstTxWarp>
                          <a:noAutofit/>
                        </wps:bodyPr>
                      </wps:wsp>
                      <wps:wsp>
                        <wps:cNvPr id="14" name="Graphic 14"/>
                        <wps:cNvSpPr/>
                        <wps:spPr>
                          <a:xfrm>
                            <a:off x="3390201" y="1112202"/>
                            <a:ext cx="175895" cy="1518285"/>
                          </a:xfrm>
                          <a:custGeom>
                            <a:avLst/>
                            <a:gdLst/>
                            <a:ahLst/>
                            <a:cxnLst/>
                            <a:rect l="l" t="t" r="r" b="b"/>
                            <a:pathLst>
                              <a:path w="175895" h="1518285">
                                <a:moveTo>
                                  <a:pt x="175577" y="0"/>
                                </a:moveTo>
                                <a:lnTo>
                                  <a:pt x="0" y="0"/>
                                </a:lnTo>
                                <a:lnTo>
                                  <a:pt x="0" y="1518157"/>
                                </a:lnTo>
                                <a:lnTo>
                                  <a:pt x="175577" y="1518157"/>
                                </a:lnTo>
                                <a:lnTo>
                                  <a:pt x="175577" y="0"/>
                                </a:lnTo>
                                <a:close/>
                              </a:path>
                            </a:pathLst>
                          </a:custGeom>
                          <a:solidFill>
                            <a:srgbClr val="FFC000"/>
                          </a:solidFill>
                        </wps:spPr>
                        <wps:bodyPr wrap="square" lIns="0" tIns="0" rIns="0" bIns="0" rtlCol="0">
                          <a:prstTxWarp prst="textNoShape">
                            <a:avLst/>
                          </a:prstTxWarp>
                          <a:noAutofit/>
                        </wps:bodyPr>
                      </wps:wsp>
                      <wps:wsp>
                        <wps:cNvPr id="15" name="Graphic 15"/>
                        <wps:cNvSpPr/>
                        <wps:spPr>
                          <a:xfrm>
                            <a:off x="4345368" y="1919566"/>
                            <a:ext cx="175895" cy="711200"/>
                          </a:xfrm>
                          <a:custGeom>
                            <a:avLst/>
                            <a:gdLst/>
                            <a:ahLst/>
                            <a:cxnLst/>
                            <a:rect l="l" t="t" r="r" b="b"/>
                            <a:pathLst>
                              <a:path w="175895" h="711200">
                                <a:moveTo>
                                  <a:pt x="175577" y="0"/>
                                </a:moveTo>
                                <a:lnTo>
                                  <a:pt x="0" y="0"/>
                                </a:lnTo>
                                <a:lnTo>
                                  <a:pt x="0" y="710793"/>
                                </a:lnTo>
                                <a:lnTo>
                                  <a:pt x="175577" y="710793"/>
                                </a:lnTo>
                                <a:lnTo>
                                  <a:pt x="175577" y="0"/>
                                </a:lnTo>
                                <a:close/>
                              </a:path>
                            </a:pathLst>
                          </a:custGeom>
                          <a:solidFill>
                            <a:srgbClr val="5B9BD3"/>
                          </a:solidFill>
                        </wps:spPr>
                        <wps:bodyPr wrap="square" lIns="0" tIns="0" rIns="0" bIns="0" rtlCol="0">
                          <a:prstTxWarp prst="textNoShape">
                            <a:avLst/>
                          </a:prstTxWarp>
                          <a:noAutofit/>
                        </wps:bodyPr>
                      </wps:wsp>
                      <wps:wsp>
                        <wps:cNvPr id="16" name="Graphic 16"/>
                        <wps:cNvSpPr/>
                        <wps:spPr>
                          <a:xfrm>
                            <a:off x="135064" y="2630360"/>
                            <a:ext cx="4775835" cy="1270"/>
                          </a:xfrm>
                          <a:custGeom>
                            <a:avLst/>
                            <a:gdLst/>
                            <a:ahLst/>
                            <a:cxnLst/>
                            <a:rect l="l" t="t" r="r" b="b"/>
                            <a:pathLst>
                              <a:path w="4775835" h="0">
                                <a:moveTo>
                                  <a:pt x="0" y="0"/>
                                </a:moveTo>
                                <a:lnTo>
                                  <a:pt x="4775581" y="0"/>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591248" y="481733"/>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470C4"/>
                          </a:solidFill>
                        </wps:spPr>
                        <wps:bodyPr wrap="square" lIns="0" tIns="0" rIns="0" bIns="0" rtlCol="0">
                          <a:prstTxWarp prst="textNoShape">
                            <a:avLst/>
                          </a:prstTxWarp>
                          <a:noAutofit/>
                        </wps:bodyPr>
                      </wps:wsp>
                      <wps:wsp>
                        <wps:cNvPr id="18" name="Graphic 18"/>
                        <wps:cNvSpPr/>
                        <wps:spPr>
                          <a:xfrm>
                            <a:off x="1325435" y="481733"/>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EB7B2F"/>
                          </a:solidFill>
                        </wps:spPr>
                        <wps:bodyPr wrap="square" lIns="0" tIns="0" rIns="0" bIns="0" rtlCol="0">
                          <a:prstTxWarp prst="textNoShape">
                            <a:avLst/>
                          </a:prstTxWarp>
                          <a:noAutofit/>
                        </wps:bodyPr>
                      </wps:wsp>
                      <wps:wsp>
                        <wps:cNvPr id="19" name="Graphic 19"/>
                        <wps:cNvSpPr/>
                        <wps:spPr>
                          <a:xfrm>
                            <a:off x="2155380" y="481733"/>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A3A3A3"/>
                          </a:solidFill>
                        </wps:spPr>
                        <wps:bodyPr wrap="square" lIns="0" tIns="0" rIns="0" bIns="0" rtlCol="0">
                          <a:prstTxWarp prst="textNoShape">
                            <a:avLst/>
                          </a:prstTxWarp>
                          <a:noAutofit/>
                        </wps:bodyPr>
                      </wps:wsp>
                      <wps:wsp>
                        <wps:cNvPr id="20" name="Graphic 20"/>
                        <wps:cNvSpPr/>
                        <wps:spPr>
                          <a:xfrm>
                            <a:off x="2835465" y="481733"/>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FFC000"/>
                          </a:solidFill>
                        </wps:spPr>
                        <wps:bodyPr wrap="square" lIns="0" tIns="0" rIns="0" bIns="0" rtlCol="0">
                          <a:prstTxWarp prst="textNoShape">
                            <a:avLst/>
                          </a:prstTxWarp>
                          <a:noAutofit/>
                        </wps:bodyPr>
                      </wps:wsp>
                      <wps:wsp>
                        <wps:cNvPr id="21" name="Graphic 21"/>
                        <wps:cNvSpPr/>
                        <wps:spPr>
                          <a:xfrm>
                            <a:off x="3855148" y="481733"/>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5B9BD3"/>
                          </a:solidFill>
                        </wps:spPr>
                        <wps:bodyPr wrap="square" lIns="0" tIns="0" rIns="0" bIns="0" rtlCol="0">
                          <a:prstTxWarp prst="textNoShape">
                            <a:avLst/>
                          </a:prstTxWarp>
                          <a:noAutofit/>
                        </wps:bodyPr>
                      </wps:wsp>
                      <wps:wsp>
                        <wps:cNvPr id="22" name="Graphic 22"/>
                        <wps:cNvSpPr/>
                        <wps:spPr>
                          <a:xfrm>
                            <a:off x="4762" y="4762"/>
                            <a:ext cx="5036185" cy="2994025"/>
                          </a:xfrm>
                          <a:custGeom>
                            <a:avLst/>
                            <a:gdLst/>
                            <a:ahLst/>
                            <a:cxnLst/>
                            <a:rect l="l" t="t" r="r" b="b"/>
                            <a:pathLst>
                              <a:path w="5036185" h="2994025">
                                <a:moveTo>
                                  <a:pt x="0" y="127000"/>
                                </a:moveTo>
                                <a:lnTo>
                                  <a:pt x="10033" y="77597"/>
                                </a:lnTo>
                                <a:lnTo>
                                  <a:pt x="37211" y="37211"/>
                                </a:lnTo>
                                <a:lnTo>
                                  <a:pt x="77597" y="9905"/>
                                </a:lnTo>
                                <a:lnTo>
                                  <a:pt x="127000" y="0"/>
                                </a:lnTo>
                                <a:lnTo>
                                  <a:pt x="4909185" y="0"/>
                                </a:lnTo>
                                <a:lnTo>
                                  <a:pt x="4958715" y="9905"/>
                                </a:lnTo>
                                <a:lnTo>
                                  <a:pt x="4998974" y="37211"/>
                                </a:lnTo>
                                <a:lnTo>
                                  <a:pt x="5026279" y="77597"/>
                                </a:lnTo>
                                <a:lnTo>
                                  <a:pt x="5036185" y="127000"/>
                                </a:lnTo>
                                <a:lnTo>
                                  <a:pt x="5036185" y="2867152"/>
                                </a:lnTo>
                                <a:lnTo>
                                  <a:pt x="5026279" y="2916555"/>
                                </a:lnTo>
                                <a:lnTo>
                                  <a:pt x="4998974" y="2956814"/>
                                </a:lnTo>
                                <a:lnTo>
                                  <a:pt x="4958715" y="2983991"/>
                                </a:lnTo>
                                <a:lnTo>
                                  <a:pt x="4909185" y="2994025"/>
                                </a:lnTo>
                                <a:lnTo>
                                  <a:pt x="127000" y="2994025"/>
                                </a:lnTo>
                                <a:lnTo>
                                  <a:pt x="77597" y="2983991"/>
                                </a:lnTo>
                                <a:lnTo>
                                  <a:pt x="37211" y="2956814"/>
                                </a:lnTo>
                                <a:lnTo>
                                  <a:pt x="10033" y="2916555"/>
                                </a:lnTo>
                                <a:lnTo>
                                  <a:pt x="0" y="2867152"/>
                                </a:lnTo>
                                <a:lnTo>
                                  <a:pt x="0" y="127000"/>
                                </a:lnTo>
                                <a:close/>
                              </a:path>
                            </a:pathLst>
                          </a:custGeom>
                          <a:ln w="9525">
                            <a:solidFill>
                              <a:srgbClr val="D9D9D9"/>
                            </a:solidFill>
                            <a:prstDash val="solid"/>
                          </a:ln>
                        </wps:spPr>
                        <wps:bodyPr wrap="square" lIns="0" tIns="0" rIns="0" bIns="0" rtlCol="0">
                          <a:prstTxWarp prst="textNoShape">
                            <a:avLst/>
                          </a:prstTxWarp>
                          <a:noAutofit/>
                        </wps:bodyPr>
                      </wps:wsp>
                      <wps:wsp>
                        <wps:cNvPr id="23" name="Textbox 23"/>
                        <wps:cNvSpPr txBox="1"/>
                        <wps:spPr>
                          <a:xfrm>
                            <a:off x="693483" y="132794"/>
                            <a:ext cx="3872229" cy="445134"/>
                          </a:xfrm>
                          <a:prstGeom prst="rect">
                            <a:avLst/>
                          </a:prstGeom>
                        </wps:spPr>
                        <wps:txbx>
                          <w:txbxContent>
                            <w:p>
                              <w:pPr>
                                <w:spacing w:line="178" w:lineRule="exact" w:before="0"/>
                                <w:ind w:left="0" w:right="349" w:firstLine="0"/>
                                <w:jc w:val="center"/>
                                <w:rPr>
                                  <w:rFonts w:ascii="Calibri" w:hAnsi="Calibri"/>
                                  <w:b/>
                                  <w:sz w:val="18"/>
                                </w:rPr>
                              </w:pPr>
                              <w:r>
                                <w:rPr>
                                  <w:rFonts w:ascii="Calibri" w:hAnsi="Calibri"/>
                                  <w:b/>
                                  <w:color w:val="575757"/>
                                  <w:sz w:val="18"/>
                                </w:rPr>
                                <w:t>P</w:t>
                              </w:r>
                              <w:r>
                                <w:rPr>
                                  <w:rFonts w:ascii="Calibri" w:hAnsi="Calibri"/>
                                  <w:b/>
                                  <w:color w:val="575757"/>
                                  <w:spacing w:val="-14"/>
                                  <w:sz w:val="18"/>
                                </w:rPr>
                                <w:t> </w:t>
                              </w:r>
                              <w:r>
                                <w:rPr>
                                  <w:rFonts w:ascii="Calibri" w:hAnsi="Calibri"/>
                                  <w:b/>
                                  <w:color w:val="575757"/>
                                  <w:sz w:val="18"/>
                                </w:rPr>
                                <w:t>ROM</w:t>
                              </w:r>
                              <w:r>
                                <w:rPr>
                                  <w:rFonts w:ascii="Calibri" w:hAnsi="Calibri"/>
                                  <w:b/>
                                  <w:color w:val="575757"/>
                                  <w:spacing w:val="-7"/>
                                  <w:sz w:val="18"/>
                                </w:rPr>
                                <w:t> </w:t>
                              </w:r>
                              <w:r>
                                <w:rPr>
                                  <w:rFonts w:ascii="Calibri" w:hAnsi="Calibri"/>
                                  <w:b/>
                                  <w:color w:val="575757"/>
                                  <w:sz w:val="18"/>
                                </w:rPr>
                                <w:t>E</w:t>
                              </w:r>
                              <w:r>
                                <w:rPr>
                                  <w:rFonts w:ascii="Calibri" w:hAnsi="Calibri"/>
                                  <w:b/>
                                  <w:color w:val="575757"/>
                                  <w:spacing w:val="-8"/>
                                  <w:sz w:val="18"/>
                                </w:rPr>
                                <w:t> </w:t>
                              </w:r>
                              <w:r>
                                <w:rPr>
                                  <w:rFonts w:ascii="Calibri" w:hAnsi="Calibri"/>
                                  <w:b/>
                                  <w:color w:val="575757"/>
                                  <w:sz w:val="18"/>
                                </w:rPr>
                                <w:t>DI</w:t>
                              </w:r>
                              <w:r>
                                <w:rPr>
                                  <w:rFonts w:ascii="Calibri" w:hAnsi="Calibri"/>
                                  <w:b/>
                                  <w:color w:val="575757"/>
                                  <w:spacing w:val="-14"/>
                                  <w:sz w:val="18"/>
                                </w:rPr>
                                <w:t> </w:t>
                              </w:r>
                              <w:r>
                                <w:rPr>
                                  <w:rFonts w:ascii="Calibri" w:hAnsi="Calibri"/>
                                  <w:b/>
                                  <w:color w:val="575757"/>
                                  <w:sz w:val="18"/>
                                </w:rPr>
                                <w:t>O</w:t>
                              </w:r>
                              <w:r>
                                <w:rPr>
                                  <w:rFonts w:ascii="Calibri" w:hAnsi="Calibri"/>
                                  <w:b/>
                                  <w:color w:val="575757"/>
                                  <w:spacing w:val="66"/>
                                  <w:sz w:val="18"/>
                                </w:rPr>
                                <w:t> </w:t>
                              </w:r>
                              <w:r>
                                <w:rPr>
                                  <w:rFonts w:ascii="Calibri" w:hAnsi="Calibri"/>
                                  <w:b/>
                                  <w:color w:val="575757"/>
                                  <w:sz w:val="18"/>
                                </w:rPr>
                                <w:t>DE</w:t>
                              </w:r>
                              <w:r>
                                <w:rPr>
                                  <w:rFonts w:ascii="Calibri" w:hAnsi="Calibri"/>
                                  <w:b/>
                                  <w:color w:val="575757"/>
                                  <w:spacing w:val="60"/>
                                  <w:sz w:val="18"/>
                                </w:rPr>
                                <w:t> </w:t>
                              </w:r>
                              <w:r>
                                <w:rPr>
                                  <w:rFonts w:ascii="Calibri" w:hAnsi="Calibri"/>
                                  <w:b/>
                                  <w:color w:val="575757"/>
                                  <w:sz w:val="18"/>
                                </w:rPr>
                                <w:t>HA</w:t>
                              </w:r>
                              <w:r>
                                <w:rPr>
                                  <w:rFonts w:ascii="Calibri" w:hAnsi="Calibri"/>
                                  <w:b/>
                                  <w:color w:val="575757"/>
                                  <w:spacing w:val="-2"/>
                                  <w:sz w:val="18"/>
                                </w:rPr>
                                <w:t> </w:t>
                              </w:r>
                              <w:r>
                                <w:rPr>
                                  <w:rFonts w:ascii="Calibri" w:hAnsi="Calibri"/>
                                  <w:b/>
                                  <w:color w:val="575757"/>
                                  <w:sz w:val="18"/>
                                </w:rPr>
                                <w:t>L</w:t>
                              </w:r>
                              <w:r>
                                <w:rPr>
                                  <w:rFonts w:ascii="Calibri" w:hAnsi="Calibri"/>
                                  <w:b/>
                                  <w:color w:val="575757"/>
                                  <w:spacing w:val="-15"/>
                                  <w:sz w:val="18"/>
                                </w:rPr>
                                <w:t> </w:t>
                              </w:r>
                              <w:r>
                                <w:rPr>
                                  <w:rFonts w:ascii="Calibri" w:hAnsi="Calibri"/>
                                  <w:b/>
                                  <w:color w:val="575757"/>
                                  <w:sz w:val="18"/>
                                </w:rPr>
                                <w:t>OS</w:t>
                              </w:r>
                              <w:r>
                                <w:rPr>
                                  <w:rFonts w:ascii="Calibri" w:hAnsi="Calibri"/>
                                  <w:b/>
                                  <w:color w:val="575757"/>
                                  <w:spacing w:val="61"/>
                                  <w:w w:val="150"/>
                                  <w:sz w:val="18"/>
                                </w:rPr>
                                <w:t> </w:t>
                              </w:r>
                              <w:r>
                                <w:rPr>
                                  <w:rFonts w:ascii="Calibri" w:hAnsi="Calibri"/>
                                  <w:b/>
                                  <w:color w:val="575757"/>
                                  <w:sz w:val="18"/>
                                </w:rPr>
                                <w:t>DE</w:t>
                              </w:r>
                              <w:r>
                                <w:rPr>
                                  <w:rFonts w:ascii="Calibri" w:hAnsi="Calibri"/>
                                  <w:b/>
                                  <w:color w:val="575757"/>
                                  <w:spacing w:val="63"/>
                                  <w:sz w:val="18"/>
                                </w:rPr>
                                <w:t> </w:t>
                              </w:r>
                              <w:r>
                                <w:rPr>
                                  <w:rFonts w:ascii="Calibri" w:hAnsi="Calibri"/>
                                  <w:b/>
                                  <w:color w:val="575757"/>
                                  <w:sz w:val="18"/>
                                </w:rPr>
                                <w:t>I</w:t>
                              </w:r>
                              <w:r>
                                <w:rPr>
                                  <w:rFonts w:ascii="Calibri" w:hAnsi="Calibri"/>
                                  <w:b/>
                                  <w:color w:val="575757"/>
                                  <w:spacing w:val="-13"/>
                                  <w:sz w:val="18"/>
                                </w:rPr>
                                <w:t> </w:t>
                              </w:r>
                              <w:r>
                                <w:rPr>
                                  <w:rFonts w:ascii="Calibri" w:hAnsi="Calibri"/>
                                  <w:b/>
                                  <w:color w:val="575757"/>
                                  <w:sz w:val="18"/>
                                </w:rPr>
                                <w:t>N</w:t>
                              </w:r>
                              <w:r>
                                <w:rPr>
                                  <w:rFonts w:ascii="Calibri" w:hAnsi="Calibri"/>
                                  <w:b/>
                                  <w:color w:val="575757"/>
                                  <w:spacing w:val="-13"/>
                                  <w:sz w:val="18"/>
                                </w:rPr>
                                <w:t> </w:t>
                              </w:r>
                              <w:r>
                                <w:rPr>
                                  <w:rFonts w:ascii="Calibri" w:hAnsi="Calibri"/>
                                  <w:b/>
                                  <w:color w:val="575757"/>
                                  <w:sz w:val="18"/>
                                </w:rPr>
                                <w:t>HI</w:t>
                              </w:r>
                              <w:r>
                                <w:rPr>
                                  <w:rFonts w:ascii="Calibri" w:hAnsi="Calibri"/>
                                  <w:b/>
                                  <w:color w:val="575757"/>
                                  <w:spacing w:val="1"/>
                                  <w:sz w:val="18"/>
                                </w:rPr>
                                <w:t> </w:t>
                              </w:r>
                              <w:r>
                                <w:rPr>
                                  <w:rFonts w:ascii="Calibri" w:hAnsi="Calibri"/>
                                  <w:b/>
                                  <w:color w:val="575757"/>
                                  <w:sz w:val="18"/>
                                </w:rPr>
                                <w:t>BI</w:t>
                              </w:r>
                              <w:r>
                                <w:rPr>
                                  <w:rFonts w:ascii="Calibri" w:hAnsi="Calibri"/>
                                  <w:b/>
                                  <w:color w:val="575757"/>
                                  <w:spacing w:val="-14"/>
                                  <w:sz w:val="18"/>
                                </w:rPr>
                                <w:t> </w:t>
                              </w:r>
                              <w:r>
                                <w:rPr>
                                  <w:rFonts w:ascii="Calibri" w:hAnsi="Calibri"/>
                                  <w:b/>
                                  <w:color w:val="575757"/>
                                  <w:sz w:val="18"/>
                                </w:rPr>
                                <w:t>C</w:t>
                              </w:r>
                              <w:r>
                                <w:rPr>
                                  <w:rFonts w:ascii="Calibri" w:hAnsi="Calibri"/>
                                  <w:b/>
                                  <w:color w:val="575757"/>
                                  <w:spacing w:val="-13"/>
                                  <w:sz w:val="18"/>
                                </w:rPr>
                                <w:t> </w:t>
                              </w:r>
                              <w:r>
                                <w:rPr>
                                  <w:rFonts w:ascii="Calibri" w:hAnsi="Calibri"/>
                                  <w:b/>
                                  <w:color w:val="575757"/>
                                  <w:sz w:val="18"/>
                                </w:rPr>
                                <w:t>I</w:t>
                              </w:r>
                              <w:r>
                                <w:rPr>
                                  <w:rFonts w:ascii="Calibri" w:hAnsi="Calibri"/>
                                  <w:b/>
                                  <w:color w:val="575757"/>
                                  <w:spacing w:val="-14"/>
                                  <w:sz w:val="18"/>
                                </w:rPr>
                                <w:t> </w:t>
                              </w:r>
                              <w:r>
                                <w:rPr>
                                  <w:rFonts w:ascii="Calibri" w:hAnsi="Calibri"/>
                                  <w:b/>
                                  <w:color w:val="575757"/>
                                  <w:sz w:val="18"/>
                                </w:rPr>
                                <w:t>ÓN</w:t>
                              </w:r>
                              <w:r>
                                <w:rPr>
                                  <w:rFonts w:ascii="Calibri" w:hAnsi="Calibri"/>
                                  <w:b/>
                                  <w:color w:val="575757"/>
                                  <w:spacing w:val="63"/>
                                  <w:w w:val="150"/>
                                  <w:sz w:val="18"/>
                                </w:rPr>
                                <w:t> </w:t>
                              </w:r>
                              <w:r>
                                <w:rPr>
                                  <w:rFonts w:ascii="Calibri" w:hAnsi="Calibri"/>
                                  <w:b/>
                                  <w:color w:val="575757"/>
                                  <w:sz w:val="18"/>
                                </w:rPr>
                                <w:t>–</w:t>
                              </w:r>
                              <w:r>
                                <w:rPr>
                                  <w:rFonts w:ascii="Calibri" w:hAnsi="Calibri"/>
                                  <w:b/>
                                  <w:color w:val="575757"/>
                                  <w:spacing w:val="53"/>
                                  <w:sz w:val="18"/>
                                </w:rPr>
                                <w:t> </w:t>
                              </w:r>
                              <w:r>
                                <w:rPr>
                                  <w:rFonts w:ascii="Calibri" w:hAnsi="Calibri"/>
                                  <w:b/>
                                  <w:color w:val="575757"/>
                                  <w:sz w:val="18"/>
                                </w:rPr>
                                <w:t>T</w:t>
                              </w:r>
                              <w:r>
                                <w:rPr>
                                  <w:rFonts w:ascii="Calibri" w:hAnsi="Calibri"/>
                                  <w:b/>
                                  <w:color w:val="575757"/>
                                  <w:spacing w:val="-16"/>
                                  <w:sz w:val="18"/>
                                </w:rPr>
                                <w:t> </w:t>
                              </w:r>
                              <w:r>
                                <w:rPr>
                                  <w:rFonts w:ascii="Calibri" w:hAnsi="Calibri"/>
                                  <w:b/>
                                  <w:color w:val="575757"/>
                                  <w:sz w:val="18"/>
                                </w:rPr>
                                <w:t>R</w:t>
                              </w:r>
                              <w:r>
                                <w:rPr>
                                  <w:rFonts w:ascii="Calibri" w:hAnsi="Calibri"/>
                                  <w:b/>
                                  <w:color w:val="575757"/>
                                  <w:spacing w:val="-16"/>
                                  <w:sz w:val="18"/>
                                </w:rPr>
                                <w:t> </w:t>
                              </w:r>
                              <w:r>
                                <w:rPr>
                                  <w:rFonts w:ascii="Calibri" w:hAnsi="Calibri"/>
                                  <w:b/>
                                  <w:color w:val="575757"/>
                                  <w:spacing w:val="9"/>
                                  <w:sz w:val="18"/>
                                </w:rPr>
                                <w:t>AT</w:t>
                              </w:r>
                              <w:r>
                                <w:rPr>
                                  <w:rFonts w:ascii="Calibri" w:hAnsi="Calibri"/>
                                  <w:b/>
                                  <w:color w:val="575757"/>
                                  <w:spacing w:val="-16"/>
                                  <w:sz w:val="18"/>
                                </w:rPr>
                                <w:t> </w:t>
                              </w:r>
                              <w:r>
                                <w:rPr>
                                  <w:rFonts w:ascii="Calibri" w:hAnsi="Calibri"/>
                                  <w:b/>
                                  <w:color w:val="575757"/>
                                  <w:sz w:val="18"/>
                                </w:rPr>
                                <w:t>A</w:t>
                              </w:r>
                              <w:r>
                                <w:rPr>
                                  <w:rFonts w:ascii="Calibri" w:hAnsi="Calibri"/>
                                  <w:b/>
                                  <w:color w:val="575757"/>
                                  <w:spacing w:val="-15"/>
                                  <w:sz w:val="18"/>
                                </w:rPr>
                                <w:t> </w:t>
                              </w:r>
                              <w:r>
                                <w:rPr>
                                  <w:rFonts w:ascii="Calibri" w:hAnsi="Calibri"/>
                                  <w:b/>
                                  <w:color w:val="575757"/>
                                  <w:sz w:val="18"/>
                                </w:rPr>
                                <w:t>MI</w:t>
                              </w:r>
                              <w:r>
                                <w:rPr>
                                  <w:rFonts w:ascii="Calibri" w:hAnsi="Calibri"/>
                                  <w:b/>
                                  <w:color w:val="575757"/>
                                  <w:spacing w:val="-14"/>
                                  <w:sz w:val="18"/>
                                </w:rPr>
                                <w:t> </w:t>
                              </w:r>
                              <w:r>
                                <w:rPr>
                                  <w:rFonts w:ascii="Calibri" w:hAnsi="Calibri"/>
                                  <w:b/>
                                  <w:color w:val="575757"/>
                                  <w:sz w:val="18"/>
                                </w:rPr>
                                <w:t>E</w:t>
                              </w:r>
                              <w:r>
                                <w:rPr>
                                  <w:rFonts w:ascii="Calibri" w:hAnsi="Calibri"/>
                                  <w:b/>
                                  <w:color w:val="575757"/>
                                  <w:spacing w:val="-13"/>
                                  <w:sz w:val="18"/>
                                </w:rPr>
                                <w:t> </w:t>
                              </w:r>
                              <w:r>
                                <w:rPr>
                                  <w:rFonts w:ascii="Calibri" w:hAnsi="Calibri"/>
                                  <w:b/>
                                  <w:color w:val="575757"/>
                                  <w:sz w:val="18"/>
                                </w:rPr>
                                <w:t>N</w:t>
                              </w:r>
                              <w:r>
                                <w:rPr>
                                  <w:rFonts w:ascii="Calibri" w:hAnsi="Calibri"/>
                                  <w:b/>
                                  <w:color w:val="575757"/>
                                  <w:spacing w:val="-13"/>
                                  <w:sz w:val="18"/>
                                </w:rPr>
                                <w:t> </w:t>
                              </w:r>
                              <w:r>
                                <w:rPr>
                                  <w:rFonts w:ascii="Calibri" w:hAnsi="Calibri"/>
                                  <w:b/>
                                  <w:color w:val="575757"/>
                                  <w:sz w:val="18"/>
                                </w:rPr>
                                <w:t>T</w:t>
                              </w:r>
                              <w:r>
                                <w:rPr>
                                  <w:rFonts w:ascii="Calibri" w:hAnsi="Calibri"/>
                                  <w:b/>
                                  <w:color w:val="575757"/>
                                  <w:spacing w:val="-15"/>
                                  <w:sz w:val="18"/>
                                </w:rPr>
                                <w:t> </w:t>
                              </w:r>
                              <w:r>
                                <w:rPr>
                                  <w:rFonts w:ascii="Calibri" w:hAnsi="Calibri"/>
                                  <w:b/>
                                  <w:color w:val="575757"/>
                                  <w:spacing w:val="-5"/>
                                  <w:sz w:val="18"/>
                                </w:rPr>
                                <w:t>OS</w:t>
                              </w:r>
                            </w:p>
                            <w:p>
                              <w:pPr>
                                <w:spacing w:line="214" w:lineRule="exact" w:before="0"/>
                                <w:ind w:left="6" w:right="349" w:firstLine="0"/>
                                <w:jc w:val="center"/>
                                <w:rPr>
                                  <w:rFonts w:ascii="Calibri"/>
                                  <w:b/>
                                  <w:sz w:val="18"/>
                                </w:rPr>
                              </w:pPr>
                              <w:r>
                                <w:rPr>
                                  <w:rFonts w:ascii="Calibri"/>
                                  <w:b/>
                                  <w:color w:val="575757"/>
                                  <w:sz w:val="18"/>
                                </w:rPr>
                                <w:t>I</w:t>
                              </w:r>
                              <w:r>
                                <w:rPr>
                                  <w:rFonts w:ascii="Calibri"/>
                                  <w:b/>
                                  <w:color w:val="575757"/>
                                  <w:spacing w:val="-15"/>
                                  <w:sz w:val="18"/>
                                </w:rPr>
                                <w:t> </w:t>
                              </w:r>
                              <w:r>
                                <w:rPr>
                                  <w:rFonts w:ascii="Calibri"/>
                                  <w:b/>
                                  <w:color w:val="575757"/>
                                  <w:sz w:val="18"/>
                                </w:rPr>
                                <w:t>N</w:t>
                              </w:r>
                              <w:r>
                                <w:rPr>
                                  <w:rFonts w:ascii="Calibri"/>
                                  <w:b/>
                                  <w:color w:val="575757"/>
                                  <w:spacing w:val="-14"/>
                                  <w:sz w:val="18"/>
                                </w:rPr>
                                <w:t> </w:t>
                              </w:r>
                              <w:r>
                                <w:rPr>
                                  <w:rFonts w:ascii="Calibri"/>
                                  <w:b/>
                                  <w:color w:val="575757"/>
                                  <w:sz w:val="18"/>
                                </w:rPr>
                                <w:t>DI</w:t>
                              </w:r>
                              <w:r>
                                <w:rPr>
                                  <w:rFonts w:ascii="Calibri"/>
                                  <w:b/>
                                  <w:color w:val="575757"/>
                                  <w:spacing w:val="-15"/>
                                  <w:sz w:val="18"/>
                                </w:rPr>
                                <w:t> </w:t>
                              </w:r>
                              <w:r>
                                <w:rPr>
                                  <w:rFonts w:ascii="Calibri"/>
                                  <w:b/>
                                  <w:color w:val="575757"/>
                                  <w:sz w:val="18"/>
                                </w:rPr>
                                <w:t>V</w:t>
                              </w:r>
                              <w:r>
                                <w:rPr>
                                  <w:rFonts w:ascii="Calibri"/>
                                  <w:b/>
                                  <w:color w:val="575757"/>
                                  <w:spacing w:val="-13"/>
                                  <w:sz w:val="18"/>
                                </w:rPr>
                                <w:t> </w:t>
                              </w:r>
                              <w:r>
                                <w:rPr>
                                  <w:rFonts w:ascii="Calibri"/>
                                  <w:b/>
                                  <w:color w:val="575757"/>
                                  <w:sz w:val="18"/>
                                </w:rPr>
                                <w:t>I</w:t>
                              </w:r>
                              <w:r>
                                <w:rPr>
                                  <w:rFonts w:ascii="Calibri"/>
                                  <w:b/>
                                  <w:color w:val="575757"/>
                                  <w:spacing w:val="-15"/>
                                  <w:sz w:val="18"/>
                                </w:rPr>
                                <w:t> </w:t>
                              </w:r>
                              <w:r>
                                <w:rPr>
                                  <w:rFonts w:ascii="Calibri"/>
                                  <w:b/>
                                  <w:color w:val="575757"/>
                                  <w:spacing w:val="9"/>
                                  <w:sz w:val="18"/>
                                </w:rPr>
                                <w:t>DUA</w:t>
                              </w:r>
                              <w:r>
                                <w:rPr>
                                  <w:rFonts w:ascii="Calibri"/>
                                  <w:b/>
                                  <w:color w:val="575757"/>
                                  <w:spacing w:val="-3"/>
                                  <w:sz w:val="18"/>
                                </w:rPr>
                                <w:t> </w:t>
                              </w:r>
                              <w:r>
                                <w:rPr>
                                  <w:rFonts w:ascii="Calibri"/>
                                  <w:b/>
                                  <w:color w:val="575757"/>
                                  <w:sz w:val="18"/>
                                </w:rPr>
                                <w:t>L</w:t>
                              </w:r>
                              <w:r>
                                <w:rPr>
                                  <w:rFonts w:ascii="Calibri"/>
                                  <w:b/>
                                  <w:color w:val="575757"/>
                                  <w:spacing w:val="-15"/>
                                  <w:sz w:val="18"/>
                                </w:rPr>
                                <w:t> </w:t>
                              </w:r>
                              <w:r>
                                <w:rPr>
                                  <w:rFonts w:ascii="Calibri"/>
                                  <w:b/>
                                  <w:color w:val="575757"/>
                                  <w:sz w:val="18"/>
                                </w:rPr>
                                <w:t>E</w:t>
                              </w:r>
                              <w:r>
                                <w:rPr>
                                  <w:rFonts w:ascii="Calibri"/>
                                  <w:b/>
                                  <w:color w:val="575757"/>
                                  <w:spacing w:val="-14"/>
                                  <w:sz w:val="18"/>
                                </w:rPr>
                                <w:t> </w:t>
                              </w:r>
                              <w:r>
                                <w:rPr>
                                  <w:rFonts w:ascii="Calibri"/>
                                  <w:b/>
                                  <w:color w:val="575757"/>
                                  <w:spacing w:val="-10"/>
                                  <w:sz w:val="18"/>
                                </w:rPr>
                                <w:t>S</w:t>
                              </w:r>
                            </w:p>
                            <w:p>
                              <w:pPr>
                                <w:tabs>
                                  <w:tab w:pos="1156" w:val="left" w:leader="none"/>
                                  <w:tab w:pos="2464" w:val="left" w:leader="none"/>
                                  <w:tab w:pos="3537" w:val="left" w:leader="none"/>
                                  <w:tab w:pos="5145" w:val="left" w:leader="none"/>
                                </w:tabs>
                                <w:spacing w:line="216" w:lineRule="exact" w:before="92"/>
                                <w:ind w:left="0" w:right="0" w:firstLine="0"/>
                                <w:jc w:val="left"/>
                                <w:rPr>
                                  <w:rFonts w:ascii="Calibri"/>
                                  <w:sz w:val="18"/>
                                </w:rPr>
                              </w:pPr>
                              <w:r>
                                <w:rPr>
                                  <w:rFonts w:ascii="Calibri"/>
                                  <w:color w:val="575757"/>
                                  <w:spacing w:val="-2"/>
                                  <w:sz w:val="18"/>
                                </w:rPr>
                                <w:t>Amoxicilina</w:t>
                              </w:r>
                              <w:r>
                                <w:rPr>
                                  <w:rFonts w:ascii="Calibri"/>
                                  <w:color w:val="575757"/>
                                  <w:sz w:val="18"/>
                                </w:rPr>
                                <w:tab/>
                              </w:r>
                              <w:r>
                                <w:rPr>
                                  <w:rFonts w:ascii="Calibri"/>
                                  <w:color w:val="575757"/>
                                  <w:spacing w:val="-2"/>
                                  <w:sz w:val="18"/>
                                </w:rPr>
                                <w:t>Enrofloxacina</w:t>
                              </w:r>
                              <w:r>
                                <w:rPr>
                                  <w:rFonts w:ascii="Calibri"/>
                                  <w:color w:val="575757"/>
                                  <w:sz w:val="18"/>
                                </w:rPr>
                                <w:tab/>
                              </w:r>
                              <w:r>
                                <w:rPr>
                                  <w:rFonts w:ascii="Calibri"/>
                                  <w:color w:val="575757"/>
                                  <w:spacing w:val="-2"/>
                                  <w:sz w:val="18"/>
                                </w:rPr>
                                <w:t>Cefalexina</w:t>
                              </w:r>
                              <w:r>
                                <w:rPr>
                                  <w:rFonts w:ascii="Calibri"/>
                                  <w:color w:val="575757"/>
                                  <w:sz w:val="18"/>
                                </w:rPr>
                                <w:tab/>
                                <w:t>CBD</w:t>
                              </w:r>
                              <w:r>
                                <w:rPr>
                                  <w:rFonts w:ascii="Calibri"/>
                                  <w:color w:val="575757"/>
                                  <w:spacing w:val="-3"/>
                                  <w:sz w:val="18"/>
                                </w:rPr>
                                <w:t> </w:t>
                              </w:r>
                              <w:r>
                                <w:rPr>
                                  <w:rFonts w:ascii="Calibri"/>
                                  <w:color w:val="575757"/>
                                  <w:sz w:val="18"/>
                                </w:rPr>
                                <w:t>+</w:t>
                              </w:r>
                              <w:r>
                                <w:rPr>
                                  <w:rFonts w:ascii="Calibri"/>
                                  <w:color w:val="575757"/>
                                  <w:spacing w:val="-2"/>
                                  <w:sz w:val="18"/>
                                </w:rPr>
                                <w:t> </w:t>
                              </w:r>
                              <w:r>
                                <w:rPr>
                                  <w:rFonts w:ascii="Calibri"/>
                                  <w:color w:val="575757"/>
                                  <w:sz w:val="18"/>
                                </w:rPr>
                                <w:t>Etanol</w:t>
                              </w:r>
                              <w:r>
                                <w:rPr>
                                  <w:rFonts w:ascii="Calibri"/>
                                  <w:color w:val="575757"/>
                                  <w:spacing w:val="-4"/>
                                  <w:sz w:val="18"/>
                                </w:rPr>
                                <w:t> </w:t>
                              </w:r>
                              <w:r>
                                <w:rPr>
                                  <w:rFonts w:ascii="Calibri"/>
                                  <w:color w:val="575757"/>
                                  <w:spacing w:val="-5"/>
                                  <w:sz w:val="18"/>
                                </w:rPr>
                                <w:t>70%</w:t>
                              </w:r>
                              <w:r>
                                <w:rPr>
                                  <w:rFonts w:ascii="Calibri"/>
                                  <w:color w:val="575757"/>
                                  <w:sz w:val="18"/>
                                </w:rPr>
                                <w:tab/>
                                <w:t>CBD +</w:t>
                              </w:r>
                              <w:r>
                                <w:rPr>
                                  <w:rFonts w:ascii="Calibri"/>
                                  <w:color w:val="575757"/>
                                  <w:spacing w:val="-2"/>
                                  <w:sz w:val="18"/>
                                </w:rPr>
                                <w:t> </w:t>
                              </w:r>
                              <w:r>
                                <w:rPr>
                                  <w:rFonts w:ascii="Calibri"/>
                                  <w:color w:val="575757"/>
                                  <w:spacing w:val="-4"/>
                                  <w:sz w:val="18"/>
                                </w:rPr>
                                <w:t>DMSO</w:t>
                              </w:r>
                            </w:p>
                          </w:txbxContent>
                        </wps:txbx>
                        <wps:bodyPr wrap="square" lIns="0" tIns="0" rIns="0" bIns="0" rtlCol="0">
                          <a:noAutofit/>
                        </wps:bodyPr>
                      </wps:wsp>
                      <wps:wsp>
                        <wps:cNvPr id="24" name="Textbox 24"/>
                        <wps:cNvSpPr txBox="1"/>
                        <wps:spPr>
                          <a:xfrm>
                            <a:off x="246443" y="2718752"/>
                            <a:ext cx="2671445" cy="229235"/>
                          </a:xfrm>
                          <a:prstGeom prst="rect">
                            <a:avLst/>
                          </a:prstGeom>
                        </wps:spPr>
                        <wps:txbx>
                          <w:txbxContent>
                            <w:p>
                              <w:pPr>
                                <w:tabs>
                                  <w:tab w:pos="1364" w:val="left" w:leader="none"/>
                                  <w:tab w:pos="3064" w:val="left" w:leader="none"/>
                                </w:tabs>
                                <w:spacing w:line="154" w:lineRule="exact" w:before="0"/>
                                <w:ind w:left="0" w:right="0" w:firstLine="0"/>
                                <w:jc w:val="left"/>
                                <w:rPr>
                                  <w:rFonts w:ascii="Calibri"/>
                                  <w:sz w:val="16"/>
                                </w:rPr>
                              </w:pPr>
                              <w:r>
                                <w:rPr>
                                  <w:rFonts w:ascii="Calibri"/>
                                  <w:color w:val="575757"/>
                                  <w:sz w:val="16"/>
                                </w:rPr>
                                <w:t>A</w:t>
                              </w:r>
                              <w:r>
                                <w:rPr>
                                  <w:rFonts w:ascii="Calibri"/>
                                  <w:color w:val="575757"/>
                                  <w:spacing w:val="-11"/>
                                  <w:sz w:val="16"/>
                                </w:rPr>
                                <w:t> </w:t>
                              </w:r>
                              <w:r>
                                <w:rPr>
                                  <w:rFonts w:ascii="Calibri"/>
                                  <w:color w:val="575757"/>
                                  <w:spacing w:val="9"/>
                                  <w:sz w:val="16"/>
                                </w:rPr>
                                <w:t>MO</w:t>
                              </w:r>
                              <w:r>
                                <w:rPr>
                                  <w:rFonts w:ascii="Calibri"/>
                                  <w:color w:val="575757"/>
                                  <w:spacing w:val="-13"/>
                                  <w:sz w:val="16"/>
                                </w:rPr>
                                <w:t> </w:t>
                              </w:r>
                              <w:r>
                                <w:rPr>
                                  <w:rFonts w:ascii="Calibri"/>
                                  <w:color w:val="575757"/>
                                  <w:sz w:val="16"/>
                                </w:rPr>
                                <w:t>X</w:t>
                              </w:r>
                              <w:r>
                                <w:rPr>
                                  <w:rFonts w:ascii="Calibri"/>
                                  <w:color w:val="575757"/>
                                  <w:spacing w:val="-10"/>
                                  <w:sz w:val="16"/>
                                </w:rPr>
                                <w:t> </w:t>
                              </w:r>
                              <w:r>
                                <w:rPr>
                                  <w:rFonts w:ascii="Calibri"/>
                                  <w:color w:val="575757"/>
                                  <w:sz w:val="16"/>
                                </w:rPr>
                                <w:t>I</w:t>
                              </w:r>
                              <w:r>
                                <w:rPr>
                                  <w:rFonts w:ascii="Calibri"/>
                                  <w:color w:val="575757"/>
                                  <w:spacing w:val="-10"/>
                                  <w:sz w:val="16"/>
                                </w:rPr>
                                <w:t> </w:t>
                              </w:r>
                              <w:r>
                                <w:rPr>
                                  <w:rFonts w:ascii="Calibri"/>
                                  <w:color w:val="575757"/>
                                  <w:sz w:val="16"/>
                                </w:rPr>
                                <w:t>CI</w:t>
                              </w:r>
                              <w:r>
                                <w:rPr>
                                  <w:rFonts w:ascii="Calibri"/>
                                  <w:color w:val="575757"/>
                                  <w:spacing w:val="-11"/>
                                  <w:sz w:val="16"/>
                                </w:rPr>
                                <w:t> </w:t>
                              </w:r>
                              <w:r>
                                <w:rPr>
                                  <w:rFonts w:ascii="Calibri"/>
                                  <w:color w:val="575757"/>
                                  <w:sz w:val="16"/>
                                </w:rPr>
                                <w:t>L</w:t>
                              </w:r>
                              <w:r>
                                <w:rPr>
                                  <w:rFonts w:ascii="Calibri"/>
                                  <w:color w:val="575757"/>
                                  <w:spacing w:val="-9"/>
                                  <w:sz w:val="16"/>
                                </w:rPr>
                                <w:t> </w:t>
                              </w:r>
                              <w:r>
                                <w:rPr>
                                  <w:rFonts w:ascii="Calibri"/>
                                  <w:color w:val="575757"/>
                                  <w:sz w:val="16"/>
                                </w:rPr>
                                <w:t>I</w:t>
                              </w:r>
                              <w:r>
                                <w:rPr>
                                  <w:rFonts w:ascii="Calibri"/>
                                  <w:color w:val="575757"/>
                                  <w:spacing w:val="-11"/>
                                  <w:sz w:val="16"/>
                                </w:rPr>
                                <w:t> </w:t>
                              </w:r>
                              <w:r>
                                <w:rPr>
                                  <w:rFonts w:ascii="Calibri"/>
                                  <w:color w:val="575757"/>
                                  <w:sz w:val="16"/>
                                </w:rPr>
                                <w:t>N</w:t>
                              </w:r>
                              <w:r>
                                <w:rPr>
                                  <w:rFonts w:ascii="Calibri"/>
                                  <w:color w:val="575757"/>
                                  <w:spacing w:val="-9"/>
                                  <w:sz w:val="16"/>
                                </w:rPr>
                                <w:t> </w:t>
                              </w:r>
                              <w:r>
                                <w:rPr>
                                  <w:rFonts w:ascii="Calibri"/>
                                  <w:color w:val="575757"/>
                                  <w:spacing w:val="-10"/>
                                  <w:sz w:val="16"/>
                                </w:rPr>
                                <w:t>A</w:t>
                              </w:r>
                              <w:r>
                                <w:rPr>
                                  <w:rFonts w:ascii="Calibri"/>
                                  <w:color w:val="575757"/>
                                  <w:sz w:val="16"/>
                                </w:rPr>
                                <w:tab/>
                                <w:t>E</w:t>
                              </w:r>
                              <w:r>
                                <w:rPr>
                                  <w:rFonts w:ascii="Calibri"/>
                                  <w:color w:val="575757"/>
                                  <w:spacing w:val="-8"/>
                                  <w:sz w:val="16"/>
                                </w:rPr>
                                <w:t> </w:t>
                              </w:r>
                              <w:r>
                                <w:rPr>
                                  <w:rFonts w:ascii="Calibri"/>
                                  <w:color w:val="575757"/>
                                  <w:sz w:val="16"/>
                                </w:rPr>
                                <w:t>N</w:t>
                              </w:r>
                              <w:r>
                                <w:rPr>
                                  <w:rFonts w:ascii="Calibri"/>
                                  <w:color w:val="575757"/>
                                  <w:spacing w:val="-8"/>
                                  <w:sz w:val="16"/>
                                </w:rPr>
                                <w:t> </w:t>
                              </w:r>
                              <w:r>
                                <w:rPr>
                                  <w:rFonts w:ascii="Calibri"/>
                                  <w:color w:val="575757"/>
                                  <w:sz w:val="16"/>
                                </w:rPr>
                                <w:t>R</w:t>
                              </w:r>
                              <w:r>
                                <w:rPr>
                                  <w:rFonts w:ascii="Calibri"/>
                                  <w:color w:val="575757"/>
                                  <w:spacing w:val="-8"/>
                                  <w:sz w:val="16"/>
                                </w:rPr>
                                <w:t> </w:t>
                              </w:r>
                              <w:r>
                                <w:rPr>
                                  <w:rFonts w:ascii="Calibri"/>
                                  <w:color w:val="575757"/>
                                  <w:sz w:val="16"/>
                                </w:rPr>
                                <w:t>O</w:t>
                              </w:r>
                              <w:r>
                                <w:rPr>
                                  <w:rFonts w:ascii="Calibri"/>
                                  <w:color w:val="575757"/>
                                  <w:spacing w:val="-12"/>
                                  <w:sz w:val="16"/>
                                </w:rPr>
                                <w:t> </w:t>
                              </w:r>
                              <w:r>
                                <w:rPr>
                                  <w:rFonts w:ascii="Calibri"/>
                                  <w:color w:val="575757"/>
                                  <w:sz w:val="16"/>
                                </w:rPr>
                                <w:t>FL</w:t>
                              </w:r>
                              <w:r>
                                <w:rPr>
                                  <w:rFonts w:ascii="Calibri"/>
                                  <w:color w:val="575757"/>
                                  <w:spacing w:val="-8"/>
                                  <w:sz w:val="16"/>
                                </w:rPr>
                                <w:t> </w:t>
                              </w:r>
                              <w:r>
                                <w:rPr>
                                  <w:rFonts w:ascii="Calibri"/>
                                  <w:color w:val="575757"/>
                                  <w:sz w:val="16"/>
                                </w:rPr>
                                <w:t>O</w:t>
                              </w:r>
                              <w:r>
                                <w:rPr>
                                  <w:rFonts w:ascii="Calibri"/>
                                  <w:color w:val="575757"/>
                                  <w:spacing w:val="-12"/>
                                  <w:sz w:val="16"/>
                                </w:rPr>
                                <w:t> </w:t>
                              </w:r>
                              <w:r>
                                <w:rPr>
                                  <w:rFonts w:ascii="Calibri"/>
                                  <w:color w:val="575757"/>
                                  <w:sz w:val="16"/>
                                </w:rPr>
                                <w:t>X</w:t>
                              </w:r>
                              <w:r>
                                <w:rPr>
                                  <w:rFonts w:ascii="Calibri"/>
                                  <w:color w:val="575757"/>
                                  <w:spacing w:val="-7"/>
                                  <w:sz w:val="16"/>
                                </w:rPr>
                                <w:t> </w:t>
                              </w:r>
                              <w:r>
                                <w:rPr>
                                  <w:rFonts w:ascii="Calibri"/>
                                  <w:color w:val="575757"/>
                                  <w:sz w:val="16"/>
                                </w:rPr>
                                <w:t>A</w:t>
                              </w:r>
                              <w:r>
                                <w:rPr>
                                  <w:rFonts w:ascii="Calibri"/>
                                  <w:color w:val="575757"/>
                                  <w:spacing w:val="-10"/>
                                  <w:sz w:val="16"/>
                                </w:rPr>
                                <w:t> </w:t>
                              </w:r>
                              <w:r>
                                <w:rPr>
                                  <w:rFonts w:ascii="Calibri"/>
                                  <w:color w:val="575757"/>
                                  <w:sz w:val="16"/>
                                </w:rPr>
                                <w:t>CI</w:t>
                              </w:r>
                              <w:r>
                                <w:rPr>
                                  <w:rFonts w:ascii="Calibri"/>
                                  <w:color w:val="575757"/>
                                  <w:spacing w:val="-9"/>
                                  <w:sz w:val="16"/>
                                </w:rPr>
                                <w:t> </w:t>
                              </w:r>
                              <w:r>
                                <w:rPr>
                                  <w:rFonts w:ascii="Calibri"/>
                                  <w:color w:val="575757"/>
                                  <w:sz w:val="16"/>
                                </w:rPr>
                                <w:t>N</w:t>
                              </w:r>
                              <w:r>
                                <w:rPr>
                                  <w:rFonts w:ascii="Calibri"/>
                                  <w:color w:val="575757"/>
                                  <w:spacing w:val="-8"/>
                                  <w:sz w:val="16"/>
                                </w:rPr>
                                <w:t> </w:t>
                              </w:r>
                              <w:r>
                                <w:rPr>
                                  <w:rFonts w:ascii="Calibri"/>
                                  <w:color w:val="575757"/>
                                  <w:spacing w:val="-10"/>
                                  <w:sz w:val="16"/>
                                </w:rPr>
                                <w:t>A</w:t>
                              </w:r>
                              <w:r>
                                <w:rPr>
                                  <w:rFonts w:ascii="Calibri"/>
                                  <w:color w:val="575757"/>
                                  <w:sz w:val="16"/>
                                </w:rPr>
                                <w:tab/>
                                <w:t>CE</w:t>
                              </w:r>
                              <w:r>
                                <w:rPr>
                                  <w:rFonts w:ascii="Calibri"/>
                                  <w:color w:val="575757"/>
                                  <w:spacing w:val="-9"/>
                                  <w:sz w:val="16"/>
                                </w:rPr>
                                <w:t> </w:t>
                              </w:r>
                              <w:r>
                                <w:rPr>
                                  <w:rFonts w:ascii="Calibri"/>
                                  <w:color w:val="575757"/>
                                  <w:sz w:val="16"/>
                                </w:rPr>
                                <w:t>F</w:t>
                              </w:r>
                              <w:r>
                                <w:rPr>
                                  <w:rFonts w:ascii="Calibri"/>
                                  <w:color w:val="575757"/>
                                  <w:spacing w:val="-12"/>
                                  <w:sz w:val="16"/>
                                </w:rPr>
                                <w:t> </w:t>
                              </w:r>
                              <w:r>
                                <w:rPr>
                                  <w:rFonts w:ascii="Calibri"/>
                                  <w:color w:val="575757"/>
                                  <w:sz w:val="16"/>
                                </w:rPr>
                                <w:t>A</w:t>
                              </w:r>
                              <w:r>
                                <w:rPr>
                                  <w:rFonts w:ascii="Calibri"/>
                                  <w:color w:val="575757"/>
                                  <w:spacing w:val="-11"/>
                                  <w:sz w:val="16"/>
                                </w:rPr>
                                <w:t> </w:t>
                              </w:r>
                              <w:r>
                                <w:rPr>
                                  <w:rFonts w:ascii="Calibri"/>
                                  <w:color w:val="575757"/>
                                  <w:sz w:val="16"/>
                                </w:rPr>
                                <w:t>L</w:t>
                              </w:r>
                              <w:r>
                                <w:rPr>
                                  <w:rFonts w:ascii="Calibri"/>
                                  <w:color w:val="575757"/>
                                  <w:spacing w:val="-10"/>
                                  <w:sz w:val="16"/>
                                </w:rPr>
                                <w:t> </w:t>
                              </w:r>
                              <w:r>
                                <w:rPr>
                                  <w:rFonts w:ascii="Calibri"/>
                                  <w:color w:val="575757"/>
                                  <w:sz w:val="16"/>
                                </w:rPr>
                                <w:t>E</w:t>
                              </w:r>
                              <w:r>
                                <w:rPr>
                                  <w:rFonts w:ascii="Calibri"/>
                                  <w:color w:val="575757"/>
                                  <w:spacing w:val="-7"/>
                                  <w:sz w:val="16"/>
                                </w:rPr>
                                <w:t> </w:t>
                              </w:r>
                              <w:r>
                                <w:rPr>
                                  <w:rFonts w:ascii="Calibri"/>
                                  <w:color w:val="575757"/>
                                  <w:sz w:val="16"/>
                                </w:rPr>
                                <w:t>X</w:t>
                              </w:r>
                              <w:r>
                                <w:rPr>
                                  <w:rFonts w:ascii="Calibri"/>
                                  <w:color w:val="575757"/>
                                  <w:spacing w:val="-10"/>
                                  <w:sz w:val="16"/>
                                </w:rPr>
                                <w:t> </w:t>
                              </w:r>
                              <w:r>
                                <w:rPr>
                                  <w:rFonts w:ascii="Calibri"/>
                                  <w:color w:val="575757"/>
                                  <w:sz w:val="16"/>
                                </w:rPr>
                                <w:t>I</w:t>
                              </w:r>
                              <w:r>
                                <w:rPr>
                                  <w:rFonts w:ascii="Calibri"/>
                                  <w:color w:val="575757"/>
                                  <w:spacing w:val="-11"/>
                                  <w:sz w:val="16"/>
                                </w:rPr>
                                <w:t> </w:t>
                              </w:r>
                              <w:r>
                                <w:rPr>
                                  <w:rFonts w:ascii="Calibri"/>
                                  <w:color w:val="575757"/>
                                  <w:sz w:val="16"/>
                                </w:rPr>
                                <w:t>N</w:t>
                              </w:r>
                              <w:r>
                                <w:rPr>
                                  <w:rFonts w:ascii="Calibri"/>
                                  <w:color w:val="575757"/>
                                  <w:spacing w:val="-9"/>
                                  <w:sz w:val="16"/>
                                </w:rPr>
                                <w:t> </w:t>
                              </w:r>
                              <w:r>
                                <w:rPr>
                                  <w:rFonts w:ascii="Calibri"/>
                                  <w:color w:val="575757"/>
                                  <w:spacing w:val="-10"/>
                                  <w:sz w:val="16"/>
                                </w:rPr>
                                <w:t>A</w:t>
                              </w:r>
                            </w:p>
                            <w:p>
                              <w:pPr>
                                <w:spacing w:line="207" w:lineRule="exact" w:before="0"/>
                                <w:ind w:left="3085" w:right="0" w:firstLine="0"/>
                                <w:jc w:val="left"/>
                                <w:rPr>
                                  <w:rFonts w:ascii="Calibri"/>
                                  <w:b/>
                                  <w:sz w:val="18"/>
                                </w:rPr>
                              </w:pPr>
                              <w:r>
                                <w:rPr>
                                  <w:rFonts w:ascii="Calibri"/>
                                  <w:b/>
                                  <w:color w:val="575757"/>
                                  <w:spacing w:val="-2"/>
                                  <w:sz w:val="18"/>
                                </w:rPr>
                                <w:t>TRATAMIENTO</w:t>
                              </w:r>
                            </w:p>
                          </w:txbxContent>
                        </wps:txbx>
                        <wps:bodyPr wrap="square" lIns="0" tIns="0" rIns="0" bIns="0" rtlCol="0">
                          <a:noAutofit/>
                        </wps:bodyPr>
                      </wps:wsp>
                      <wps:wsp>
                        <wps:cNvPr id="25" name="Textbox 25"/>
                        <wps:cNvSpPr txBox="1"/>
                        <wps:spPr>
                          <a:xfrm>
                            <a:off x="3092132" y="2723832"/>
                            <a:ext cx="782320" cy="218440"/>
                          </a:xfrm>
                          <a:prstGeom prst="rect">
                            <a:avLst/>
                          </a:prstGeom>
                        </wps:spPr>
                        <wps:txbx>
                          <w:txbxContent>
                            <w:p>
                              <w:pPr>
                                <w:spacing w:line="157" w:lineRule="exact" w:before="0"/>
                                <w:ind w:left="-1" w:right="18" w:firstLine="0"/>
                                <w:jc w:val="center"/>
                                <w:rPr>
                                  <w:rFonts w:ascii="Calibri"/>
                                  <w:sz w:val="16"/>
                                </w:rPr>
                              </w:pPr>
                              <w:r>
                                <w:rPr>
                                  <w:rFonts w:ascii="Calibri"/>
                                  <w:color w:val="575757"/>
                                  <w:sz w:val="16"/>
                                </w:rPr>
                                <w:t>CB</w:t>
                              </w:r>
                              <w:r>
                                <w:rPr>
                                  <w:rFonts w:ascii="Calibri"/>
                                  <w:color w:val="575757"/>
                                  <w:spacing w:val="-11"/>
                                  <w:sz w:val="16"/>
                                </w:rPr>
                                <w:t> </w:t>
                              </w:r>
                              <w:r>
                                <w:rPr>
                                  <w:rFonts w:ascii="Calibri"/>
                                  <w:color w:val="575757"/>
                                  <w:sz w:val="16"/>
                                </w:rPr>
                                <w:t>D</w:t>
                              </w:r>
                              <w:r>
                                <w:rPr>
                                  <w:rFonts w:ascii="Calibri"/>
                                  <w:color w:val="575757"/>
                                  <w:spacing w:val="54"/>
                                  <w:sz w:val="16"/>
                                </w:rPr>
                                <w:t> </w:t>
                              </w:r>
                              <w:r>
                                <w:rPr>
                                  <w:rFonts w:ascii="Calibri"/>
                                  <w:color w:val="575757"/>
                                  <w:sz w:val="16"/>
                                </w:rPr>
                                <w:t>+</w:t>
                              </w:r>
                              <w:r>
                                <w:rPr>
                                  <w:rFonts w:ascii="Calibri"/>
                                  <w:color w:val="575757"/>
                                  <w:spacing w:val="53"/>
                                  <w:sz w:val="16"/>
                                </w:rPr>
                                <w:t> </w:t>
                              </w:r>
                              <w:r>
                                <w:rPr>
                                  <w:rFonts w:ascii="Calibri"/>
                                  <w:color w:val="575757"/>
                                  <w:sz w:val="16"/>
                                </w:rPr>
                                <w:t>E</w:t>
                              </w:r>
                              <w:r>
                                <w:rPr>
                                  <w:rFonts w:ascii="Calibri"/>
                                  <w:color w:val="575757"/>
                                  <w:spacing w:val="-10"/>
                                  <w:sz w:val="16"/>
                                </w:rPr>
                                <w:t> </w:t>
                              </w:r>
                              <w:r>
                                <w:rPr>
                                  <w:rFonts w:ascii="Calibri"/>
                                  <w:color w:val="575757"/>
                                  <w:sz w:val="16"/>
                                </w:rPr>
                                <w:t>T</w:t>
                              </w:r>
                              <w:r>
                                <w:rPr>
                                  <w:rFonts w:ascii="Calibri"/>
                                  <w:color w:val="575757"/>
                                  <w:spacing w:val="-9"/>
                                  <w:sz w:val="16"/>
                                </w:rPr>
                                <w:t> </w:t>
                              </w:r>
                              <w:r>
                                <w:rPr>
                                  <w:rFonts w:ascii="Calibri"/>
                                  <w:color w:val="575757"/>
                                  <w:sz w:val="16"/>
                                </w:rPr>
                                <w:t>A</w:t>
                              </w:r>
                              <w:r>
                                <w:rPr>
                                  <w:rFonts w:ascii="Calibri"/>
                                  <w:color w:val="575757"/>
                                  <w:spacing w:val="-12"/>
                                  <w:sz w:val="16"/>
                                </w:rPr>
                                <w:t> </w:t>
                              </w:r>
                              <w:r>
                                <w:rPr>
                                  <w:rFonts w:ascii="Calibri"/>
                                  <w:color w:val="575757"/>
                                  <w:sz w:val="16"/>
                                </w:rPr>
                                <w:t>N</w:t>
                              </w:r>
                              <w:r>
                                <w:rPr>
                                  <w:rFonts w:ascii="Calibri"/>
                                  <w:color w:val="575757"/>
                                  <w:spacing w:val="-11"/>
                                  <w:sz w:val="16"/>
                                </w:rPr>
                                <w:t> </w:t>
                              </w:r>
                              <w:r>
                                <w:rPr>
                                  <w:rFonts w:ascii="Calibri"/>
                                  <w:color w:val="575757"/>
                                  <w:sz w:val="16"/>
                                </w:rPr>
                                <w:t>O</w:t>
                              </w:r>
                              <w:r>
                                <w:rPr>
                                  <w:rFonts w:ascii="Calibri"/>
                                  <w:color w:val="575757"/>
                                  <w:spacing w:val="-13"/>
                                  <w:sz w:val="16"/>
                                </w:rPr>
                                <w:t> </w:t>
                              </w:r>
                              <w:r>
                                <w:rPr>
                                  <w:rFonts w:ascii="Calibri"/>
                                  <w:color w:val="575757"/>
                                  <w:spacing w:val="-10"/>
                                  <w:sz w:val="16"/>
                                </w:rPr>
                                <w:t>L</w:t>
                              </w:r>
                            </w:p>
                            <w:p>
                              <w:pPr>
                                <w:spacing w:line="187" w:lineRule="exact" w:before="0"/>
                                <w:ind w:left="0" w:right="26" w:firstLine="0"/>
                                <w:jc w:val="center"/>
                                <w:rPr>
                                  <w:rFonts w:ascii="Calibri"/>
                                  <w:sz w:val="16"/>
                                </w:rPr>
                              </w:pPr>
                              <w:r>
                                <w:rPr>
                                  <w:rFonts w:ascii="Calibri"/>
                                  <w:color w:val="575757"/>
                                  <w:spacing w:val="-5"/>
                                  <w:sz w:val="16"/>
                                </w:rPr>
                                <w:t>70%</w:t>
                              </w:r>
                            </w:p>
                          </w:txbxContent>
                        </wps:txbx>
                        <wps:bodyPr wrap="square" lIns="0" tIns="0" rIns="0" bIns="0" rtlCol="0">
                          <a:noAutofit/>
                        </wps:bodyPr>
                      </wps:wsp>
                      <wps:wsp>
                        <wps:cNvPr id="26" name="Textbox 26"/>
                        <wps:cNvSpPr txBox="1"/>
                        <wps:spPr>
                          <a:xfrm>
                            <a:off x="4093273" y="2723832"/>
                            <a:ext cx="677545" cy="101600"/>
                          </a:xfrm>
                          <a:prstGeom prst="rect">
                            <a:avLst/>
                          </a:prstGeom>
                        </wps:spPr>
                        <wps:txbx>
                          <w:txbxContent>
                            <w:p>
                              <w:pPr>
                                <w:spacing w:line="160" w:lineRule="exact" w:before="0"/>
                                <w:ind w:left="0" w:right="0" w:firstLine="0"/>
                                <w:jc w:val="left"/>
                                <w:rPr>
                                  <w:rFonts w:ascii="Calibri"/>
                                  <w:sz w:val="16"/>
                                </w:rPr>
                              </w:pPr>
                              <w:r>
                                <w:rPr>
                                  <w:rFonts w:ascii="Calibri"/>
                                  <w:color w:val="575757"/>
                                  <w:sz w:val="16"/>
                                </w:rPr>
                                <w:t>CB</w:t>
                              </w:r>
                              <w:r>
                                <w:rPr>
                                  <w:rFonts w:ascii="Calibri"/>
                                  <w:color w:val="575757"/>
                                  <w:spacing w:val="-11"/>
                                  <w:sz w:val="16"/>
                                </w:rPr>
                                <w:t> </w:t>
                              </w:r>
                              <w:r>
                                <w:rPr>
                                  <w:rFonts w:ascii="Calibri"/>
                                  <w:color w:val="575757"/>
                                  <w:sz w:val="16"/>
                                </w:rPr>
                                <w:t>D</w:t>
                              </w:r>
                              <w:r>
                                <w:rPr>
                                  <w:rFonts w:ascii="Calibri"/>
                                  <w:color w:val="575757"/>
                                  <w:spacing w:val="56"/>
                                  <w:sz w:val="16"/>
                                </w:rPr>
                                <w:t> </w:t>
                              </w:r>
                              <w:r>
                                <w:rPr>
                                  <w:rFonts w:ascii="Calibri"/>
                                  <w:color w:val="575757"/>
                                  <w:sz w:val="16"/>
                                </w:rPr>
                                <w:t>+</w:t>
                              </w:r>
                              <w:r>
                                <w:rPr>
                                  <w:rFonts w:ascii="Calibri"/>
                                  <w:color w:val="575757"/>
                                  <w:spacing w:val="54"/>
                                  <w:sz w:val="16"/>
                                </w:rPr>
                                <w:t> </w:t>
                              </w:r>
                              <w:r>
                                <w:rPr>
                                  <w:rFonts w:ascii="Calibri"/>
                                  <w:color w:val="575757"/>
                                  <w:sz w:val="16"/>
                                </w:rPr>
                                <w:t>D</w:t>
                              </w:r>
                              <w:r>
                                <w:rPr>
                                  <w:rFonts w:ascii="Calibri"/>
                                  <w:color w:val="575757"/>
                                  <w:spacing w:val="-9"/>
                                  <w:sz w:val="16"/>
                                </w:rPr>
                                <w:t> </w:t>
                              </w:r>
                              <w:r>
                                <w:rPr>
                                  <w:rFonts w:ascii="Calibri"/>
                                  <w:color w:val="575757"/>
                                  <w:spacing w:val="9"/>
                                  <w:sz w:val="16"/>
                                </w:rPr>
                                <w:t>MS</w:t>
                              </w:r>
                              <w:r>
                                <w:rPr>
                                  <w:rFonts w:ascii="Calibri"/>
                                  <w:color w:val="575757"/>
                                  <w:spacing w:val="-12"/>
                                  <w:sz w:val="16"/>
                                </w:rPr>
                                <w:t> </w:t>
                              </w:r>
                              <w:r>
                                <w:rPr>
                                  <w:rFonts w:ascii="Calibri"/>
                                  <w:color w:val="575757"/>
                                  <w:spacing w:val="-10"/>
                                  <w:sz w:val="16"/>
                                </w:rPr>
                                <w:t>O</w:t>
                              </w:r>
                            </w:p>
                          </w:txbxContent>
                        </wps:txbx>
                        <wps:bodyPr wrap="square" lIns="0" tIns="0" rIns="0" bIns="0" rtlCol="0">
                          <a:noAutofit/>
                        </wps:bodyPr>
                      </wps:wsp>
                    </wpg:wgp>
                  </a:graphicData>
                </a:graphic>
              </wp:anchor>
            </w:drawing>
          </mc:Choice>
          <mc:Fallback>
            <w:pict>
              <v:group style="position:absolute;margin-left:113.445pt;margin-top:60.177929pt;width:397.3pt;height:236.5pt;mso-position-horizontal-relative:page;mso-position-vertical-relative:paragraph;z-index:15732224" id="docshapegroup4" coordorigin="2269,1204" coordsize="7946,4730">
                <v:shape style="position:absolute;left:2481;top:2085;width:7521;height:3261" id="docshape5" coordorigin="2482,2086" coordsize="7521,3261" path="m2482,2086l2482,5346m3984,2086l3984,5346m5488,2086l5488,5346m6992,2086l6992,5346m8496,2086l8496,5346m10002,2086l10002,5346e" filled="false" stroked="true" strokeweight=".75pt" strokecolor="#d9d9d9">
                  <v:path arrowok="t"/>
                  <v:stroke dashstyle="solid"/>
                </v:shape>
                <v:rect style="position:absolute;left:3095;top:3096;width:277;height:2250" id="docshape6" filled="true" fillcolor="#4470c4" stroked="false">
                  <v:fill type="solid"/>
                </v:rect>
                <v:rect style="position:absolute;left:4599;top:2487;width:277;height:2859" id="docshape7" filled="true" fillcolor="#eb7b2f" stroked="false">
                  <v:fill type="solid"/>
                </v:rect>
                <v:rect style="position:absolute;left:6103;top:4009;width:277;height:1337" id="docshape8" filled="true" fillcolor="#a3a3a3" stroked="false">
                  <v:fill type="solid"/>
                </v:rect>
                <v:rect style="position:absolute;left:7607;top:2955;width:277;height:2391" id="docshape9" filled="true" fillcolor="#ffc000" stroked="false">
                  <v:fill type="solid"/>
                </v:rect>
                <v:rect style="position:absolute;left:9112;top:4226;width:277;height:1120" id="docshape10" filled="true" fillcolor="#5b9bd3" stroked="false">
                  <v:fill type="solid"/>
                </v:rect>
                <v:line style="position:absolute" from="2482,5346" to="10002,5346" stroked="true" strokeweight=".75pt" strokecolor="#d9d9d9">
                  <v:stroke dashstyle="solid"/>
                </v:line>
                <v:rect style="position:absolute;left:3200;top:1962;width:99;height:99" id="docshape11" filled="true" fillcolor="#4470c4" stroked="false">
                  <v:fill type="solid"/>
                </v:rect>
                <v:rect style="position:absolute;left:4356;top:1962;width:99;height:99" id="docshape12" filled="true" fillcolor="#eb7b2f" stroked="false">
                  <v:fill type="solid"/>
                </v:rect>
                <v:rect style="position:absolute;left:5663;top:1962;width:99;height:99" id="docshape13" filled="true" fillcolor="#a3a3a3" stroked="false">
                  <v:fill type="solid"/>
                </v:rect>
                <v:rect style="position:absolute;left:6734;top:1962;width:99;height:99" id="docshape14" filled="true" fillcolor="#ffc000" stroked="false">
                  <v:fill type="solid"/>
                </v:rect>
                <v:rect style="position:absolute;left:8340;top:1962;width:99;height:99" id="docshape15" filled="true" fillcolor="#5b9bd3" stroked="false">
                  <v:fill type="solid"/>
                </v:rect>
                <v:shape style="position:absolute;left:2276;top:1211;width:7931;height:4715" id="docshape16" coordorigin="2276,1211" coordsize="7931,4715" path="m2276,1411l2292,1333,2335,1270,2399,1227,2476,1211,10007,1211,10085,1227,10149,1270,10192,1333,10207,1411,10207,5726,10192,5804,10149,5867,10085,5910,10007,5926,2476,5926,2399,5910,2335,5867,2292,5804,2276,5726,2276,1411xe" filled="false" stroked="true" strokeweight=".75pt" strokecolor="#d9d9d9">
                  <v:path arrowok="t"/>
                  <v:stroke dashstyle="solid"/>
                </v:shape>
                <v:shapetype id="_x0000_t202" o:spt="202" coordsize="21600,21600" path="m,l,21600r21600,l21600,xe">
                  <v:stroke joinstyle="miter"/>
                  <v:path gradientshapeok="t" o:connecttype="rect"/>
                </v:shapetype>
                <v:shape style="position:absolute;left:3361;top:1412;width:6098;height:701" type="#_x0000_t202" id="docshape17" filled="false" stroked="false">
                  <v:textbox inset="0,0,0,0">
                    <w:txbxContent>
                      <w:p>
                        <w:pPr>
                          <w:spacing w:line="178" w:lineRule="exact" w:before="0"/>
                          <w:ind w:left="0" w:right="349" w:firstLine="0"/>
                          <w:jc w:val="center"/>
                          <w:rPr>
                            <w:rFonts w:ascii="Calibri" w:hAnsi="Calibri"/>
                            <w:b/>
                            <w:sz w:val="18"/>
                          </w:rPr>
                        </w:pPr>
                        <w:r>
                          <w:rPr>
                            <w:rFonts w:ascii="Calibri" w:hAnsi="Calibri"/>
                            <w:b/>
                            <w:color w:val="575757"/>
                            <w:sz w:val="18"/>
                          </w:rPr>
                          <w:t>P</w:t>
                        </w:r>
                        <w:r>
                          <w:rPr>
                            <w:rFonts w:ascii="Calibri" w:hAnsi="Calibri"/>
                            <w:b/>
                            <w:color w:val="575757"/>
                            <w:spacing w:val="-14"/>
                            <w:sz w:val="18"/>
                          </w:rPr>
                          <w:t> </w:t>
                        </w:r>
                        <w:r>
                          <w:rPr>
                            <w:rFonts w:ascii="Calibri" w:hAnsi="Calibri"/>
                            <w:b/>
                            <w:color w:val="575757"/>
                            <w:sz w:val="18"/>
                          </w:rPr>
                          <w:t>ROM</w:t>
                        </w:r>
                        <w:r>
                          <w:rPr>
                            <w:rFonts w:ascii="Calibri" w:hAnsi="Calibri"/>
                            <w:b/>
                            <w:color w:val="575757"/>
                            <w:spacing w:val="-7"/>
                            <w:sz w:val="18"/>
                          </w:rPr>
                          <w:t> </w:t>
                        </w:r>
                        <w:r>
                          <w:rPr>
                            <w:rFonts w:ascii="Calibri" w:hAnsi="Calibri"/>
                            <w:b/>
                            <w:color w:val="575757"/>
                            <w:sz w:val="18"/>
                          </w:rPr>
                          <w:t>E</w:t>
                        </w:r>
                        <w:r>
                          <w:rPr>
                            <w:rFonts w:ascii="Calibri" w:hAnsi="Calibri"/>
                            <w:b/>
                            <w:color w:val="575757"/>
                            <w:spacing w:val="-8"/>
                            <w:sz w:val="18"/>
                          </w:rPr>
                          <w:t> </w:t>
                        </w:r>
                        <w:r>
                          <w:rPr>
                            <w:rFonts w:ascii="Calibri" w:hAnsi="Calibri"/>
                            <w:b/>
                            <w:color w:val="575757"/>
                            <w:sz w:val="18"/>
                          </w:rPr>
                          <w:t>DI</w:t>
                        </w:r>
                        <w:r>
                          <w:rPr>
                            <w:rFonts w:ascii="Calibri" w:hAnsi="Calibri"/>
                            <w:b/>
                            <w:color w:val="575757"/>
                            <w:spacing w:val="-14"/>
                            <w:sz w:val="18"/>
                          </w:rPr>
                          <w:t> </w:t>
                        </w:r>
                        <w:r>
                          <w:rPr>
                            <w:rFonts w:ascii="Calibri" w:hAnsi="Calibri"/>
                            <w:b/>
                            <w:color w:val="575757"/>
                            <w:sz w:val="18"/>
                          </w:rPr>
                          <w:t>O</w:t>
                        </w:r>
                        <w:r>
                          <w:rPr>
                            <w:rFonts w:ascii="Calibri" w:hAnsi="Calibri"/>
                            <w:b/>
                            <w:color w:val="575757"/>
                            <w:spacing w:val="66"/>
                            <w:sz w:val="18"/>
                          </w:rPr>
                          <w:t> </w:t>
                        </w:r>
                        <w:r>
                          <w:rPr>
                            <w:rFonts w:ascii="Calibri" w:hAnsi="Calibri"/>
                            <w:b/>
                            <w:color w:val="575757"/>
                            <w:sz w:val="18"/>
                          </w:rPr>
                          <w:t>DE</w:t>
                        </w:r>
                        <w:r>
                          <w:rPr>
                            <w:rFonts w:ascii="Calibri" w:hAnsi="Calibri"/>
                            <w:b/>
                            <w:color w:val="575757"/>
                            <w:spacing w:val="60"/>
                            <w:sz w:val="18"/>
                          </w:rPr>
                          <w:t> </w:t>
                        </w:r>
                        <w:r>
                          <w:rPr>
                            <w:rFonts w:ascii="Calibri" w:hAnsi="Calibri"/>
                            <w:b/>
                            <w:color w:val="575757"/>
                            <w:sz w:val="18"/>
                          </w:rPr>
                          <w:t>HA</w:t>
                        </w:r>
                        <w:r>
                          <w:rPr>
                            <w:rFonts w:ascii="Calibri" w:hAnsi="Calibri"/>
                            <w:b/>
                            <w:color w:val="575757"/>
                            <w:spacing w:val="-2"/>
                            <w:sz w:val="18"/>
                          </w:rPr>
                          <w:t> </w:t>
                        </w:r>
                        <w:r>
                          <w:rPr>
                            <w:rFonts w:ascii="Calibri" w:hAnsi="Calibri"/>
                            <w:b/>
                            <w:color w:val="575757"/>
                            <w:sz w:val="18"/>
                          </w:rPr>
                          <w:t>L</w:t>
                        </w:r>
                        <w:r>
                          <w:rPr>
                            <w:rFonts w:ascii="Calibri" w:hAnsi="Calibri"/>
                            <w:b/>
                            <w:color w:val="575757"/>
                            <w:spacing w:val="-15"/>
                            <w:sz w:val="18"/>
                          </w:rPr>
                          <w:t> </w:t>
                        </w:r>
                        <w:r>
                          <w:rPr>
                            <w:rFonts w:ascii="Calibri" w:hAnsi="Calibri"/>
                            <w:b/>
                            <w:color w:val="575757"/>
                            <w:sz w:val="18"/>
                          </w:rPr>
                          <w:t>OS</w:t>
                        </w:r>
                        <w:r>
                          <w:rPr>
                            <w:rFonts w:ascii="Calibri" w:hAnsi="Calibri"/>
                            <w:b/>
                            <w:color w:val="575757"/>
                            <w:spacing w:val="61"/>
                            <w:w w:val="150"/>
                            <w:sz w:val="18"/>
                          </w:rPr>
                          <w:t> </w:t>
                        </w:r>
                        <w:r>
                          <w:rPr>
                            <w:rFonts w:ascii="Calibri" w:hAnsi="Calibri"/>
                            <w:b/>
                            <w:color w:val="575757"/>
                            <w:sz w:val="18"/>
                          </w:rPr>
                          <w:t>DE</w:t>
                        </w:r>
                        <w:r>
                          <w:rPr>
                            <w:rFonts w:ascii="Calibri" w:hAnsi="Calibri"/>
                            <w:b/>
                            <w:color w:val="575757"/>
                            <w:spacing w:val="63"/>
                            <w:sz w:val="18"/>
                          </w:rPr>
                          <w:t> </w:t>
                        </w:r>
                        <w:r>
                          <w:rPr>
                            <w:rFonts w:ascii="Calibri" w:hAnsi="Calibri"/>
                            <w:b/>
                            <w:color w:val="575757"/>
                            <w:sz w:val="18"/>
                          </w:rPr>
                          <w:t>I</w:t>
                        </w:r>
                        <w:r>
                          <w:rPr>
                            <w:rFonts w:ascii="Calibri" w:hAnsi="Calibri"/>
                            <w:b/>
                            <w:color w:val="575757"/>
                            <w:spacing w:val="-13"/>
                            <w:sz w:val="18"/>
                          </w:rPr>
                          <w:t> </w:t>
                        </w:r>
                        <w:r>
                          <w:rPr>
                            <w:rFonts w:ascii="Calibri" w:hAnsi="Calibri"/>
                            <w:b/>
                            <w:color w:val="575757"/>
                            <w:sz w:val="18"/>
                          </w:rPr>
                          <w:t>N</w:t>
                        </w:r>
                        <w:r>
                          <w:rPr>
                            <w:rFonts w:ascii="Calibri" w:hAnsi="Calibri"/>
                            <w:b/>
                            <w:color w:val="575757"/>
                            <w:spacing w:val="-13"/>
                            <w:sz w:val="18"/>
                          </w:rPr>
                          <w:t> </w:t>
                        </w:r>
                        <w:r>
                          <w:rPr>
                            <w:rFonts w:ascii="Calibri" w:hAnsi="Calibri"/>
                            <w:b/>
                            <w:color w:val="575757"/>
                            <w:sz w:val="18"/>
                          </w:rPr>
                          <w:t>HI</w:t>
                        </w:r>
                        <w:r>
                          <w:rPr>
                            <w:rFonts w:ascii="Calibri" w:hAnsi="Calibri"/>
                            <w:b/>
                            <w:color w:val="575757"/>
                            <w:spacing w:val="1"/>
                            <w:sz w:val="18"/>
                          </w:rPr>
                          <w:t> </w:t>
                        </w:r>
                        <w:r>
                          <w:rPr>
                            <w:rFonts w:ascii="Calibri" w:hAnsi="Calibri"/>
                            <w:b/>
                            <w:color w:val="575757"/>
                            <w:sz w:val="18"/>
                          </w:rPr>
                          <w:t>BI</w:t>
                        </w:r>
                        <w:r>
                          <w:rPr>
                            <w:rFonts w:ascii="Calibri" w:hAnsi="Calibri"/>
                            <w:b/>
                            <w:color w:val="575757"/>
                            <w:spacing w:val="-14"/>
                            <w:sz w:val="18"/>
                          </w:rPr>
                          <w:t> </w:t>
                        </w:r>
                        <w:r>
                          <w:rPr>
                            <w:rFonts w:ascii="Calibri" w:hAnsi="Calibri"/>
                            <w:b/>
                            <w:color w:val="575757"/>
                            <w:sz w:val="18"/>
                          </w:rPr>
                          <w:t>C</w:t>
                        </w:r>
                        <w:r>
                          <w:rPr>
                            <w:rFonts w:ascii="Calibri" w:hAnsi="Calibri"/>
                            <w:b/>
                            <w:color w:val="575757"/>
                            <w:spacing w:val="-13"/>
                            <w:sz w:val="18"/>
                          </w:rPr>
                          <w:t> </w:t>
                        </w:r>
                        <w:r>
                          <w:rPr>
                            <w:rFonts w:ascii="Calibri" w:hAnsi="Calibri"/>
                            <w:b/>
                            <w:color w:val="575757"/>
                            <w:sz w:val="18"/>
                          </w:rPr>
                          <w:t>I</w:t>
                        </w:r>
                        <w:r>
                          <w:rPr>
                            <w:rFonts w:ascii="Calibri" w:hAnsi="Calibri"/>
                            <w:b/>
                            <w:color w:val="575757"/>
                            <w:spacing w:val="-14"/>
                            <w:sz w:val="18"/>
                          </w:rPr>
                          <w:t> </w:t>
                        </w:r>
                        <w:r>
                          <w:rPr>
                            <w:rFonts w:ascii="Calibri" w:hAnsi="Calibri"/>
                            <w:b/>
                            <w:color w:val="575757"/>
                            <w:sz w:val="18"/>
                          </w:rPr>
                          <w:t>ÓN</w:t>
                        </w:r>
                        <w:r>
                          <w:rPr>
                            <w:rFonts w:ascii="Calibri" w:hAnsi="Calibri"/>
                            <w:b/>
                            <w:color w:val="575757"/>
                            <w:spacing w:val="63"/>
                            <w:w w:val="150"/>
                            <w:sz w:val="18"/>
                          </w:rPr>
                          <w:t> </w:t>
                        </w:r>
                        <w:r>
                          <w:rPr>
                            <w:rFonts w:ascii="Calibri" w:hAnsi="Calibri"/>
                            <w:b/>
                            <w:color w:val="575757"/>
                            <w:sz w:val="18"/>
                          </w:rPr>
                          <w:t>–</w:t>
                        </w:r>
                        <w:r>
                          <w:rPr>
                            <w:rFonts w:ascii="Calibri" w:hAnsi="Calibri"/>
                            <w:b/>
                            <w:color w:val="575757"/>
                            <w:spacing w:val="53"/>
                            <w:sz w:val="18"/>
                          </w:rPr>
                          <w:t> </w:t>
                        </w:r>
                        <w:r>
                          <w:rPr>
                            <w:rFonts w:ascii="Calibri" w:hAnsi="Calibri"/>
                            <w:b/>
                            <w:color w:val="575757"/>
                            <w:sz w:val="18"/>
                          </w:rPr>
                          <w:t>T</w:t>
                        </w:r>
                        <w:r>
                          <w:rPr>
                            <w:rFonts w:ascii="Calibri" w:hAnsi="Calibri"/>
                            <w:b/>
                            <w:color w:val="575757"/>
                            <w:spacing w:val="-16"/>
                            <w:sz w:val="18"/>
                          </w:rPr>
                          <w:t> </w:t>
                        </w:r>
                        <w:r>
                          <w:rPr>
                            <w:rFonts w:ascii="Calibri" w:hAnsi="Calibri"/>
                            <w:b/>
                            <w:color w:val="575757"/>
                            <w:sz w:val="18"/>
                          </w:rPr>
                          <w:t>R</w:t>
                        </w:r>
                        <w:r>
                          <w:rPr>
                            <w:rFonts w:ascii="Calibri" w:hAnsi="Calibri"/>
                            <w:b/>
                            <w:color w:val="575757"/>
                            <w:spacing w:val="-16"/>
                            <w:sz w:val="18"/>
                          </w:rPr>
                          <w:t> </w:t>
                        </w:r>
                        <w:r>
                          <w:rPr>
                            <w:rFonts w:ascii="Calibri" w:hAnsi="Calibri"/>
                            <w:b/>
                            <w:color w:val="575757"/>
                            <w:spacing w:val="9"/>
                            <w:sz w:val="18"/>
                          </w:rPr>
                          <w:t>AT</w:t>
                        </w:r>
                        <w:r>
                          <w:rPr>
                            <w:rFonts w:ascii="Calibri" w:hAnsi="Calibri"/>
                            <w:b/>
                            <w:color w:val="575757"/>
                            <w:spacing w:val="-16"/>
                            <w:sz w:val="18"/>
                          </w:rPr>
                          <w:t> </w:t>
                        </w:r>
                        <w:r>
                          <w:rPr>
                            <w:rFonts w:ascii="Calibri" w:hAnsi="Calibri"/>
                            <w:b/>
                            <w:color w:val="575757"/>
                            <w:sz w:val="18"/>
                          </w:rPr>
                          <w:t>A</w:t>
                        </w:r>
                        <w:r>
                          <w:rPr>
                            <w:rFonts w:ascii="Calibri" w:hAnsi="Calibri"/>
                            <w:b/>
                            <w:color w:val="575757"/>
                            <w:spacing w:val="-15"/>
                            <w:sz w:val="18"/>
                          </w:rPr>
                          <w:t> </w:t>
                        </w:r>
                        <w:r>
                          <w:rPr>
                            <w:rFonts w:ascii="Calibri" w:hAnsi="Calibri"/>
                            <w:b/>
                            <w:color w:val="575757"/>
                            <w:sz w:val="18"/>
                          </w:rPr>
                          <w:t>MI</w:t>
                        </w:r>
                        <w:r>
                          <w:rPr>
                            <w:rFonts w:ascii="Calibri" w:hAnsi="Calibri"/>
                            <w:b/>
                            <w:color w:val="575757"/>
                            <w:spacing w:val="-14"/>
                            <w:sz w:val="18"/>
                          </w:rPr>
                          <w:t> </w:t>
                        </w:r>
                        <w:r>
                          <w:rPr>
                            <w:rFonts w:ascii="Calibri" w:hAnsi="Calibri"/>
                            <w:b/>
                            <w:color w:val="575757"/>
                            <w:sz w:val="18"/>
                          </w:rPr>
                          <w:t>E</w:t>
                        </w:r>
                        <w:r>
                          <w:rPr>
                            <w:rFonts w:ascii="Calibri" w:hAnsi="Calibri"/>
                            <w:b/>
                            <w:color w:val="575757"/>
                            <w:spacing w:val="-13"/>
                            <w:sz w:val="18"/>
                          </w:rPr>
                          <w:t> </w:t>
                        </w:r>
                        <w:r>
                          <w:rPr>
                            <w:rFonts w:ascii="Calibri" w:hAnsi="Calibri"/>
                            <w:b/>
                            <w:color w:val="575757"/>
                            <w:sz w:val="18"/>
                          </w:rPr>
                          <w:t>N</w:t>
                        </w:r>
                        <w:r>
                          <w:rPr>
                            <w:rFonts w:ascii="Calibri" w:hAnsi="Calibri"/>
                            <w:b/>
                            <w:color w:val="575757"/>
                            <w:spacing w:val="-13"/>
                            <w:sz w:val="18"/>
                          </w:rPr>
                          <w:t> </w:t>
                        </w:r>
                        <w:r>
                          <w:rPr>
                            <w:rFonts w:ascii="Calibri" w:hAnsi="Calibri"/>
                            <w:b/>
                            <w:color w:val="575757"/>
                            <w:sz w:val="18"/>
                          </w:rPr>
                          <w:t>T</w:t>
                        </w:r>
                        <w:r>
                          <w:rPr>
                            <w:rFonts w:ascii="Calibri" w:hAnsi="Calibri"/>
                            <w:b/>
                            <w:color w:val="575757"/>
                            <w:spacing w:val="-15"/>
                            <w:sz w:val="18"/>
                          </w:rPr>
                          <w:t> </w:t>
                        </w:r>
                        <w:r>
                          <w:rPr>
                            <w:rFonts w:ascii="Calibri" w:hAnsi="Calibri"/>
                            <w:b/>
                            <w:color w:val="575757"/>
                            <w:spacing w:val="-5"/>
                            <w:sz w:val="18"/>
                          </w:rPr>
                          <w:t>OS</w:t>
                        </w:r>
                      </w:p>
                      <w:p>
                        <w:pPr>
                          <w:spacing w:line="214" w:lineRule="exact" w:before="0"/>
                          <w:ind w:left="6" w:right="349" w:firstLine="0"/>
                          <w:jc w:val="center"/>
                          <w:rPr>
                            <w:rFonts w:ascii="Calibri"/>
                            <w:b/>
                            <w:sz w:val="18"/>
                          </w:rPr>
                        </w:pPr>
                        <w:r>
                          <w:rPr>
                            <w:rFonts w:ascii="Calibri"/>
                            <w:b/>
                            <w:color w:val="575757"/>
                            <w:sz w:val="18"/>
                          </w:rPr>
                          <w:t>I</w:t>
                        </w:r>
                        <w:r>
                          <w:rPr>
                            <w:rFonts w:ascii="Calibri"/>
                            <w:b/>
                            <w:color w:val="575757"/>
                            <w:spacing w:val="-15"/>
                            <w:sz w:val="18"/>
                          </w:rPr>
                          <w:t> </w:t>
                        </w:r>
                        <w:r>
                          <w:rPr>
                            <w:rFonts w:ascii="Calibri"/>
                            <w:b/>
                            <w:color w:val="575757"/>
                            <w:sz w:val="18"/>
                          </w:rPr>
                          <w:t>N</w:t>
                        </w:r>
                        <w:r>
                          <w:rPr>
                            <w:rFonts w:ascii="Calibri"/>
                            <w:b/>
                            <w:color w:val="575757"/>
                            <w:spacing w:val="-14"/>
                            <w:sz w:val="18"/>
                          </w:rPr>
                          <w:t> </w:t>
                        </w:r>
                        <w:r>
                          <w:rPr>
                            <w:rFonts w:ascii="Calibri"/>
                            <w:b/>
                            <w:color w:val="575757"/>
                            <w:sz w:val="18"/>
                          </w:rPr>
                          <w:t>DI</w:t>
                        </w:r>
                        <w:r>
                          <w:rPr>
                            <w:rFonts w:ascii="Calibri"/>
                            <w:b/>
                            <w:color w:val="575757"/>
                            <w:spacing w:val="-15"/>
                            <w:sz w:val="18"/>
                          </w:rPr>
                          <w:t> </w:t>
                        </w:r>
                        <w:r>
                          <w:rPr>
                            <w:rFonts w:ascii="Calibri"/>
                            <w:b/>
                            <w:color w:val="575757"/>
                            <w:sz w:val="18"/>
                          </w:rPr>
                          <w:t>V</w:t>
                        </w:r>
                        <w:r>
                          <w:rPr>
                            <w:rFonts w:ascii="Calibri"/>
                            <w:b/>
                            <w:color w:val="575757"/>
                            <w:spacing w:val="-13"/>
                            <w:sz w:val="18"/>
                          </w:rPr>
                          <w:t> </w:t>
                        </w:r>
                        <w:r>
                          <w:rPr>
                            <w:rFonts w:ascii="Calibri"/>
                            <w:b/>
                            <w:color w:val="575757"/>
                            <w:sz w:val="18"/>
                          </w:rPr>
                          <w:t>I</w:t>
                        </w:r>
                        <w:r>
                          <w:rPr>
                            <w:rFonts w:ascii="Calibri"/>
                            <w:b/>
                            <w:color w:val="575757"/>
                            <w:spacing w:val="-15"/>
                            <w:sz w:val="18"/>
                          </w:rPr>
                          <w:t> </w:t>
                        </w:r>
                        <w:r>
                          <w:rPr>
                            <w:rFonts w:ascii="Calibri"/>
                            <w:b/>
                            <w:color w:val="575757"/>
                            <w:spacing w:val="9"/>
                            <w:sz w:val="18"/>
                          </w:rPr>
                          <w:t>DUA</w:t>
                        </w:r>
                        <w:r>
                          <w:rPr>
                            <w:rFonts w:ascii="Calibri"/>
                            <w:b/>
                            <w:color w:val="575757"/>
                            <w:spacing w:val="-3"/>
                            <w:sz w:val="18"/>
                          </w:rPr>
                          <w:t> </w:t>
                        </w:r>
                        <w:r>
                          <w:rPr>
                            <w:rFonts w:ascii="Calibri"/>
                            <w:b/>
                            <w:color w:val="575757"/>
                            <w:sz w:val="18"/>
                          </w:rPr>
                          <w:t>L</w:t>
                        </w:r>
                        <w:r>
                          <w:rPr>
                            <w:rFonts w:ascii="Calibri"/>
                            <w:b/>
                            <w:color w:val="575757"/>
                            <w:spacing w:val="-15"/>
                            <w:sz w:val="18"/>
                          </w:rPr>
                          <w:t> </w:t>
                        </w:r>
                        <w:r>
                          <w:rPr>
                            <w:rFonts w:ascii="Calibri"/>
                            <w:b/>
                            <w:color w:val="575757"/>
                            <w:sz w:val="18"/>
                          </w:rPr>
                          <w:t>E</w:t>
                        </w:r>
                        <w:r>
                          <w:rPr>
                            <w:rFonts w:ascii="Calibri"/>
                            <w:b/>
                            <w:color w:val="575757"/>
                            <w:spacing w:val="-14"/>
                            <w:sz w:val="18"/>
                          </w:rPr>
                          <w:t> </w:t>
                        </w:r>
                        <w:r>
                          <w:rPr>
                            <w:rFonts w:ascii="Calibri"/>
                            <w:b/>
                            <w:color w:val="575757"/>
                            <w:spacing w:val="-10"/>
                            <w:sz w:val="18"/>
                          </w:rPr>
                          <w:t>S</w:t>
                        </w:r>
                      </w:p>
                      <w:p>
                        <w:pPr>
                          <w:tabs>
                            <w:tab w:pos="1156" w:val="left" w:leader="none"/>
                            <w:tab w:pos="2464" w:val="left" w:leader="none"/>
                            <w:tab w:pos="3537" w:val="left" w:leader="none"/>
                            <w:tab w:pos="5145" w:val="left" w:leader="none"/>
                          </w:tabs>
                          <w:spacing w:line="216" w:lineRule="exact" w:before="92"/>
                          <w:ind w:left="0" w:right="0" w:firstLine="0"/>
                          <w:jc w:val="left"/>
                          <w:rPr>
                            <w:rFonts w:ascii="Calibri"/>
                            <w:sz w:val="18"/>
                          </w:rPr>
                        </w:pPr>
                        <w:r>
                          <w:rPr>
                            <w:rFonts w:ascii="Calibri"/>
                            <w:color w:val="575757"/>
                            <w:spacing w:val="-2"/>
                            <w:sz w:val="18"/>
                          </w:rPr>
                          <w:t>Amoxicilina</w:t>
                        </w:r>
                        <w:r>
                          <w:rPr>
                            <w:rFonts w:ascii="Calibri"/>
                            <w:color w:val="575757"/>
                            <w:sz w:val="18"/>
                          </w:rPr>
                          <w:tab/>
                        </w:r>
                        <w:r>
                          <w:rPr>
                            <w:rFonts w:ascii="Calibri"/>
                            <w:color w:val="575757"/>
                            <w:spacing w:val="-2"/>
                            <w:sz w:val="18"/>
                          </w:rPr>
                          <w:t>Enrofloxacina</w:t>
                        </w:r>
                        <w:r>
                          <w:rPr>
                            <w:rFonts w:ascii="Calibri"/>
                            <w:color w:val="575757"/>
                            <w:sz w:val="18"/>
                          </w:rPr>
                          <w:tab/>
                        </w:r>
                        <w:r>
                          <w:rPr>
                            <w:rFonts w:ascii="Calibri"/>
                            <w:color w:val="575757"/>
                            <w:spacing w:val="-2"/>
                            <w:sz w:val="18"/>
                          </w:rPr>
                          <w:t>Cefalexina</w:t>
                        </w:r>
                        <w:r>
                          <w:rPr>
                            <w:rFonts w:ascii="Calibri"/>
                            <w:color w:val="575757"/>
                            <w:sz w:val="18"/>
                          </w:rPr>
                          <w:tab/>
                          <w:t>CBD</w:t>
                        </w:r>
                        <w:r>
                          <w:rPr>
                            <w:rFonts w:ascii="Calibri"/>
                            <w:color w:val="575757"/>
                            <w:spacing w:val="-3"/>
                            <w:sz w:val="18"/>
                          </w:rPr>
                          <w:t> </w:t>
                        </w:r>
                        <w:r>
                          <w:rPr>
                            <w:rFonts w:ascii="Calibri"/>
                            <w:color w:val="575757"/>
                            <w:sz w:val="18"/>
                          </w:rPr>
                          <w:t>+</w:t>
                        </w:r>
                        <w:r>
                          <w:rPr>
                            <w:rFonts w:ascii="Calibri"/>
                            <w:color w:val="575757"/>
                            <w:spacing w:val="-2"/>
                            <w:sz w:val="18"/>
                          </w:rPr>
                          <w:t> </w:t>
                        </w:r>
                        <w:r>
                          <w:rPr>
                            <w:rFonts w:ascii="Calibri"/>
                            <w:color w:val="575757"/>
                            <w:sz w:val="18"/>
                          </w:rPr>
                          <w:t>Etanol</w:t>
                        </w:r>
                        <w:r>
                          <w:rPr>
                            <w:rFonts w:ascii="Calibri"/>
                            <w:color w:val="575757"/>
                            <w:spacing w:val="-4"/>
                            <w:sz w:val="18"/>
                          </w:rPr>
                          <w:t> </w:t>
                        </w:r>
                        <w:r>
                          <w:rPr>
                            <w:rFonts w:ascii="Calibri"/>
                            <w:color w:val="575757"/>
                            <w:spacing w:val="-5"/>
                            <w:sz w:val="18"/>
                          </w:rPr>
                          <w:t>70%</w:t>
                        </w:r>
                        <w:r>
                          <w:rPr>
                            <w:rFonts w:ascii="Calibri"/>
                            <w:color w:val="575757"/>
                            <w:sz w:val="18"/>
                          </w:rPr>
                          <w:tab/>
                          <w:t>CBD +</w:t>
                        </w:r>
                        <w:r>
                          <w:rPr>
                            <w:rFonts w:ascii="Calibri"/>
                            <w:color w:val="575757"/>
                            <w:spacing w:val="-2"/>
                            <w:sz w:val="18"/>
                          </w:rPr>
                          <w:t> </w:t>
                        </w:r>
                        <w:r>
                          <w:rPr>
                            <w:rFonts w:ascii="Calibri"/>
                            <w:color w:val="575757"/>
                            <w:spacing w:val="-4"/>
                            <w:sz w:val="18"/>
                          </w:rPr>
                          <w:t>DMSO</w:t>
                        </w:r>
                      </w:p>
                    </w:txbxContent>
                  </v:textbox>
                  <w10:wrap type="none"/>
                </v:shape>
                <v:shape style="position:absolute;left:2657;top:5485;width:4207;height:361" type="#_x0000_t202" id="docshape18" filled="false" stroked="false">
                  <v:textbox inset="0,0,0,0">
                    <w:txbxContent>
                      <w:p>
                        <w:pPr>
                          <w:tabs>
                            <w:tab w:pos="1364" w:val="left" w:leader="none"/>
                            <w:tab w:pos="3064" w:val="left" w:leader="none"/>
                          </w:tabs>
                          <w:spacing w:line="154" w:lineRule="exact" w:before="0"/>
                          <w:ind w:left="0" w:right="0" w:firstLine="0"/>
                          <w:jc w:val="left"/>
                          <w:rPr>
                            <w:rFonts w:ascii="Calibri"/>
                            <w:sz w:val="16"/>
                          </w:rPr>
                        </w:pPr>
                        <w:r>
                          <w:rPr>
                            <w:rFonts w:ascii="Calibri"/>
                            <w:color w:val="575757"/>
                            <w:sz w:val="16"/>
                          </w:rPr>
                          <w:t>A</w:t>
                        </w:r>
                        <w:r>
                          <w:rPr>
                            <w:rFonts w:ascii="Calibri"/>
                            <w:color w:val="575757"/>
                            <w:spacing w:val="-11"/>
                            <w:sz w:val="16"/>
                          </w:rPr>
                          <w:t> </w:t>
                        </w:r>
                        <w:r>
                          <w:rPr>
                            <w:rFonts w:ascii="Calibri"/>
                            <w:color w:val="575757"/>
                            <w:spacing w:val="9"/>
                            <w:sz w:val="16"/>
                          </w:rPr>
                          <w:t>MO</w:t>
                        </w:r>
                        <w:r>
                          <w:rPr>
                            <w:rFonts w:ascii="Calibri"/>
                            <w:color w:val="575757"/>
                            <w:spacing w:val="-13"/>
                            <w:sz w:val="16"/>
                          </w:rPr>
                          <w:t> </w:t>
                        </w:r>
                        <w:r>
                          <w:rPr>
                            <w:rFonts w:ascii="Calibri"/>
                            <w:color w:val="575757"/>
                            <w:sz w:val="16"/>
                          </w:rPr>
                          <w:t>X</w:t>
                        </w:r>
                        <w:r>
                          <w:rPr>
                            <w:rFonts w:ascii="Calibri"/>
                            <w:color w:val="575757"/>
                            <w:spacing w:val="-10"/>
                            <w:sz w:val="16"/>
                          </w:rPr>
                          <w:t> </w:t>
                        </w:r>
                        <w:r>
                          <w:rPr>
                            <w:rFonts w:ascii="Calibri"/>
                            <w:color w:val="575757"/>
                            <w:sz w:val="16"/>
                          </w:rPr>
                          <w:t>I</w:t>
                        </w:r>
                        <w:r>
                          <w:rPr>
                            <w:rFonts w:ascii="Calibri"/>
                            <w:color w:val="575757"/>
                            <w:spacing w:val="-10"/>
                            <w:sz w:val="16"/>
                          </w:rPr>
                          <w:t> </w:t>
                        </w:r>
                        <w:r>
                          <w:rPr>
                            <w:rFonts w:ascii="Calibri"/>
                            <w:color w:val="575757"/>
                            <w:sz w:val="16"/>
                          </w:rPr>
                          <w:t>CI</w:t>
                        </w:r>
                        <w:r>
                          <w:rPr>
                            <w:rFonts w:ascii="Calibri"/>
                            <w:color w:val="575757"/>
                            <w:spacing w:val="-11"/>
                            <w:sz w:val="16"/>
                          </w:rPr>
                          <w:t> </w:t>
                        </w:r>
                        <w:r>
                          <w:rPr>
                            <w:rFonts w:ascii="Calibri"/>
                            <w:color w:val="575757"/>
                            <w:sz w:val="16"/>
                          </w:rPr>
                          <w:t>L</w:t>
                        </w:r>
                        <w:r>
                          <w:rPr>
                            <w:rFonts w:ascii="Calibri"/>
                            <w:color w:val="575757"/>
                            <w:spacing w:val="-9"/>
                            <w:sz w:val="16"/>
                          </w:rPr>
                          <w:t> </w:t>
                        </w:r>
                        <w:r>
                          <w:rPr>
                            <w:rFonts w:ascii="Calibri"/>
                            <w:color w:val="575757"/>
                            <w:sz w:val="16"/>
                          </w:rPr>
                          <w:t>I</w:t>
                        </w:r>
                        <w:r>
                          <w:rPr>
                            <w:rFonts w:ascii="Calibri"/>
                            <w:color w:val="575757"/>
                            <w:spacing w:val="-11"/>
                            <w:sz w:val="16"/>
                          </w:rPr>
                          <w:t> </w:t>
                        </w:r>
                        <w:r>
                          <w:rPr>
                            <w:rFonts w:ascii="Calibri"/>
                            <w:color w:val="575757"/>
                            <w:sz w:val="16"/>
                          </w:rPr>
                          <w:t>N</w:t>
                        </w:r>
                        <w:r>
                          <w:rPr>
                            <w:rFonts w:ascii="Calibri"/>
                            <w:color w:val="575757"/>
                            <w:spacing w:val="-9"/>
                            <w:sz w:val="16"/>
                          </w:rPr>
                          <w:t> </w:t>
                        </w:r>
                        <w:r>
                          <w:rPr>
                            <w:rFonts w:ascii="Calibri"/>
                            <w:color w:val="575757"/>
                            <w:spacing w:val="-10"/>
                            <w:sz w:val="16"/>
                          </w:rPr>
                          <w:t>A</w:t>
                        </w:r>
                        <w:r>
                          <w:rPr>
                            <w:rFonts w:ascii="Calibri"/>
                            <w:color w:val="575757"/>
                            <w:sz w:val="16"/>
                          </w:rPr>
                          <w:tab/>
                          <w:t>E</w:t>
                        </w:r>
                        <w:r>
                          <w:rPr>
                            <w:rFonts w:ascii="Calibri"/>
                            <w:color w:val="575757"/>
                            <w:spacing w:val="-8"/>
                            <w:sz w:val="16"/>
                          </w:rPr>
                          <w:t> </w:t>
                        </w:r>
                        <w:r>
                          <w:rPr>
                            <w:rFonts w:ascii="Calibri"/>
                            <w:color w:val="575757"/>
                            <w:sz w:val="16"/>
                          </w:rPr>
                          <w:t>N</w:t>
                        </w:r>
                        <w:r>
                          <w:rPr>
                            <w:rFonts w:ascii="Calibri"/>
                            <w:color w:val="575757"/>
                            <w:spacing w:val="-8"/>
                            <w:sz w:val="16"/>
                          </w:rPr>
                          <w:t> </w:t>
                        </w:r>
                        <w:r>
                          <w:rPr>
                            <w:rFonts w:ascii="Calibri"/>
                            <w:color w:val="575757"/>
                            <w:sz w:val="16"/>
                          </w:rPr>
                          <w:t>R</w:t>
                        </w:r>
                        <w:r>
                          <w:rPr>
                            <w:rFonts w:ascii="Calibri"/>
                            <w:color w:val="575757"/>
                            <w:spacing w:val="-8"/>
                            <w:sz w:val="16"/>
                          </w:rPr>
                          <w:t> </w:t>
                        </w:r>
                        <w:r>
                          <w:rPr>
                            <w:rFonts w:ascii="Calibri"/>
                            <w:color w:val="575757"/>
                            <w:sz w:val="16"/>
                          </w:rPr>
                          <w:t>O</w:t>
                        </w:r>
                        <w:r>
                          <w:rPr>
                            <w:rFonts w:ascii="Calibri"/>
                            <w:color w:val="575757"/>
                            <w:spacing w:val="-12"/>
                            <w:sz w:val="16"/>
                          </w:rPr>
                          <w:t> </w:t>
                        </w:r>
                        <w:r>
                          <w:rPr>
                            <w:rFonts w:ascii="Calibri"/>
                            <w:color w:val="575757"/>
                            <w:sz w:val="16"/>
                          </w:rPr>
                          <w:t>FL</w:t>
                        </w:r>
                        <w:r>
                          <w:rPr>
                            <w:rFonts w:ascii="Calibri"/>
                            <w:color w:val="575757"/>
                            <w:spacing w:val="-8"/>
                            <w:sz w:val="16"/>
                          </w:rPr>
                          <w:t> </w:t>
                        </w:r>
                        <w:r>
                          <w:rPr>
                            <w:rFonts w:ascii="Calibri"/>
                            <w:color w:val="575757"/>
                            <w:sz w:val="16"/>
                          </w:rPr>
                          <w:t>O</w:t>
                        </w:r>
                        <w:r>
                          <w:rPr>
                            <w:rFonts w:ascii="Calibri"/>
                            <w:color w:val="575757"/>
                            <w:spacing w:val="-12"/>
                            <w:sz w:val="16"/>
                          </w:rPr>
                          <w:t> </w:t>
                        </w:r>
                        <w:r>
                          <w:rPr>
                            <w:rFonts w:ascii="Calibri"/>
                            <w:color w:val="575757"/>
                            <w:sz w:val="16"/>
                          </w:rPr>
                          <w:t>X</w:t>
                        </w:r>
                        <w:r>
                          <w:rPr>
                            <w:rFonts w:ascii="Calibri"/>
                            <w:color w:val="575757"/>
                            <w:spacing w:val="-7"/>
                            <w:sz w:val="16"/>
                          </w:rPr>
                          <w:t> </w:t>
                        </w:r>
                        <w:r>
                          <w:rPr>
                            <w:rFonts w:ascii="Calibri"/>
                            <w:color w:val="575757"/>
                            <w:sz w:val="16"/>
                          </w:rPr>
                          <w:t>A</w:t>
                        </w:r>
                        <w:r>
                          <w:rPr>
                            <w:rFonts w:ascii="Calibri"/>
                            <w:color w:val="575757"/>
                            <w:spacing w:val="-10"/>
                            <w:sz w:val="16"/>
                          </w:rPr>
                          <w:t> </w:t>
                        </w:r>
                        <w:r>
                          <w:rPr>
                            <w:rFonts w:ascii="Calibri"/>
                            <w:color w:val="575757"/>
                            <w:sz w:val="16"/>
                          </w:rPr>
                          <w:t>CI</w:t>
                        </w:r>
                        <w:r>
                          <w:rPr>
                            <w:rFonts w:ascii="Calibri"/>
                            <w:color w:val="575757"/>
                            <w:spacing w:val="-9"/>
                            <w:sz w:val="16"/>
                          </w:rPr>
                          <w:t> </w:t>
                        </w:r>
                        <w:r>
                          <w:rPr>
                            <w:rFonts w:ascii="Calibri"/>
                            <w:color w:val="575757"/>
                            <w:sz w:val="16"/>
                          </w:rPr>
                          <w:t>N</w:t>
                        </w:r>
                        <w:r>
                          <w:rPr>
                            <w:rFonts w:ascii="Calibri"/>
                            <w:color w:val="575757"/>
                            <w:spacing w:val="-8"/>
                            <w:sz w:val="16"/>
                          </w:rPr>
                          <w:t> </w:t>
                        </w:r>
                        <w:r>
                          <w:rPr>
                            <w:rFonts w:ascii="Calibri"/>
                            <w:color w:val="575757"/>
                            <w:spacing w:val="-10"/>
                            <w:sz w:val="16"/>
                          </w:rPr>
                          <w:t>A</w:t>
                        </w:r>
                        <w:r>
                          <w:rPr>
                            <w:rFonts w:ascii="Calibri"/>
                            <w:color w:val="575757"/>
                            <w:sz w:val="16"/>
                          </w:rPr>
                          <w:tab/>
                          <w:t>CE</w:t>
                        </w:r>
                        <w:r>
                          <w:rPr>
                            <w:rFonts w:ascii="Calibri"/>
                            <w:color w:val="575757"/>
                            <w:spacing w:val="-9"/>
                            <w:sz w:val="16"/>
                          </w:rPr>
                          <w:t> </w:t>
                        </w:r>
                        <w:r>
                          <w:rPr>
                            <w:rFonts w:ascii="Calibri"/>
                            <w:color w:val="575757"/>
                            <w:sz w:val="16"/>
                          </w:rPr>
                          <w:t>F</w:t>
                        </w:r>
                        <w:r>
                          <w:rPr>
                            <w:rFonts w:ascii="Calibri"/>
                            <w:color w:val="575757"/>
                            <w:spacing w:val="-12"/>
                            <w:sz w:val="16"/>
                          </w:rPr>
                          <w:t> </w:t>
                        </w:r>
                        <w:r>
                          <w:rPr>
                            <w:rFonts w:ascii="Calibri"/>
                            <w:color w:val="575757"/>
                            <w:sz w:val="16"/>
                          </w:rPr>
                          <w:t>A</w:t>
                        </w:r>
                        <w:r>
                          <w:rPr>
                            <w:rFonts w:ascii="Calibri"/>
                            <w:color w:val="575757"/>
                            <w:spacing w:val="-11"/>
                            <w:sz w:val="16"/>
                          </w:rPr>
                          <w:t> </w:t>
                        </w:r>
                        <w:r>
                          <w:rPr>
                            <w:rFonts w:ascii="Calibri"/>
                            <w:color w:val="575757"/>
                            <w:sz w:val="16"/>
                          </w:rPr>
                          <w:t>L</w:t>
                        </w:r>
                        <w:r>
                          <w:rPr>
                            <w:rFonts w:ascii="Calibri"/>
                            <w:color w:val="575757"/>
                            <w:spacing w:val="-10"/>
                            <w:sz w:val="16"/>
                          </w:rPr>
                          <w:t> </w:t>
                        </w:r>
                        <w:r>
                          <w:rPr>
                            <w:rFonts w:ascii="Calibri"/>
                            <w:color w:val="575757"/>
                            <w:sz w:val="16"/>
                          </w:rPr>
                          <w:t>E</w:t>
                        </w:r>
                        <w:r>
                          <w:rPr>
                            <w:rFonts w:ascii="Calibri"/>
                            <w:color w:val="575757"/>
                            <w:spacing w:val="-7"/>
                            <w:sz w:val="16"/>
                          </w:rPr>
                          <w:t> </w:t>
                        </w:r>
                        <w:r>
                          <w:rPr>
                            <w:rFonts w:ascii="Calibri"/>
                            <w:color w:val="575757"/>
                            <w:sz w:val="16"/>
                          </w:rPr>
                          <w:t>X</w:t>
                        </w:r>
                        <w:r>
                          <w:rPr>
                            <w:rFonts w:ascii="Calibri"/>
                            <w:color w:val="575757"/>
                            <w:spacing w:val="-10"/>
                            <w:sz w:val="16"/>
                          </w:rPr>
                          <w:t> </w:t>
                        </w:r>
                        <w:r>
                          <w:rPr>
                            <w:rFonts w:ascii="Calibri"/>
                            <w:color w:val="575757"/>
                            <w:sz w:val="16"/>
                          </w:rPr>
                          <w:t>I</w:t>
                        </w:r>
                        <w:r>
                          <w:rPr>
                            <w:rFonts w:ascii="Calibri"/>
                            <w:color w:val="575757"/>
                            <w:spacing w:val="-11"/>
                            <w:sz w:val="16"/>
                          </w:rPr>
                          <w:t> </w:t>
                        </w:r>
                        <w:r>
                          <w:rPr>
                            <w:rFonts w:ascii="Calibri"/>
                            <w:color w:val="575757"/>
                            <w:sz w:val="16"/>
                          </w:rPr>
                          <w:t>N</w:t>
                        </w:r>
                        <w:r>
                          <w:rPr>
                            <w:rFonts w:ascii="Calibri"/>
                            <w:color w:val="575757"/>
                            <w:spacing w:val="-9"/>
                            <w:sz w:val="16"/>
                          </w:rPr>
                          <w:t> </w:t>
                        </w:r>
                        <w:r>
                          <w:rPr>
                            <w:rFonts w:ascii="Calibri"/>
                            <w:color w:val="575757"/>
                            <w:spacing w:val="-10"/>
                            <w:sz w:val="16"/>
                          </w:rPr>
                          <w:t>A</w:t>
                        </w:r>
                      </w:p>
                      <w:p>
                        <w:pPr>
                          <w:spacing w:line="207" w:lineRule="exact" w:before="0"/>
                          <w:ind w:left="3085" w:right="0" w:firstLine="0"/>
                          <w:jc w:val="left"/>
                          <w:rPr>
                            <w:rFonts w:ascii="Calibri"/>
                            <w:b/>
                            <w:sz w:val="18"/>
                          </w:rPr>
                        </w:pPr>
                        <w:r>
                          <w:rPr>
                            <w:rFonts w:ascii="Calibri"/>
                            <w:b/>
                            <w:color w:val="575757"/>
                            <w:spacing w:val="-2"/>
                            <w:sz w:val="18"/>
                          </w:rPr>
                          <w:t>TRATAMIENTO</w:t>
                        </w:r>
                      </w:p>
                    </w:txbxContent>
                  </v:textbox>
                  <w10:wrap type="none"/>
                </v:shape>
                <v:shape style="position:absolute;left:7138;top:5493;width:1232;height:344" type="#_x0000_t202" id="docshape19" filled="false" stroked="false">
                  <v:textbox inset="0,0,0,0">
                    <w:txbxContent>
                      <w:p>
                        <w:pPr>
                          <w:spacing w:line="157" w:lineRule="exact" w:before="0"/>
                          <w:ind w:left="-1" w:right="18" w:firstLine="0"/>
                          <w:jc w:val="center"/>
                          <w:rPr>
                            <w:rFonts w:ascii="Calibri"/>
                            <w:sz w:val="16"/>
                          </w:rPr>
                        </w:pPr>
                        <w:r>
                          <w:rPr>
                            <w:rFonts w:ascii="Calibri"/>
                            <w:color w:val="575757"/>
                            <w:sz w:val="16"/>
                          </w:rPr>
                          <w:t>CB</w:t>
                        </w:r>
                        <w:r>
                          <w:rPr>
                            <w:rFonts w:ascii="Calibri"/>
                            <w:color w:val="575757"/>
                            <w:spacing w:val="-11"/>
                            <w:sz w:val="16"/>
                          </w:rPr>
                          <w:t> </w:t>
                        </w:r>
                        <w:r>
                          <w:rPr>
                            <w:rFonts w:ascii="Calibri"/>
                            <w:color w:val="575757"/>
                            <w:sz w:val="16"/>
                          </w:rPr>
                          <w:t>D</w:t>
                        </w:r>
                        <w:r>
                          <w:rPr>
                            <w:rFonts w:ascii="Calibri"/>
                            <w:color w:val="575757"/>
                            <w:spacing w:val="54"/>
                            <w:sz w:val="16"/>
                          </w:rPr>
                          <w:t> </w:t>
                        </w:r>
                        <w:r>
                          <w:rPr>
                            <w:rFonts w:ascii="Calibri"/>
                            <w:color w:val="575757"/>
                            <w:sz w:val="16"/>
                          </w:rPr>
                          <w:t>+</w:t>
                        </w:r>
                        <w:r>
                          <w:rPr>
                            <w:rFonts w:ascii="Calibri"/>
                            <w:color w:val="575757"/>
                            <w:spacing w:val="53"/>
                            <w:sz w:val="16"/>
                          </w:rPr>
                          <w:t> </w:t>
                        </w:r>
                        <w:r>
                          <w:rPr>
                            <w:rFonts w:ascii="Calibri"/>
                            <w:color w:val="575757"/>
                            <w:sz w:val="16"/>
                          </w:rPr>
                          <w:t>E</w:t>
                        </w:r>
                        <w:r>
                          <w:rPr>
                            <w:rFonts w:ascii="Calibri"/>
                            <w:color w:val="575757"/>
                            <w:spacing w:val="-10"/>
                            <w:sz w:val="16"/>
                          </w:rPr>
                          <w:t> </w:t>
                        </w:r>
                        <w:r>
                          <w:rPr>
                            <w:rFonts w:ascii="Calibri"/>
                            <w:color w:val="575757"/>
                            <w:sz w:val="16"/>
                          </w:rPr>
                          <w:t>T</w:t>
                        </w:r>
                        <w:r>
                          <w:rPr>
                            <w:rFonts w:ascii="Calibri"/>
                            <w:color w:val="575757"/>
                            <w:spacing w:val="-9"/>
                            <w:sz w:val="16"/>
                          </w:rPr>
                          <w:t> </w:t>
                        </w:r>
                        <w:r>
                          <w:rPr>
                            <w:rFonts w:ascii="Calibri"/>
                            <w:color w:val="575757"/>
                            <w:sz w:val="16"/>
                          </w:rPr>
                          <w:t>A</w:t>
                        </w:r>
                        <w:r>
                          <w:rPr>
                            <w:rFonts w:ascii="Calibri"/>
                            <w:color w:val="575757"/>
                            <w:spacing w:val="-12"/>
                            <w:sz w:val="16"/>
                          </w:rPr>
                          <w:t> </w:t>
                        </w:r>
                        <w:r>
                          <w:rPr>
                            <w:rFonts w:ascii="Calibri"/>
                            <w:color w:val="575757"/>
                            <w:sz w:val="16"/>
                          </w:rPr>
                          <w:t>N</w:t>
                        </w:r>
                        <w:r>
                          <w:rPr>
                            <w:rFonts w:ascii="Calibri"/>
                            <w:color w:val="575757"/>
                            <w:spacing w:val="-11"/>
                            <w:sz w:val="16"/>
                          </w:rPr>
                          <w:t> </w:t>
                        </w:r>
                        <w:r>
                          <w:rPr>
                            <w:rFonts w:ascii="Calibri"/>
                            <w:color w:val="575757"/>
                            <w:sz w:val="16"/>
                          </w:rPr>
                          <w:t>O</w:t>
                        </w:r>
                        <w:r>
                          <w:rPr>
                            <w:rFonts w:ascii="Calibri"/>
                            <w:color w:val="575757"/>
                            <w:spacing w:val="-13"/>
                            <w:sz w:val="16"/>
                          </w:rPr>
                          <w:t> </w:t>
                        </w:r>
                        <w:r>
                          <w:rPr>
                            <w:rFonts w:ascii="Calibri"/>
                            <w:color w:val="575757"/>
                            <w:spacing w:val="-10"/>
                            <w:sz w:val="16"/>
                          </w:rPr>
                          <w:t>L</w:t>
                        </w:r>
                      </w:p>
                      <w:p>
                        <w:pPr>
                          <w:spacing w:line="187" w:lineRule="exact" w:before="0"/>
                          <w:ind w:left="0" w:right="26" w:firstLine="0"/>
                          <w:jc w:val="center"/>
                          <w:rPr>
                            <w:rFonts w:ascii="Calibri"/>
                            <w:sz w:val="16"/>
                          </w:rPr>
                        </w:pPr>
                        <w:r>
                          <w:rPr>
                            <w:rFonts w:ascii="Calibri"/>
                            <w:color w:val="575757"/>
                            <w:spacing w:val="-5"/>
                            <w:sz w:val="16"/>
                          </w:rPr>
                          <w:t>70%</w:t>
                        </w:r>
                      </w:p>
                    </w:txbxContent>
                  </v:textbox>
                  <w10:wrap type="none"/>
                </v:shape>
                <v:shape style="position:absolute;left:8715;top:5493;width:1067;height:160" type="#_x0000_t202" id="docshape20" filled="false" stroked="false">
                  <v:textbox inset="0,0,0,0">
                    <w:txbxContent>
                      <w:p>
                        <w:pPr>
                          <w:spacing w:line="160" w:lineRule="exact" w:before="0"/>
                          <w:ind w:left="0" w:right="0" w:firstLine="0"/>
                          <w:jc w:val="left"/>
                          <w:rPr>
                            <w:rFonts w:ascii="Calibri"/>
                            <w:sz w:val="16"/>
                          </w:rPr>
                        </w:pPr>
                        <w:r>
                          <w:rPr>
                            <w:rFonts w:ascii="Calibri"/>
                            <w:color w:val="575757"/>
                            <w:sz w:val="16"/>
                          </w:rPr>
                          <w:t>CB</w:t>
                        </w:r>
                        <w:r>
                          <w:rPr>
                            <w:rFonts w:ascii="Calibri"/>
                            <w:color w:val="575757"/>
                            <w:spacing w:val="-11"/>
                            <w:sz w:val="16"/>
                          </w:rPr>
                          <w:t> </w:t>
                        </w:r>
                        <w:r>
                          <w:rPr>
                            <w:rFonts w:ascii="Calibri"/>
                            <w:color w:val="575757"/>
                            <w:sz w:val="16"/>
                          </w:rPr>
                          <w:t>D</w:t>
                        </w:r>
                        <w:r>
                          <w:rPr>
                            <w:rFonts w:ascii="Calibri"/>
                            <w:color w:val="575757"/>
                            <w:spacing w:val="56"/>
                            <w:sz w:val="16"/>
                          </w:rPr>
                          <w:t> </w:t>
                        </w:r>
                        <w:r>
                          <w:rPr>
                            <w:rFonts w:ascii="Calibri"/>
                            <w:color w:val="575757"/>
                            <w:sz w:val="16"/>
                          </w:rPr>
                          <w:t>+</w:t>
                        </w:r>
                        <w:r>
                          <w:rPr>
                            <w:rFonts w:ascii="Calibri"/>
                            <w:color w:val="575757"/>
                            <w:spacing w:val="54"/>
                            <w:sz w:val="16"/>
                          </w:rPr>
                          <w:t> </w:t>
                        </w:r>
                        <w:r>
                          <w:rPr>
                            <w:rFonts w:ascii="Calibri"/>
                            <w:color w:val="575757"/>
                            <w:sz w:val="16"/>
                          </w:rPr>
                          <w:t>D</w:t>
                        </w:r>
                        <w:r>
                          <w:rPr>
                            <w:rFonts w:ascii="Calibri"/>
                            <w:color w:val="575757"/>
                            <w:spacing w:val="-9"/>
                            <w:sz w:val="16"/>
                          </w:rPr>
                          <w:t> </w:t>
                        </w:r>
                        <w:r>
                          <w:rPr>
                            <w:rFonts w:ascii="Calibri"/>
                            <w:color w:val="575757"/>
                            <w:spacing w:val="9"/>
                            <w:sz w:val="16"/>
                          </w:rPr>
                          <w:t>MS</w:t>
                        </w:r>
                        <w:r>
                          <w:rPr>
                            <w:rFonts w:ascii="Calibri"/>
                            <w:color w:val="575757"/>
                            <w:spacing w:val="-12"/>
                            <w:sz w:val="16"/>
                          </w:rPr>
                          <w:t> </w:t>
                        </w:r>
                        <w:r>
                          <w:rPr>
                            <w:rFonts w:ascii="Calibri"/>
                            <w:color w:val="575757"/>
                            <w:spacing w:val="-10"/>
                            <w:sz w:val="16"/>
                          </w:rPr>
                          <w:t>O</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2736">
                <wp:simplePos x="0" y="0"/>
                <wp:positionH relativeFrom="page">
                  <wp:posOffset>1477009</wp:posOffset>
                </wp:positionH>
                <wp:positionV relativeFrom="paragraph">
                  <wp:posOffset>2078951</wp:posOffset>
                </wp:positionV>
                <wp:extent cx="139700" cy="127254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39700" cy="1272540"/>
                        </a:xfrm>
                        <a:prstGeom prst="rect">
                          <a:avLst/>
                        </a:prstGeom>
                      </wps:spPr>
                      <wps:txbx>
                        <w:txbxContent>
                          <w:p>
                            <w:pPr>
                              <w:spacing w:line="203" w:lineRule="exact" w:before="0"/>
                              <w:ind w:left="20" w:right="0" w:firstLine="0"/>
                              <w:jc w:val="left"/>
                              <w:rPr>
                                <w:rFonts w:ascii="Calibri" w:hAnsi="Calibri"/>
                                <w:sz w:val="18"/>
                              </w:rPr>
                            </w:pPr>
                            <w:r>
                              <w:rPr>
                                <w:rFonts w:ascii="Calibri" w:hAnsi="Calibri"/>
                                <w:color w:val="575757"/>
                                <w:sz w:val="18"/>
                              </w:rPr>
                              <w:t>HALO</w:t>
                            </w:r>
                            <w:r>
                              <w:rPr>
                                <w:rFonts w:ascii="Calibri" w:hAnsi="Calibri"/>
                                <w:color w:val="575757"/>
                                <w:spacing w:val="-10"/>
                                <w:sz w:val="18"/>
                              </w:rPr>
                              <w:t> </w:t>
                            </w:r>
                            <w:r>
                              <w:rPr>
                                <w:rFonts w:ascii="Calibri" w:hAnsi="Calibri"/>
                                <w:color w:val="575757"/>
                                <w:sz w:val="18"/>
                              </w:rPr>
                              <w:t>DE</w:t>
                            </w:r>
                            <w:r>
                              <w:rPr>
                                <w:rFonts w:ascii="Calibri" w:hAnsi="Calibri"/>
                                <w:color w:val="575757"/>
                                <w:spacing w:val="-9"/>
                                <w:sz w:val="18"/>
                              </w:rPr>
                              <w:t> </w:t>
                            </w:r>
                            <w:r>
                              <w:rPr>
                                <w:rFonts w:ascii="Calibri" w:hAnsi="Calibri"/>
                                <w:color w:val="575757"/>
                                <w:sz w:val="18"/>
                              </w:rPr>
                              <w:t>INHIBICIÓN </w:t>
                            </w:r>
                            <w:r>
                              <w:rPr>
                                <w:rFonts w:ascii="Calibri" w:hAnsi="Calibri"/>
                                <w:color w:val="575757"/>
                                <w:spacing w:val="-4"/>
                                <w:sz w:val="18"/>
                              </w:rPr>
                              <w:t>(MM)</w:t>
                            </w:r>
                          </w:p>
                        </w:txbxContent>
                      </wps:txbx>
                      <wps:bodyPr wrap="square" lIns="0" tIns="0" rIns="0" bIns="0" rtlCol="0" vert="vert270">
                        <a:noAutofit/>
                      </wps:bodyPr>
                    </wps:wsp>
                  </a:graphicData>
                </a:graphic>
              </wp:anchor>
            </w:drawing>
          </mc:Choice>
          <mc:Fallback>
            <w:pict>
              <v:shape style="position:absolute;margin-left:116.299995pt;margin-top:163.69693pt;width:11pt;height:100.2pt;mso-position-horizontal-relative:page;mso-position-vertical-relative:paragraph;z-index:15732736" type="#_x0000_t202" id="docshape21" filled="false" stroked="false">
                <v:textbox inset="0,0,0,0" style="layout-flow:vertical;mso-layout-flow-alt:bottom-to-top">
                  <w:txbxContent>
                    <w:p>
                      <w:pPr>
                        <w:spacing w:line="203" w:lineRule="exact" w:before="0"/>
                        <w:ind w:left="20" w:right="0" w:firstLine="0"/>
                        <w:jc w:val="left"/>
                        <w:rPr>
                          <w:rFonts w:ascii="Calibri" w:hAnsi="Calibri"/>
                          <w:sz w:val="18"/>
                        </w:rPr>
                      </w:pPr>
                      <w:r>
                        <w:rPr>
                          <w:rFonts w:ascii="Calibri" w:hAnsi="Calibri"/>
                          <w:color w:val="575757"/>
                          <w:sz w:val="18"/>
                        </w:rPr>
                        <w:t>HALO</w:t>
                      </w:r>
                      <w:r>
                        <w:rPr>
                          <w:rFonts w:ascii="Calibri" w:hAnsi="Calibri"/>
                          <w:color w:val="575757"/>
                          <w:spacing w:val="-10"/>
                          <w:sz w:val="18"/>
                        </w:rPr>
                        <w:t> </w:t>
                      </w:r>
                      <w:r>
                        <w:rPr>
                          <w:rFonts w:ascii="Calibri" w:hAnsi="Calibri"/>
                          <w:color w:val="575757"/>
                          <w:sz w:val="18"/>
                        </w:rPr>
                        <w:t>DE</w:t>
                      </w:r>
                      <w:r>
                        <w:rPr>
                          <w:rFonts w:ascii="Calibri" w:hAnsi="Calibri"/>
                          <w:color w:val="575757"/>
                          <w:spacing w:val="-9"/>
                          <w:sz w:val="18"/>
                        </w:rPr>
                        <w:t> </w:t>
                      </w:r>
                      <w:r>
                        <w:rPr>
                          <w:rFonts w:ascii="Calibri" w:hAnsi="Calibri"/>
                          <w:color w:val="575757"/>
                          <w:sz w:val="18"/>
                        </w:rPr>
                        <w:t>INHIBICIÓN </w:t>
                      </w:r>
                      <w:r>
                        <w:rPr>
                          <w:rFonts w:ascii="Calibri" w:hAnsi="Calibri"/>
                          <w:color w:val="575757"/>
                          <w:spacing w:val="-4"/>
                          <w:sz w:val="18"/>
                        </w:rPr>
                        <w:t>(MM)</w:t>
                      </w:r>
                    </w:p>
                  </w:txbxContent>
                </v:textbox>
                <w10:wrap type="none"/>
              </v:shape>
            </w:pict>
          </mc:Fallback>
        </mc:AlternateContent>
      </w:r>
      <w:r>
        <w:rPr/>
        <mc:AlternateContent>
          <mc:Choice Requires="wps">
            <w:drawing>
              <wp:anchor distT="0" distB="0" distL="0" distR="0" allowOverlap="1" layoutInCell="1" locked="0" behindDoc="0" simplePos="0" relativeHeight="15733248">
                <wp:simplePos x="0" y="0"/>
                <wp:positionH relativeFrom="page">
                  <wp:posOffset>1999614</wp:posOffset>
                </wp:positionH>
                <wp:positionV relativeFrom="paragraph">
                  <wp:posOffset>2054456</wp:posOffset>
                </wp:positionV>
                <wp:extent cx="127000" cy="19685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27000" cy="196850"/>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20,7</w:t>
                            </w:r>
                          </w:p>
                        </w:txbxContent>
                      </wps:txbx>
                      <wps:bodyPr wrap="square" lIns="0" tIns="0" rIns="0" bIns="0" rtlCol="0" vert="vert270">
                        <a:noAutofit/>
                      </wps:bodyPr>
                    </wps:wsp>
                  </a:graphicData>
                </a:graphic>
              </wp:anchor>
            </w:drawing>
          </mc:Choice>
          <mc:Fallback>
            <w:pict>
              <v:shape style="position:absolute;margin-left:157.449997pt;margin-top:161.768234pt;width:10pt;height:15.5pt;mso-position-horizontal-relative:page;mso-position-vertical-relative:paragraph;z-index:15733248" type="#_x0000_t202" id="docshape22"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20,7</w:t>
                      </w:r>
                    </w:p>
                  </w:txbxContent>
                </v:textbox>
                <w10:wrap type="none"/>
              </v:shape>
            </w:pict>
          </mc:Fallback>
        </mc:AlternateContent>
      </w:r>
      <w:r>
        <w:rPr/>
        <mc:AlternateContent>
          <mc:Choice Requires="wps">
            <w:drawing>
              <wp:anchor distT="0" distB="0" distL="0" distR="0" allowOverlap="1" layoutInCell="1" locked="0" behindDoc="0" simplePos="0" relativeHeight="15733760">
                <wp:simplePos x="0" y="0"/>
                <wp:positionH relativeFrom="page">
                  <wp:posOffset>2955035</wp:posOffset>
                </wp:positionH>
                <wp:positionV relativeFrom="paragraph">
                  <wp:posOffset>1668503</wp:posOffset>
                </wp:positionV>
                <wp:extent cx="127000" cy="19685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27000" cy="196850"/>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26,3</w:t>
                            </w:r>
                          </w:p>
                        </w:txbxContent>
                      </wps:txbx>
                      <wps:bodyPr wrap="square" lIns="0" tIns="0" rIns="0" bIns="0" rtlCol="0" vert="vert270">
                        <a:noAutofit/>
                      </wps:bodyPr>
                    </wps:wsp>
                  </a:graphicData>
                </a:graphic>
              </wp:anchor>
            </w:drawing>
          </mc:Choice>
          <mc:Fallback>
            <w:pict>
              <v:shape style="position:absolute;margin-left:232.679993pt;margin-top:131.378235pt;width:10pt;height:15.5pt;mso-position-horizontal-relative:page;mso-position-vertical-relative:paragraph;z-index:15733760" type="#_x0000_t202" id="docshape23"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26,3</w:t>
                      </w:r>
                    </w:p>
                  </w:txbxContent>
                </v:textbox>
                <w10:wrap type="none"/>
              </v:shape>
            </w:pict>
          </mc:Fallback>
        </mc:AlternateContent>
      </w:r>
      <w:r>
        <w:rPr/>
        <mc:AlternateContent>
          <mc:Choice Requires="wps">
            <w:drawing>
              <wp:anchor distT="0" distB="0" distL="0" distR="0" allowOverlap="1" layoutInCell="1" locked="0" behindDoc="0" simplePos="0" relativeHeight="15734784">
                <wp:simplePos x="0" y="0"/>
                <wp:positionH relativeFrom="page">
                  <wp:posOffset>4868545</wp:posOffset>
                </wp:positionH>
                <wp:positionV relativeFrom="paragraph">
                  <wp:posOffset>2039911</wp:posOffset>
                </wp:positionV>
                <wp:extent cx="127000" cy="12192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27000" cy="121920"/>
                        </a:xfrm>
                        <a:prstGeom prst="rect">
                          <a:avLst/>
                        </a:prstGeom>
                      </wps:spPr>
                      <wps:txbx>
                        <w:txbxContent>
                          <w:p>
                            <w:pPr>
                              <w:spacing w:line="183" w:lineRule="exact" w:before="0"/>
                              <w:ind w:left="20" w:right="0" w:firstLine="0"/>
                              <w:jc w:val="left"/>
                              <w:rPr>
                                <w:rFonts w:ascii="Calibri"/>
                                <w:sz w:val="16"/>
                              </w:rPr>
                            </w:pPr>
                            <w:r>
                              <w:rPr>
                                <w:rFonts w:ascii="Calibri"/>
                                <w:color w:val="7D7D7D"/>
                                <w:spacing w:val="-5"/>
                                <w:sz w:val="16"/>
                              </w:rPr>
                              <w:t>22</w:t>
                            </w:r>
                          </w:p>
                        </w:txbxContent>
                      </wps:txbx>
                      <wps:bodyPr wrap="square" lIns="0" tIns="0" rIns="0" bIns="0" rtlCol="0" vert="vert270">
                        <a:noAutofit/>
                      </wps:bodyPr>
                    </wps:wsp>
                  </a:graphicData>
                </a:graphic>
              </wp:anchor>
            </w:drawing>
          </mc:Choice>
          <mc:Fallback>
            <w:pict>
              <v:shape style="position:absolute;margin-left:383.350006pt;margin-top:160.622925pt;width:10pt;height:9.6pt;mso-position-horizontal-relative:page;mso-position-vertical-relative:paragraph;z-index:15734784" type="#_x0000_t202" id="docshape24"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5"/>
                          <w:sz w:val="16"/>
                        </w:rPr>
                        <w:t>22</w:t>
                      </w:r>
                    </w:p>
                  </w:txbxContent>
                </v:textbox>
                <w10:wrap type="none"/>
              </v:shape>
            </w:pict>
          </mc:Fallback>
        </mc:AlternateContent>
      </w:r>
      <w:bookmarkStart w:name="_bookmark42" w:id="43"/>
      <w:bookmarkEnd w:id="43"/>
      <w:r>
        <w:rPr>
          <w:b w:val="0"/>
        </w:rPr>
      </w:r>
      <w:r>
        <w:rPr/>
        <w:t>Observación</w:t>
      </w:r>
      <w:r>
        <w:rPr>
          <w:spacing w:val="-15"/>
        </w:rPr>
        <w:t> </w:t>
      </w:r>
      <w:r>
        <w:rPr/>
        <w:t>Gráfica</w:t>
      </w:r>
      <w:r>
        <w:rPr>
          <w:spacing w:val="-15"/>
        </w:rPr>
        <w:t> </w:t>
      </w:r>
      <w:r>
        <w:rPr/>
        <w:t>de</w:t>
      </w:r>
      <w:r>
        <w:rPr>
          <w:spacing w:val="-15"/>
        </w:rPr>
        <w:t> </w:t>
      </w:r>
      <w:r>
        <w:rPr/>
        <w:t>los</w:t>
      </w:r>
      <w:r>
        <w:rPr>
          <w:spacing w:val="-15"/>
        </w:rPr>
        <w:t> </w:t>
      </w:r>
      <w:r>
        <w:rPr/>
        <w:t>tratamientos</w:t>
      </w:r>
      <w:r>
        <w:rPr>
          <w:spacing w:val="-15"/>
        </w:rPr>
        <w:t> </w:t>
      </w:r>
      <w:r>
        <w:rPr/>
        <w:t>individuales </w:t>
      </w:r>
      <w:bookmarkStart w:name="_bookmark43" w:id="44"/>
      <w:bookmarkEnd w:id="44"/>
      <w:r>
        <w:rPr/>
        <w:t>F</w:t>
      </w:r>
      <w:r>
        <w:rPr/>
        <w:t>igura 1</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27"/>
        <w:rPr>
          <w:b/>
        </w:rPr>
      </w:pPr>
    </w:p>
    <w:p>
      <w:pPr>
        <w:spacing w:before="0"/>
        <w:ind w:left="994" w:right="0" w:firstLine="0"/>
        <w:jc w:val="both"/>
        <w:rPr>
          <w:i/>
          <w:sz w:val="24"/>
        </w:rPr>
      </w:pPr>
      <w:r>
        <w:rPr>
          <w:i/>
          <w:sz w:val="24"/>
        </w:rPr>
        <mc:AlternateContent>
          <mc:Choice Requires="wps">
            <w:drawing>
              <wp:anchor distT="0" distB="0" distL="0" distR="0" allowOverlap="1" layoutInCell="1" locked="0" behindDoc="0" simplePos="0" relativeHeight="15734272">
                <wp:simplePos x="0" y="0"/>
                <wp:positionH relativeFrom="page">
                  <wp:posOffset>3913251</wp:posOffset>
                </wp:positionH>
                <wp:positionV relativeFrom="paragraph">
                  <wp:posOffset>-1161586</wp:posOffset>
                </wp:positionV>
                <wp:extent cx="127000" cy="19685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27000" cy="196850"/>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12,3</w:t>
                            </w:r>
                          </w:p>
                        </w:txbxContent>
                      </wps:txbx>
                      <wps:bodyPr wrap="square" lIns="0" tIns="0" rIns="0" bIns="0" rtlCol="0" vert="vert270">
                        <a:noAutofit/>
                      </wps:bodyPr>
                    </wps:wsp>
                  </a:graphicData>
                </a:graphic>
              </wp:anchor>
            </w:drawing>
          </mc:Choice>
          <mc:Fallback>
            <w:pict>
              <v:shape style="position:absolute;margin-left:308.130005pt;margin-top:-91.463478pt;width:10pt;height:15.5pt;mso-position-horizontal-relative:page;mso-position-vertical-relative:paragraph;z-index:15734272" type="#_x0000_t202" id="docshape25"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12,3</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35296">
                <wp:simplePos x="0" y="0"/>
                <wp:positionH relativeFrom="page">
                  <wp:posOffset>5823965</wp:posOffset>
                </wp:positionH>
                <wp:positionV relativeFrom="paragraph">
                  <wp:posOffset>-1021886</wp:posOffset>
                </wp:positionV>
                <wp:extent cx="127000" cy="19685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27000" cy="196850"/>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10,3</w:t>
                            </w:r>
                          </w:p>
                        </w:txbxContent>
                      </wps:txbx>
                      <wps:bodyPr wrap="square" lIns="0" tIns="0" rIns="0" bIns="0" rtlCol="0" vert="vert270">
                        <a:noAutofit/>
                      </wps:bodyPr>
                    </wps:wsp>
                  </a:graphicData>
                </a:graphic>
              </wp:anchor>
            </w:drawing>
          </mc:Choice>
          <mc:Fallback>
            <w:pict>
              <v:shape style="position:absolute;margin-left:458.579987pt;margin-top:-80.463478pt;width:10pt;height:15.5pt;mso-position-horizontal-relative:page;mso-position-vertical-relative:paragraph;z-index:15735296" type="#_x0000_t202" id="docshape26"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10,3</w:t>
                      </w:r>
                    </w:p>
                  </w:txbxContent>
                </v:textbox>
                <w10:wrap type="none"/>
              </v:shape>
            </w:pict>
          </mc:Fallback>
        </mc:AlternateContent>
      </w:r>
      <w:r>
        <w:rPr>
          <w:i/>
          <w:sz w:val="24"/>
        </w:rPr>
        <w:t>Promedio</w:t>
      </w:r>
      <w:r>
        <w:rPr>
          <w:i/>
          <w:spacing w:val="-7"/>
          <w:sz w:val="24"/>
        </w:rPr>
        <w:t> </w:t>
      </w:r>
      <w:r>
        <w:rPr>
          <w:i/>
          <w:sz w:val="24"/>
        </w:rPr>
        <w:t>de halos</w:t>
      </w:r>
      <w:r>
        <w:rPr>
          <w:i/>
          <w:spacing w:val="-6"/>
          <w:sz w:val="24"/>
        </w:rPr>
        <w:t> </w:t>
      </w:r>
      <w:r>
        <w:rPr>
          <w:i/>
          <w:sz w:val="24"/>
        </w:rPr>
        <w:t>de</w:t>
      </w:r>
      <w:r>
        <w:rPr>
          <w:i/>
          <w:spacing w:val="-4"/>
          <w:sz w:val="24"/>
        </w:rPr>
        <w:t> </w:t>
      </w:r>
      <w:r>
        <w:rPr>
          <w:i/>
          <w:sz w:val="24"/>
        </w:rPr>
        <w:t>inhibición de</w:t>
      </w:r>
      <w:r>
        <w:rPr>
          <w:i/>
          <w:spacing w:val="-8"/>
          <w:sz w:val="24"/>
        </w:rPr>
        <w:t> </w:t>
      </w:r>
      <w:r>
        <w:rPr>
          <w:i/>
          <w:sz w:val="24"/>
        </w:rPr>
        <w:t>los</w:t>
      </w:r>
      <w:r>
        <w:rPr>
          <w:i/>
          <w:spacing w:val="-7"/>
          <w:sz w:val="24"/>
        </w:rPr>
        <w:t> </w:t>
      </w:r>
      <w:r>
        <w:rPr>
          <w:i/>
          <w:sz w:val="24"/>
        </w:rPr>
        <w:t>tratamientos</w:t>
      </w:r>
      <w:r>
        <w:rPr>
          <w:i/>
          <w:spacing w:val="-4"/>
          <w:sz w:val="24"/>
        </w:rPr>
        <w:t> </w:t>
      </w:r>
      <w:r>
        <w:rPr>
          <w:i/>
          <w:spacing w:val="-2"/>
          <w:sz w:val="24"/>
        </w:rPr>
        <w:t>individuales</w:t>
      </w:r>
    </w:p>
    <w:p>
      <w:pPr>
        <w:spacing w:line="242" w:lineRule="auto" w:before="241"/>
        <w:ind w:left="994" w:right="704" w:firstLine="0"/>
        <w:jc w:val="both"/>
        <w:rPr>
          <w:sz w:val="20"/>
        </w:rPr>
      </w:pPr>
      <w:r>
        <w:rPr>
          <w:i/>
          <w:sz w:val="20"/>
        </w:rPr>
        <w:t>Nota. </w:t>
      </w:r>
      <w:r>
        <w:rPr>
          <w:sz w:val="20"/>
        </w:rPr>
        <w:t>Elaboración propia a partir de los resultados de los tratamientos individuales evaluados mediante</w:t>
      </w:r>
      <w:r>
        <w:rPr>
          <w:spacing w:val="28"/>
          <w:sz w:val="20"/>
        </w:rPr>
        <w:t> </w:t>
      </w:r>
      <w:r>
        <w:rPr>
          <w:sz w:val="20"/>
        </w:rPr>
        <w:t>ensayos</w:t>
      </w:r>
      <w:r>
        <w:rPr>
          <w:spacing w:val="29"/>
          <w:sz w:val="20"/>
        </w:rPr>
        <w:t> </w:t>
      </w:r>
      <w:r>
        <w:rPr>
          <w:sz w:val="20"/>
        </w:rPr>
        <w:t>de</w:t>
      </w:r>
      <w:r>
        <w:rPr>
          <w:spacing w:val="31"/>
          <w:sz w:val="20"/>
        </w:rPr>
        <w:t> </w:t>
      </w:r>
      <w:r>
        <w:rPr>
          <w:sz w:val="20"/>
        </w:rPr>
        <w:t>sensibilidad</w:t>
      </w:r>
      <w:r>
        <w:rPr>
          <w:spacing w:val="31"/>
          <w:sz w:val="20"/>
        </w:rPr>
        <w:t> </w:t>
      </w:r>
      <w:r>
        <w:rPr>
          <w:sz w:val="20"/>
        </w:rPr>
        <w:t>antimicrobiana</w:t>
      </w:r>
      <w:r>
        <w:rPr>
          <w:spacing w:val="26"/>
          <w:sz w:val="20"/>
        </w:rPr>
        <w:t> </w:t>
      </w:r>
      <w:r>
        <w:rPr>
          <w:sz w:val="20"/>
        </w:rPr>
        <w:t>en</w:t>
      </w:r>
      <w:r>
        <w:rPr>
          <w:spacing w:val="30"/>
          <w:sz w:val="20"/>
        </w:rPr>
        <w:t> </w:t>
      </w:r>
      <w:r>
        <w:rPr>
          <w:sz w:val="20"/>
        </w:rPr>
        <w:t>el</w:t>
      </w:r>
      <w:r>
        <w:rPr>
          <w:spacing w:val="28"/>
          <w:sz w:val="20"/>
        </w:rPr>
        <w:t> </w:t>
      </w:r>
      <w:r>
        <w:rPr>
          <w:sz w:val="20"/>
        </w:rPr>
        <w:t>laboratorio</w:t>
      </w:r>
      <w:r>
        <w:rPr>
          <w:spacing w:val="28"/>
          <w:sz w:val="20"/>
        </w:rPr>
        <w:t> </w:t>
      </w:r>
      <w:r>
        <w:rPr>
          <w:sz w:val="20"/>
        </w:rPr>
        <w:t>de</w:t>
      </w:r>
      <w:r>
        <w:rPr>
          <w:spacing w:val="31"/>
          <w:sz w:val="20"/>
        </w:rPr>
        <w:t> </w:t>
      </w:r>
      <w:r>
        <w:rPr>
          <w:sz w:val="20"/>
        </w:rPr>
        <w:t>la</w:t>
      </w:r>
      <w:r>
        <w:rPr>
          <w:spacing w:val="27"/>
          <w:sz w:val="20"/>
        </w:rPr>
        <w:t> </w:t>
      </w:r>
      <w:r>
        <w:rPr>
          <w:sz w:val="20"/>
        </w:rPr>
        <w:t>Universidad</w:t>
      </w:r>
      <w:r>
        <w:rPr>
          <w:spacing w:val="27"/>
          <w:sz w:val="20"/>
        </w:rPr>
        <w:t> </w:t>
      </w:r>
      <w:r>
        <w:rPr>
          <w:sz w:val="20"/>
        </w:rPr>
        <w:t>Estatal</w:t>
      </w:r>
      <w:r>
        <w:rPr>
          <w:spacing w:val="32"/>
          <w:sz w:val="20"/>
        </w:rPr>
        <w:t> </w:t>
      </w:r>
      <w:r>
        <w:rPr>
          <w:spacing w:val="-5"/>
          <w:sz w:val="20"/>
        </w:rPr>
        <w:t>de</w:t>
      </w:r>
    </w:p>
    <w:p>
      <w:pPr>
        <w:spacing w:after="0" w:line="242" w:lineRule="auto"/>
        <w:jc w:val="both"/>
        <w:rPr>
          <w:sz w:val="20"/>
        </w:rPr>
        <w:sectPr>
          <w:pgSz w:w="11900" w:h="16840"/>
          <w:pgMar w:top="1580" w:bottom="280" w:left="1275" w:right="992"/>
        </w:sectPr>
      </w:pPr>
    </w:p>
    <w:p>
      <w:pPr>
        <w:spacing w:before="61"/>
        <w:ind w:left="994" w:right="0" w:firstLine="0"/>
        <w:jc w:val="left"/>
        <w:rPr>
          <w:sz w:val="20"/>
        </w:rPr>
      </w:pPr>
      <w:r>
        <w:rPr>
          <w:spacing w:val="-2"/>
          <w:sz w:val="20"/>
        </w:rPr>
        <w:t>Bolívar.</w:t>
      </w:r>
    </w:p>
    <w:p>
      <w:pPr>
        <w:pStyle w:val="BodyText"/>
        <w:spacing w:line="360" w:lineRule="auto" w:before="161"/>
        <w:ind w:left="994" w:right="709"/>
        <w:jc w:val="both"/>
      </w:pPr>
      <w:r>
        <w:rPr/>
        <w:t>La representación gráfica de barras exhibe las medias del diámetro del halo de inhibición en milímetros calculadas para cada uno de los tratamientos administrados individualmente contra poblaciones de Staphylococcus aureus intrínsecamente resistentes a la meticilina (MRSA). La enrofloxacina demostro la media superior de inhibición, alcançando</w:t>
      </w:r>
      <w:r>
        <w:rPr>
          <w:spacing w:val="-2"/>
        </w:rPr>
        <w:t> </w:t>
      </w:r>
      <w:r>
        <w:rPr/>
        <w:t>26,3 milímetros; la sigue el cannabidiol, disuelto en etanol al 70 por ciento, que presento 22,0 milímetros, y en tercer lugar la</w:t>
      </w:r>
      <w:r>
        <w:rPr>
          <w:spacing w:val="-6"/>
        </w:rPr>
        <w:t> </w:t>
      </w:r>
      <w:r>
        <w:rPr/>
        <w:t>amoxicilina</w:t>
      </w:r>
      <w:r>
        <w:rPr>
          <w:spacing w:val="-6"/>
        </w:rPr>
        <w:t> </w:t>
      </w:r>
      <w:r>
        <w:rPr/>
        <w:t>con</w:t>
      </w:r>
      <w:r>
        <w:rPr>
          <w:spacing w:val="-8"/>
        </w:rPr>
        <w:t> </w:t>
      </w:r>
      <w:r>
        <w:rPr/>
        <w:t>20,7</w:t>
      </w:r>
      <w:r>
        <w:rPr>
          <w:spacing w:val="-8"/>
        </w:rPr>
        <w:t> </w:t>
      </w:r>
      <w:r>
        <w:rPr/>
        <w:t>milímetros.</w:t>
      </w:r>
      <w:r>
        <w:rPr>
          <w:spacing w:val="-8"/>
        </w:rPr>
        <w:t> </w:t>
      </w:r>
      <w:r>
        <w:rPr/>
        <w:t>Por</w:t>
      </w:r>
      <w:r>
        <w:rPr>
          <w:spacing w:val="-2"/>
        </w:rPr>
        <w:t> </w:t>
      </w:r>
      <w:r>
        <w:rPr/>
        <w:t>el</w:t>
      </w:r>
      <w:r>
        <w:rPr>
          <w:spacing w:val="-2"/>
        </w:rPr>
        <w:t> </w:t>
      </w:r>
      <w:r>
        <w:rPr/>
        <w:t>contrario,</w:t>
      </w:r>
      <w:r>
        <w:rPr>
          <w:spacing w:val="-8"/>
        </w:rPr>
        <w:t> </w:t>
      </w:r>
      <w:r>
        <w:rPr/>
        <w:t>la</w:t>
      </w:r>
      <w:r>
        <w:rPr>
          <w:spacing w:val="-6"/>
        </w:rPr>
        <w:t> </w:t>
      </w:r>
      <w:r>
        <w:rPr/>
        <w:t>cefalexina</w:t>
      </w:r>
      <w:r>
        <w:rPr>
          <w:spacing w:val="-6"/>
        </w:rPr>
        <w:t> </w:t>
      </w:r>
      <w:r>
        <w:rPr/>
        <w:t>y</w:t>
      </w:r>
      <w:r>
        <w:rPr>
          <w:spacing w:val="-8"/>
        </w:rPr>
        <w:t> </w:t>
      </w:r>
      <w:r>
        <w:rPr/>
        <w:t>el</w:t>
      </w:r>
      <w:r>
        <w:rPr>
          <w:spacing w:val="-7"/>
        </w:rPr>
        <w:t> </w:t>
      </w:r>
      <w:r>
        <w:rPr/>
        <w:t>cannabidiol, este ultimo</w:t>
      </w:r>
      <w:r>
        <w:rPr>
          <w:spacing w:val="-4"/>
        </w:rPr>
        <w:t> </w:t>
      </w:r>
      <w:r>
        <w:rPr/>
        <w:t>vehiculizado</w:t>
      </w:r>
      <w:r>
        <w:rPr>
          <w:spacing w:val="-4"/>
        </w:rPr>
        <w:t> </w:t>
      </w:r>
      <w:r>
        <w:rPr/>
        <w:t>en</w:t>
      </w:r>
      <w:r>
        <w:rPr>
          <w:spacing w:val="-4"/>
        </w:rPr>
        <w:t> </w:t>
      </w:r>
      <w:r>
        <w:rPr/>
        <w:t>dimetilsulfóxido, mostraron</w:t>
      </w:r>
      <w:r>
        <w:rPr>
          <w:spacing w:val="-3"/>
        </w:rPr>
        <w:t> </w:t>
      </w:r>
      <w:r>
        <w:rPr/>
        <w:t>las</w:t>
      </w:r>
      <w:r>
        <w:rPr>
          <w:spacing w:val="-5"/>
        </w:rPr>
        <w:t> </w:t>
      </w:r>
      <w:r>
        <w:rPr/>
        <w:t>medias</w:t>
      </w:r>
      <w:r>
        <w:rPr>
          <w:spacing w:val="-1"/>
        </w:rPr>
        <w:t> </w:t>
      </w:r>
      <w:r>
        <w:rPr/>
        <w:t>más</w:t>
      </w:r>
      <w:r>
        <w:rPr>
          <w:spacing w:val="-1"/>
        </w:rPr>
        <w:t> </w:t>
      </w:r>
      <w:r>
        <w:rPr/>
        <w:t>bajas, con 12,3 y 10,3 milímetros respectivamente.</w:t>
      </w:r>
    </w:p>
    <w:p>
      <w:pPr>
        <w:pStyle w:val="BodyText"/>
        <w:spacing w:line="360" w:lineRule="auto" w:before="164"/>
        <w:ind w:left="994" w:right="709"/>
        <w:jc w:val="both"/>
      </w:pPr>
      <w:r>
        <w:rPr/>
        <w:t>El mayor desempeño de la enrofloxacina se asocia con su acción sobre la ADN girasa y la topoisomerasa IV, mecanismo que bloquea la replicación bacteriana. Este</w:t>
      </w:r>
      <w:r>
        <w:rPr>
          <w:spacing w:val="-1"/>
        </w:rPr>
        <w:t> </w:t>
      </w:r>
      <w:r>
        <w:rPr/>
        <w:t>resultado</w:t>
      </w:r>
      <w:r>
        <w:rPr>
          <w:spacing w:val="-7"/>
        </w:rPr>
        <w:t> </w:t>
      </w:r>
      <w:r>
        <w:rPr/>
        <w:t>coincide</w:t>
      </w:r>
      <w:r>
        <w:rPr>
          <w:spacing w:val="-5"/>
        </w:rPr>
        <w:t> </w:t>
      </w:r>
      <w:r>
        <w:rPr/>
        <w:t>con</w:t>
      </w:r>
      <w:r>
        <w:rPr>
          <w:spacing w:val="-7"/>
        </w:rPr>
        <w:t> </w:t>
      </w:r>
      <w:r>
        <w:rPr/>
        <w:t>Liu</w:t>
      </w:r>
      <w:r>
        <w:rPr>
          <w:spacing w:val="-7"/>
        </w:rPr>
        <w:t> </w:t>
      </w:r>
      <w:r>
        <w:rPr/>
        <w:t>et</w:t>
      </w:r>
      <w:r>
        <w:rPr>
          <w:spacing w:val="-6"/>
        </w:rPr>
        <w:t> </w:t>
      </w:r>
      <w:r>
        <w:rPr/>
        <w:t>al.</w:t>
      </w:r>
      <w:r>
        <w:rPr>
          <w:spacing w:val="-2"/>
        </w:rPr>
        <w:t> </w:t>
      </w:r>
      <w:r>
        <w:rPr/>
        <w:t>(2021)</w:t>
      </w:r>
      <w:r>
        <w:rPr>
          <w:spacing w:val="-2"/>
        </w:rPr>
        <w:t> </w:t>
      </w:r>
      <w:r>
        <w:rPr/>
        <w:t>y</w:t>
      </w:r>
      <w:r>
        <w:rPr>
          <w:spacing w:val="-2"/>
        </w:rPr>
        <w:t> </w:t>
      </w:r>
      <w:r>
        <w:rPr/>
        <w:t>Zhang</w:t>
      </w:r>
      <w:r>
        <w:rPr>
          <w:spacing w:val="-7"/>
        </w:rPr>
        <w:t> </w:t>
      </w:r>
      <w:r>
        <w:rPr/>
        <w:t>et</w:t>
      </w:r>
      <w:r>
        <w:rPr>
          <w:spacing w:val="-5"/>
        </w:rPr>
        <w:t> </w:t>
      </w:r>
      <w:r>
        <w:rPr/>
        <w:t>al.</w:t>
      </w:r>
      <w:r>
        <w:rPr>
          <w:spacing w:val="-7"/>
        </w:rPr>
        <w:t> </w:t>
      </w:r>
      <w:r>
        <w:rPr/>
        <w:t>(2023),</w:t>
      </w:r>
      <w:r>
        <w:rPr>
          <w:spacing w:val="-2"/>
        </w:rPr>
        <w:t> </w:t>
      </w:r>
      <w:r>
        <w:rPr/>
        <w:t>quienes</w:t>
      </w:r>
      <w:r>
        <w:rPr>
          <w:spacing w:val="-8"/>
        </w:rPr>
        <w:t> </w:t>
      </w:r>
      <w:r>
        <w:rPr/>
        <w:t>indican que las fluoroquinolonas conservan alta eficacia frente a cepas resistentes como MRSA por su amplio espectro y su rápida acción bactericida.</w:t>
      </w:r>
    </w:p>
    <w:p>
      <w:pPr>
        <w:pStyle w:val="BodyText"/>
        <w:spacing w:line="360" w:lineRule="auto" w:before="158"/>
        <w:ind w:left="994" w:right="702"/>
        <w:jc w:val="both"/>
      </w:pPr>
      <w:r>
        <w:rPr/>
        <w:t>La</w:t>
      </w:r>
      <w:r>
        <w:rPr>
          <w:spacing w:val="-6"/>
        </w:rPr>
        <w:t> </w:t>
      </w:r>
      <w:r>
        <w:rPr/>
        <w:t>amoxicilina,</w:t>
      </w:r>
      <w:r>
        <w:rPr>
          <w:spacing w:val="-11"/>
        </w:rPr>
        <w:t> </w:t>
      </w:r>
      <w:r>
        <w:rPr/>
        <w:t>al</w:t>
      </w:r>
      <w:r>
        <w:rPr>
          <w:spacing w:val="-7"/>
        </w:rPr>
        <w:t> </w:t>
      </w:r>
      <w:r>
        <w:rPr/>
        <w:t>presentar</w:t>
      </w:r>
      <w:r>
        <w:rPr>
          <w:spacing w:val="-11"/>
        </w:rPr>
        <w:t> </w:t>
      </w:r>
      <w:r>
        <w:rPr/>
        <w:t>una</w:t>
      </w:r>
      <w:r>
        <w:rPr>
          <w:spacing w:val="-10"/>
        </w:rPr>
        <w:t> </w:t>
      </w:r>
      <w:r>
        <w:rPr/>
        <w:t>actividad</w:t>
      </w:r>
      <w:r>
        <w:rPr>
          <w:spacing w:val="-11"/>
        </w:rPr>
        <w:t> </w:t>
      </w:r>
      <w:r>
        <w:rPr/>
        <w:t>intermediaria,</w:t>
      </w:r>
      <w:r>
        <w:rPr>
          <w:spacing w:val="-12"/>
        </w:rPr>
        <w:t> </w:t>
      </w:r>
      <w:r>
        <w:rPr/>
        <w:t>dialoga</w:t>
      </w:r>
      <w:r>
        <w:rPr>
          <w:spacing w:val="-10"/>
        </w:rPr>
        <w:t> </w:t>
      </w:r>
      <w:r>
        <w:rPr/>
        <w:t>con</w:t>
      </w:r>
      <w:r>
        <w:rPr>
          <w:spacing w:val="-8"/>
        </w:rPr>
        <w:t> </w:t>
      </w:r>
      <w:r>
        <w:rPr/>
        <w:t>la</w:t>
      </w:r>
      <w:r>
        <w:rPr>
          <w:spacing w:val="-6"/>
        </w:rPr>
        <w:t> </w:t>
      </w:r>
      <w:r>
        <w:rPr/>
        <w:t>perspectiva de</w:t>
      </w:r>
      <w:r>
        <w:rPr>
          <w:spacing w:val="-2"/>
        </w:rPr>
        <w:t> </w:t>
      </w:r>
      <w:r>
        <w:rPr/>
        <w:t>Wright</w:t>
      </w:r>
      <w:r>
        <w:rPr>
          <w:spacing w:val="-2"/>
        </w:rPr>
        <w:t> </w:t>
      </w:r>
      <w:r>
        <w:rPr/>
        <w:t>(2022),</w:t>
      </w:r>
      <w:r>
        <w:rPr>
          <w:spacing w:val="-3"/>
        </w:rPr>
        <w:t> </w:t>
      </w:r>
      <w:r>
        <w:rPr/>
        <w:t>quien</w:t>
      </w:r>
      <w:r>
        <w:rPr>
          <w:spacing w:val="-3"/>
        </w:rPr>
        <w:t> </w:t>
      </w:r>
      <w:r>
        <w:rPr/>
        <w:t>asevera</w:t>
      </w:r>
      <w:r>
        <w:rPr>
          <w:spacing w:val="-2"/>
        </w:rPr>
        <w:t> </w:t>
      </w:r>
      <w:r>
        <w:rPr/>
        <w:t>que</w:t>
      </w:r>
      <w:r>
        <w:rPr>
          <w:spacing w:val="-2"/>
        </w:rPr>
        <w:t> </w:t>
      </w:r>
      <w:r>
        <w:rPr/>
        <w:t>la</w:t>
      </w:r>
      <w:r>
        <w:rPr>
          <w:spacing w:val="-2"/>
        </w:rPr>
        <w:t> </w:t>
      </w:r>
      <w:r>
        <w:rPr/>
        <w:t>eficacia</w:t>
      </w:r>
      <w:r>
        <w:rPr>
          <w:spacing w:val="-2"/>
        </w:rPr>
        <w:t> </w:t>
      </w:r>
      <w:r>
        <w:rPr/>
        <w:t>de</w:t>
      </w:r>
      <w:r>
        <w:rPr>
          <w:spacing w:val="-2"/>
        </w:rPr>
        <w:t> </w:t>
      </w:r>
      <w:r>
        <w:rPr/>
        <w:t>los</w:t>
      </w:r>
      <w:r>
        <w:rPr>
          <w:spacing w:val="-4"/>
        </w:rPr>
        <w:t> </w:t>
      </w:r>
      <w:r>
        <w:rPr/>
        <w:t>antibióticos</w:t>
      </w:r>
      <w:r>
        <w:rPr>
          <w:spacing w:val="-4"/>
        </w:rPr>
        <w:t> </w:t>
      </w:r>
      <w:r>
        <w:rPr/>
        <w:t>beta-lactámicos contra MRSA se ve mermada debido a la expresión del gen mecA. El susodicho gen,</w:t>
      </w:r>
      <w:r>
        <w:rPr>
          <w:spacing w:val="-8"/>
        </w:rPr>
        <w:t> </w:t>
      </w:r>
      <w:r>
        <w:rPr/>
        <w:t>en</w:t>
      </w:r>
      <w:r>
        <w:rPr>
          <w:spacing w:val="-8"/>
        </w:rPr>
        <w:t> </w:t>
      </w:r>
      <w:r>
        <w:rPr/>
        <w:t>su</w:t>
      </w:r>
      <w:r>
        <w:rPr>
          <w:spacing w:val="-8"/>
        </w:rPr>
        <w:t> </w:t>
      </w:r>
      <w:r>
        <w:rPr/>
        <w:t>codificación</w:t>
      </w:r>
      <w:r>
        <w:rPr>
          <w:spacing w:val="-8"/>
        </w:rPr>
        <w:t> </w:t>
      </w:r>
      <w:r>
        <w:rPr/>
        <w:t>para</w:t>
      </w:r>
      <w:r>
        <w:rPr>
          <w:spacing w:val="-6"/>
        </w:rPr>
        <w:t> </w:t>
      </w:r>
      <w:r>
        <w:rPr/>
        <w:t>la</w:t>
      </w:r>
      <w:r>
        <w:rPr>
          <w:spacing w:val="-6"/>
        </w:rPr>
        <w:t> </w:t>
      </w:r>
      <w:r>
        <w:rPr/>
        <w:t>proteína</w:t>
      </w:r>
      <w:r>
        <w:rPr>
          <w:spacing w:val="-6"/>
        </w:rPr>
        <w:t> </w:t>
      </w:r>
      <w:r>
        <w:rPr/>
        <w:t>PBP2a,</w:t>
      </w:r>
      <w:r>
        <w:rPr>
          <w:spacing w:val="-8"/>
        </w:rPr>
        <w:t> </w:t>
      </w:r>
      <w:r>
        <w:rPr/>
        <w:t>deforma</w:t>
      </w:r>
      <w:r>
        <w:rPr>
          <w:spacing w:val="-6"/>
        </w:rPr>
        <w:t> </w:t>
      </w:r>
      <w:r>
        <w:rPr/>
        <w:t>la</w:t>
      </w:r>
      <w:r>
        <w:rPr>
          <w:spacing w:val="-6"/>
        </w:rPr>
        <w:t> </w:t>
      </w:r>
      <w:r>
        <w:rPr/>
        <w:t>afinidad</w:t>
      </w:r>
      <w:r>
        <w:rPr>
          <w:spacing w:val="-8"/>
        </w:rPr>
        <w:t> </w:t>
      </w:r>
      <w:r>
        <w:rPr/>
        <w:t>del</w:t>
      </w:r>
      <w:r>
        <w:rPr>
          <w:spacing w:val="-7"/>
        </w:rPr>
        <w:t> </w:t>
      </w:r>
      <w:r>
        <w:rPr/>
        <w:t>antibiótico, ciñendo así su potencial bactericida.</w:t>
      </w:r>
    </w:p>
    <w:p>
      <w:pPr>
        <w:pStyle w:val="BodyText"/>
        <w:spacing w:line="360" w:lineRule="auto" w:before="163"/>
        <w:ind w:left="994" w:right="698"/>
        <w:jc w:val="both"/>
      </w:pPr>
      <w:r>
        <w:rPr/>
        <w:t>En</w:t>
      </w:r>
      <w:r>
        <w:rPr>
          <w:spacing w:val="-3"/>
        </w:rPr>
        <w:t> </w:t>
      </w:r>
      <w:r>
        <w:rPr/>
        <w:t>lo</w:t>
      </w:r>
      <w:r>
        <w:rPr>
          <w:spacing w:val="-8"/>
        </w:rPr>
        <w:t> </w:t>
      </w:r>
      <w:r>
        <w:rPr/>
        <w:t>que</w:t>
      </w:r>
      <w:r>
        <w:rPr>
          <w:spacing w:val="-6"/>
        </w:rPr>
        <w:t> </w:t>
      </w:r>
      <w:r>
        <w:rPr/>
        <w:t>concierne</w:t>
      </w:r>
      <w:r>
        <w:rPr>
          <w:spacing w:val="-6"/>
        </w:rPr>
        <w:t> </w:t>
      </w:r>
      <w:r>
        <w:rPr/>
        <w:t>a</w:t>
      </w:r>
      <w:r>
        <w:rPr>
          <w:spacing w:val="-6"/>
        </w:rPr>
        <w:t> </w:t>
      </w:r>
      <w:r>
        <w:rPr/>
        <w:t>la</w:t>
      </w:r>
      <w:r>
        <w:rPr>
          <w:spacing w:val="-6"/>
        </w:rPr>
        <w:t> </w:t>
      </w:r>
      <w:r>
        <w:rPr/>
        <w:t>cefalexina,</w:t>
      </w:r>
      <w:r>
        <w:rPr>
          <w:spacing w:val="-3"/>
        </w:rPr>
        <w:t> </w:t>
      </w:r>
      <w:r>
        <w:rPr/>
        <w:t>sus</w:t>
      </w:r>
      <w:r>
        <w:rPr>
          <w:spacing w:val="-5"/>
        </w:rPr>
        <w:t> </w:t>
      </w:r>
      <w:r>
        <w:rPr/>
        <w:t>promedios</w:t>
      </w:r>
      <w:r>
        <w:rPr>
          <w:spacing w:val="-5"/>
        </w:rPr>
        <w:t> </w:t>
      </w:r>
      <w:r>
        <w:rPr/>
        <w:t>inhibitorios</w:t>
      </w:r>
      <w:r>
        <w:rPr>
          <w:spacing w:val="-5"/>
        </w:rPr>
        <w:t> </w:t>
      </w:r>
      <w:r>
        <w:rPr/>
        <w:t>inferiores,</w:t>
      </w:r>
      <w:r>
        <w:rPr>
          <w:spacing w:val="-8"/>
        </w:rPr>
        <w:t> </w:t>
      </w:r>
      <w:r>
        <w:rPr/>
        <w:t>la</w:t>
      </w:r>
      <w:r>
        <w:rPr>
          <w:spacing w:val="-6"/>
        </w:rPr>
        <w:t> </w:t>
      </w:r>
      <w:r>
        <w:rPr/>
        <w:t>cuales marcan una resistencia intrínseca de MRSA a los beta-lactámicos, se ven amplificados por hallazgos de Silva et al. (2023). Estos autores corroboran tal conducta</w:t>
      </w:r>
      <w:r>
        <w:rPr>
          <w:spacing w:val="-15"/>
        </w:rPr>
        <w:t> </w:t>
      </w:r>
      <w:r>
        <w:rPr/>
        <w:t>al</w:t>
      </w:r>
      <w:r>
        <w:rPr>
          <w:spacing w:val="-14"/>
        </w:rPr>
        <w:t> </w:t>
      </w:r>
      <w:r>
        <w:rPr/>
        <w:t>postular</w:t>
      </w:r>
      <w:r>
        <w:rPr>
          <w:spacing w:val="-11"/>
        </w:rPr>
        <w:t> </w:t>
      </w:r>
      <w:r>
        <w:rPr/>
        <w:t>una</w:t>
      </w:r>
      <w:r>
        <w:rPr>
          <w:spacing w:val="-15"/>
        </w:rPr>
        <w:t> </w:t>
      </w:r>
      <w:r>
        <w:rPr/>
        <w:t>escasa</w:t>
      </w:r>
      <w:r>
        <w:rPr>
          <w:spacing w:val="-11"/>
        </w:rPr>
        <w:t> </w:t>
      </w:r>
      <w:r>
        <w:rPr/>
        <w:t>efectividad</w:t>
      </w:r>
      <w:r>
        <w:rPr>
          <w:spacing w:val="-15"/>
        </w:rPr>
        <w:t> </w:t>
      </w:r>
      <w:r>
        <w:rPr/>
        <w:t>in</w:t>
      </w:r>
      <w:r>
        <w:rPr>
          <w:spacing w:val="-12"/>
        </w:rPr>
        <w:t> </w:t>
      </w:r>
      <w:r>
        <w:rPr/>
        <w:t>vitro</w:t>
      </w:r>
      <w:r>
        <w:rPr>
          <w:spacing w:val="-12"/>
        </w:rPr>
        <w:t> </w:t>
      </w:r>
      <w:r>
        <w:rPr/>
        <w:t>de</w:t>
      </w:r>
      <w:r>
        <w:rPr>
          <w:spacing w:val="-11"/>
        </w:rPr>
        <w:t> </w:t>
      </w:r>
      <w:r>
        <w:rPr/>
        <w:t>estos</w:t>
      </w:r>
      <w:r>
        <w:rPr>
          <w:spacing w:val="-15"/>
        </w:rPr>
        <w:t> </w:t>
      </w:r>
      <w:r>
        <w:rPr/>
        <w:t>agentes</w:t>
      </w:r>
      <w:r>
        <w:rPr>
          <w:spacing w:val="-14"/>
        </w:rPr>
        <w:t> </w:t>
      </w:r>
      <w:r>
        <w:rPr/>
        <w:t>farmacológicos contra cepas recalcitrantes, debido a mutaciones en el punto de acción bacteriano.</w:t>
      </w:r>
    </w:p>
    <w:p>
      <w:pPr>
        <w:pStyle w:val="BodyText"/>
        <w:spacing w:line="360" w:lineRule="auto" w:before="163"/>
        <w:ind w:left="994" w:right="703"/>
        <w:jc w:val="both"/>
      </w:pPr>
      <w:r>
        <w:rPr/>
        <w:t>Acerca del cannabidiol (CBD), las constataciones mostraron discrepancias, estrechamente</w:t>
      </w:r>
      <w:r>
        <w:rPr>
          <w:spacing w:val="-2"/>
        </w:rPr>
        <w:t> </w:t>
      </w:r>
      <w:r>
        <w:rPr/>
        <w:t>ligadas</w:t>
      </w:r>
      <w:r>
        <w:rPr>
          <w:spacing w:val="-1"/>
        </w:rPr>
        <w:t> </w:t>
      </w:r>
      <w:r>
        <w:rPr/>
        <w:t>al</w:t>
      </w:r>
      <w:r>
        <w:rPr>
          <w:spacing w:val="-2"/>
        </w:rPr>
        <w:t> </w:t>
      </w:r>
      <w:r>
        <w:rPr/>
        <w:t>solvente de formulación.</w:t>
      </w:r>
      <w:r>
        <w:rPr>
          <w:spacing w:val="-4"/>
        </w:rPr>
        <w:t> </w:t>
      </w:r>
      <w:r>
        <w:rPr/>
        <w:t>El</w:t>
      </w:r>
      <w:r>
        <w:rPr>
          <w:spacing w:val="-2"/>
        </w:rPr>
        <w:t> </w:t>
      </w:r>
      <w:r>
        <w:rPr/>
        <w:t>CBD</w:t>
      </w:r>
      <w:r>
        <w:rPr>
          <w:spacing w:val="-1"/>
        </w:rPr>
        <w:t> </w:t>
      </w:r>
      <w:r>
        <w:rPr/>
        <w:t>elaborado</w:t>
      </w:r>
      <w:r>
        <w:rPr>
          <w:spacing w:val="-4"/>
        </w:rPr>
        <w:t> </w:t>
      </w:r>
      <w:r>
        <w:rPr/>
        <w:t>con</w:t>
      </w:r>
      <w:r>
        <w:rPr>
          <w:spacing w:val="-3"/>
        </w:rPr>
        <w:t> </w:t>
      </w:r>
      <w:r>
        <w:rPr/>
        <w:t>etanol</w:t>
      </w:r>
      <w:r>
        <w:rPr>
          <w:spacing w:val="-2"/>
        </w:rPr>
        <w:t> </w:t>
      </w:r>
      <w:r>
        <w:rPr/>
        <w:t>al setenta</w:t>
      </w:r>
      <w:r>
        <w:rPr>
          <w:spacing w:val="-2"/>
        </w:rPr>
        <w:t> </w:t>
      </w:r>
      <w:r>
        <w:rPr/>
        <w:t>por</w:t>
      </w:r>
      <w:r>
        <w:rPr>
          <w:spacing w:val="-3"/>
        </w:rPr>
        <w:t> </w:t>
      </w:r>
      <w:r>
        <w:rPr/>
        <w:t>ciento consiguió un promedio</w:t>
      </w:r>
      <w:r>
        <w:rPr>
          <w:spacing w:val="-3"/>
        </w:rPr>
        <w:t> </w:t>
      </w:r>
      <w:r>
        <w:rPr/>
        <w:t>de veintidós</w:t>
      </w:r>
      <w:r>
        <w:rPr>
          <w:spacing w:val="-4"/>
        </w:rPr>
        <w:t> </w:t>
      </w:r>
      <w:r>
        <w:rPr/>
        <w:t>coma</w:t>
      </w:r>
      <w:r>
        <w:rPr>
          <w:spacing w:val="-2"/>
        </w:rPr>
        <w:t> </w:t>
      </w:r>
      <w:r>
        <w:rPr/>
        <w:t>cero</w:t>
      </w:r>
      <w:r>
        <w:rPr>
          <w:spacing w:val="-3"/>
        </w:rPr>
        <w:t> </w:t>
      </w:r>
      <w:r>
        <w:rPr/>
        <w:t>milímetros,</w:t>
      </w:r>
      <w:r>
        <w:rPr>
          <w:spacing w:val="-3"/>
        </w:rPr>
        <w:t> </w:t>
      </w:r>
      <w:r>
        <w:rPr/>
        <w:t>cifra superior a la observada con CBD en DMSO (diez coma tres milímetros), lo que evoca una actividad antibacteriana amplificada, beneficiada por una diseminación más favorable en el medio de cultivo. Este descubrimiento resuena con las investigaciones</w:t>
      </w:r>
      <w:r>
        <w:rPr>
          <w:spacing w:val="45"/>
        </w:rPr>
        <w:t> </w:t>
      </w:r>
      <w:r>
        <w:rPr/>
        <w:t>de</w:t>
      </w:r>
      <w:r>
        <w:rPr>
          <w:spacing w:val="49"/>
        </w:rPr>
        <w:t> </w:t>
      </w:r>
      <w:r>
        <w:rPr/>
        <w:t>Ozturk</w:t>
      </w:r>
      <w:r>
        <w:rPr>
          <w:spacing w:val="47"/>
        </w:rPr>
        <w:t> </w:t>
      </w:r>
      <w:r>
        <w:rPr/>
        <w:t>y</w:t>
      </w:r>
      <w:r>
        <w:rPr>
          <w:spacing w:val="43"/>
        </w:rPr>
        <w:t> </w:t>
      </w:r>
      <w:r>
        <w:rPr/>
        <w:t>colaboradores</w:t>
      </w:r>
      <w:r>
        <w:rPr>
          <w:spacing w:val="45"/>
        </w:rPr>
        <w:t> </w:t>
      </w:r>
      <w:r>
        <w:rPr/>
        <w:t>(2022),</w:t>
      </w:r>
      <w:r>
        <w:rPr>
          <w:spacing w:val="47"/>
        </w:rPr>
        <w:t> </w:t>
      </w:r>
      <w:r>
        <w:rPr/>
        <w:t>quienes</w:t>
      </w:r>
      <w:r>
        <w:rPr>
          <w:spacing w:val="46"/>
        </w:rPr>
        <w:t> </w:t>
      </w:r>
      <w:r>
        <w:rPr/>
        <w:t>documentan</w:t>
      </w:r>
      <w:r>
        <w:rPr>
          <w:spacing w:val="47"/>
        </w:rPr>
        <w:t> </w:t>
      </w:r>
      <w:r>
        <w:rPr/>
        <w:t>que</w:t>
      </w:r>
      <w:r>
        <w:rPr>
          <w:spacing w:val="45"/>
        </w:rPr>
        <w:t> </w:t>
      </w:r>
      <w:r>
        <w:rPr>
          <w:spacing w:val="-5"/>
        </w:rPr>
        <w:t>la</w:t>
      </w:r>
    </w:p>
    <w:p>
      <w:pPr>
        <w:pStyle w:val="BodyText"/>
        <w:spacing w:after="0" w:line="360" w:lineRule="auto"/>
        <w:jc w:val="both"/>
        <w:sectPr>
          <w:pgSz w:w="11900" w:h="16840"/>
          <w:pgMar w:top="1580" w:bottom="280" w:left="1275" w:right="992"/>
        </w:sectPr>
      </w:pPr>
    </w:p>
    <w:p>
      <w:pPr>
        <w:pStyle w:val="BodyText"/>
        <w:spacing w:line="357" w:lineRule="auto" w:before="60"/>
        <w:ind w:left="994" w:right="711"/>
        <w:jc w:val="both"/>
      </w:pPr>
      <w:r>
        <w:rPr/>
        <w:t>biodisponibilidad</w:t>
      </w:r>
      <w:r>
        <w:rPr>
          <w:spacing w:val="-10"/>
        </w:rPr>
        <w:t> </w:t>
      </w:r>
      <w:r>
        <w:rPr/>
        <w:t>del</w:t>
      </w:r>
      <w:r>
        <w:rPr>
          <w:spacing w:val="-9"/>
        </w:rPr>
        <w:t> </w:t>
      </w:r>
      <w:r>
        <w:rPr/>
        <w:t>CBD</w:t>
      </w:r>
      <w:r>
        <w:rPr>
          <w:spacing w:val="-11"/>
        </w:rPr>
        <w:t> </w:t>
      </w:r>
      <w:r>
        <w:rPr/>
        <w:t>está</w:t>
      </w:r>
      <w:r>
        <w:rPr>
          <w:spacing w:val="-12"/>
        </w:rPr>
        <w:t> </w:t>
      </w:r>
      <w:r>
        <w:rPr/>
        <w:t>intrínsecamente</w:t>
      </w:r>
      <w:r>
        <w:rPr>
          <w:spacing w:val="-12"/>
        </w:rPr>
        <w:t> </w:t>
      </w:r>
      <w:r>
        <w:rPr/>
        <w:t>ligada</w:t>
      </w:r>
      <w:r>
        <w:rPr>
          <w:spacing w:val="-8"/>
        </w:rPr>
        <w:t> </w:t>
      </w:r>
      <w:r>
        <w:rPr/>
        <w:t>al</w:t>
      </w:r>
      <w:r>
        <w:rPr>
          <w:spacing w:val="-9"/>
        </w:rPr>
        <w:t> </w:t>
      </w:r>
      <w:r>
        <w:rPr/>
        <w:t>disolvente,</w:t>
      </w:r>
      <w:r>
        <w:rPr>
          <w:spacing w:val="-10"/>
        </w:rPr>
        <w:t> </w:t>
      </w:r>
      <w:r>
        <w:rPr/>
        <w:t>repercutiendo así en su propagación y actividad microbiana in vitro.</w:t>
      </w:r>
    </w:p>
    <w:p>
      <w:pPr>
        <w:pStyle w:val="BodyText"/>
        <w:spacing w:line="360" w:lineRule="auto" w:before="166"/>
        <w:ind w:left="994" w:right="704"/>
        <w:jc w:val="both"/>
      </w:pPr>
      <w:r>
        <w:rPr/>
        <w:t>Por</w:t>
      </w:r>
      <w:r>
        <w:rPr>
          <w:spacing w:val="-5"/>
        </w:rPr>
        <w:t> </w:t>
      </w:r>
      <w:r>
        <w:rPr/>
        <w:t>otro</w:t>
      </w:r>
      <w:r>
        <w:rPr>
          <w:spacing w:val="-5"/>
        </w:rPr>
        <w:t> </w:t>
      </w:r>
      <w:r>
        <w:rPr/>
        <w:t>lado,</w:t>
      </w:r>
      <w:r>
        <w:rPr>
          <w:spacing w:val="-6"/>
        </w:rPr>
        <w:t> </w:t>
      </w:r>
      <w:r>
        <w:rPr/>
        <w:t>Fuller</w:t>
      </w:r>
      <w:r>
        <w:rPr>
          <w:spacing w:val="-5"/>
        </w:rPr>
        <w:t> </w:t>
      </w:r>
      <w:r>
        <w:rPr/>
        <w:t>y</w:t>
      </w:r>
      <w:r>
        <w:rPr>
          <w:spacing w:val="-6"/>
        </w:rPr>
        <w:t> </w:t>
      </w:r>
      <w:r>
        <w:rPr/>
        <w:t>colaboradores</w:t>
      </w:r>
      <w:r>
        <w:rPr>
          <w:spacing w:val="-7"/>
        </w:rPr>
        <w:t> </w:t>
      </w:r>
      <w:r>
        <w:rPr/>
        <w:t>(2022)</w:t>
      </w:r>
      <w:r>
        <w:rPr>
          <w:spacing w:val="-5"/>
        </w:rPr>
        <w:t> </w:t>
      </w:r>
      <w:r>
        <w:rPr/>
        <w:t>junto</w:t>
      </w:r>
      <w:r>
        <w:rPr>
          <w:spacing w:val="-6"/>
        </w:rPr>
        <w:t> </w:t>
      </w:r>
      <w:r>
        <w:rPr/>
        <w:t>a</w:t>
      </w:r>
      <w:r>
        <w:rPr>
          <w:spacing w:val="-4"/>
        </w:rPr>
        <w:t> </w:t>
      </w:r>
      <w:r>
        <w:rPr/>
        <w:t>Kosgodage</w:t>
      </w:r>
      <w:r>
        <w:rPr>
          <w:spacing w:val="-4"/>
        </w:rPr>
        <w:t> </w:t>
      </w:r>
      <w:r>
        <w:rPr/>
        <w:t>y</w:t>
      </w:r>
      <w:r>
        <w:rPr>
          <w:spacing w:val="-6"/>
        </w:rPr>
        <w:t> </w:t>
      </w:r>
      <w:r>
        <w:rPr/>
        <w:t>su</w:t>
      </w:r>
      <w:r>
        <w:rPr>
          <w:spacing w:val="-2"/>
        </w:rPr>
        <w:t> </w:t>
      </w:r>
      <w:r>
        <w:rPr/>
        <w:t>equipo</w:t>
      </w:r>
      <w:r>
        <w:rPr>
          <w:spacing w:val="-6"/>
        </w:rPr>
        <w:t> </w:t>
      </w:r>
      <w:r>
        <w:rPr/>
        <w:t>(2022) postulan</w:t>
      </w:r>
      <w:r>
        <w:rPr>
          <w:spacing w:val="-8"/>
        </w:rPr>
        <w:t> </w:t>
      </w:r>
      <w:r>
        <w:rPr/>
        <w:t>que</w:t>
      </w:r>
      <w:r>
        <w:rPr>
          <w:spacing w:val="-10"/>
        </w:rPr>
        <w:t> </w:t>
      </w:r>
      <w:r>
        <w:rPr/>
        <w:t>la</w:t>
      </w:r>
      <w:r>
        <w:rPr>
          <w:spacing w:val="-6"/>
        </w:rPr>
        <w:t> </w:t>
      </w:r>
      <w:r>
        <w:rPr/>
        <w:t>acción</w:t>
      </w:r>
      <w:r>
        <w:rPr>
          <w:spacing w:val="-12"/>
        </w:rPr>
        <w:t> </w:t>
      </w:r>
      <w:r>
        <w:rPr/>
        <w:t>del</w:t>
      </w:r>
      <w:r>
        <w:rPr>
          <w:spacing w:val="-7"/>
        </w:rPr>
        <w:t> </w:t>
      </w:r>
      <w:r>
        <w:rPr/>
        <w:t>CBD</w:t>
      </w:r>
      <w:r>
        <w:rPr>
          <w:spacing w:val="-9"/>
        </w:rPr>
        <w:t> </w:t>
      </w:r>
      <w:r>
        <w:rPr/>
        <w:t>se</w:t>
      </w:r>
      <w:r>
        <w:rPr>
          <w:spacing w:val="-6"/>
        </w:rPr>
        <w:t> </w:t>
      </w:r>
      <w:r>
        <w:rPr/>
        <w:t>focaliza</w:t>
      </w:r>
      <w:r>
        <w:rPr>
          <w:spacing w:val="-10"/>
        </w:rPr>
        <w:t> </w:t>
      </w:r>
      <w:r>
        <w:rPr/>
        <w:t>predominantemente</w:t>
      </w:r>
      <w:r>
        <w:rPr>
          <w:spacing w:val="-10"/>
        </w:rPr>
        <w:t> </w:t>
      </w:r>
      <w:r>
        <w:rPr/>
        <w:t>en</w:t>
      </w:r>
      <w:r>
        <w:rPr>
          <w:spacing w:val="-8"/>
        </w:rPr>
        <w:t> </w:t>
      </w:r>
      <w:r>
        <w:rPr/>
        <w:t>la</w:t>
      </w:r>
      <w:r>
        <w:rPr>
          <w:spacing w:val="-10"/>
        </w:rPr>
        <w:t> </w:t>
      </w:r>
      <w:r>
        <w:rPr/>
        <w:t>estabilidad</w:t>
      </w:r>
      <w:r>
        <w:rPr>
          <w:spacing w:val="-12"/>
        </w:rPr>
        <w:t> </w:t>
      </w:r>
      <w:r>
        <w:rPr/>
        <w:t>de la membrana celular bacteriana, generando desestructuración y facilitando la efectividad de otros agentes antimicrobianos. Estas revelaciones permiten aclarar su rendimiento formidable ubicándolo entre un estrato intermedio a elevado comparado con los antibióticos convencionales.</w:t>
      </w:r>
    </w:p>
    <w:p>
      <w:pPr>
        <w:pStyle w:val="BodyText"/>
        <w:spacing w:line="360" w:lineRule="auto" w:before="164"/>
        <w:ind w:left="994" w:right="704"/>
        <w:jc w:val="both"/>
      </w:pPr>
      <w:r>
        <w:rPr/>
        <w:t>Considerando el cúmulo de datos de la gráfica se verifica que la enrofloxacina exhibe una actividad antibacteriana significativamente mayor frente a MRSA precediendo al CBD en etanol. Tal hallazgo infiere que el cannabidiol ostenta un potencial considerable como coadyuvante o alternativa. Sin embargo, la baja actividad del CBD en DMSO y de la cefalexina confirma que el solvente y el mecanismo del antibiótico influyen en la respuesta bacteriana.</w:t>
      </w:r>
    </w:p>
    <w:p>
      <w:pPr>
        <w:pStyle w:val="BodyText"/>
        <w:spacing w:line="360" w:lineRule="auto" w:before="158"/>
        <w:ind w:left="994" w:right="711"/>
        <w:jc w:val="both"/>
      </w:pPr>
      <w:r>
        <w:rPr/>
        <w:t>Estos</w:t>
      </w:r>
      <w:r>
        <w:rPr>
          <w:spacing w:val="-12"/>
        </w:rPr>
        <w:t> </w:t>
      </w:r>
      <w:r>
        <w:rPr/>
        <w:t>hallazgos</w:t>
      </w:r>
      <w:r>
        <w:rPr>
          <w:spacing w:val="-12"/>
        </w:rPr>
        <w:t> </w:t>
      </w:r>
      <w:r>
        <w:rPr/>
        <w:t>son</w:t>
      </w:r>
      <w:r>
        <w:rPr>
          <w:spacing w:val="-10"/>
        </w:rPr>
        <w:t> </w:t>
      </w:r>
      <w:r>
        <w:rPr/>
        <w:t>coherentes</w:t>
      </w:r>
      <w:r>
        <w:rPr>
          <w:spacing w:val="-12"/>
        </w:rPr>
        <w:t> </w:t>
      </w:r>
      <w:r>
        <w:rPr/>
        <w:t>con</w:t>
      </w:r>
      <w:r>
        <w:rPr>
          <w:spacing w:val="-10"/>
        </w:rPr>
        <w:t> </w:t>
      </w:r>
      <w:r>
        <w:rPr/>
        <w:t>Martinenghi</w:t>
      </w:r>
      <w:r>
        <w:rPr>
          <w:spacing w:val="-9"/>
        </w:rPr>
        <w:t> </w:t>
      </w:r>
      <w:r>
        <w:rPr/>
        <w:t>et</w:t>
      </w:r>
      <w:r>
        <w:rPr>
          <w:spacing w:val="-9"/>
        </w:rPr>
        <w:t> </w:t>
      </w:r>
      <w:r>
        <w:rPr/>
        <w:t>al.</w:t>
      </w:r>
      <w:r>
        <w:rPr>
          <w:spacing w:val="-10"/>
        </w:rPr>
        <w:t> </w:t>
      </w:r>
      <w:r>
        <w:rPr/>
        <w:t>(2022)</w:t>
      </w:r>
      <w:r>
        <w:rPr>
          <w:spacing w:val="-10"/>
        </w:rPr>
        <w:t> </w:t>
      </w:r>
      <w:r>
        <w:rPr/>
        <w:t>y</w:t>
      </w:r>
      <w:r>
        <w:rPr>
          <w:spacing w:val="-10"/>
        </w:rPr>
        <w:t> </w:t>
      </w:r>
      <w:r>
        <w:rPr/>
        <w:t>Stokes</w:t>
      </w:r>
      <w:r>
        <w:rPr>
          <w:spacing w:val="-12"/>
        </w:rPr>
        <w:t> </w:t>
      </w:r>
      <w:r>
        <w:rPr/>
        <w:t>et</w:t>
      </w:r>
      <w:r>
        <w:rPr>
          <w:spacing w:val="-9"/>
        </w:rPr>
        <w:t> </w:t>
      </w:r>
      <w:r>
        <w:rPr/>
        <w:t>al.</w:t>
      </w:r>
      <w:r>
        <w:rPr>
          <w:spacing w:val="-10"/>
        </w:rPr>
        <w:t> </w:t>
      </w:r>
      <w:r>
        <w:rPr/>
        <w:t>(2023), quienes señalan que compuestos naturales como el CBD pueden mostrar eficacia variable. Aun así, también tienen potencial como coadyuvantes en terapias antibacterianas frente a microorganismos resistentes.</w:t>
      </w:r>
    </w:p>
    <w:p>
      <w:pPr>
        <w:pStyle w:val="Heading3"/>
        <w:spacing w:before="160"/>
      </w:pPr>
      <w:r>
        <w:rPr>
          <w:spacing w:val="-4"/>
        </w:rPr>
        <w:t>Tabla</w:t>
      </w:r>
      <w:r>
        <w:rPr>
          <w:spacing w:val="-7"/>
        </w:rPr>
        <w:t> </w:t>
      </w:r>
      <w:r>
        <w:rPr>
          <w:spacing w:val="-12"/>
        </w:rPr>
        <w:t>6</w:t>
      </w:r>
    </w:p>
    <w:p>
      <w:pPr>
        <w:pStyle w:val="BodyText"/>
        <w:spacing w:before="4"/>
        <w:rPr>
          <w:b/>
        </w:rPr>
      </w:pPr>
    </w:p>
    <w:p>
      <w:pPr>
        <w:spacing w:before="0"/>
        <w:ind w:left="994" w:right="0" w:firstLine="0"/>
        <w:jc w:val="both"/>
        <w:rPr>
          <w:i/>
          <w:sz w:val="24"/>
        </w:rPr>
      </w:pPr>
      <w:r>
        <w:rPr>
          <w:i/>
          <w:sz w:val="24"/>
        </w:rPr>
        <w:t>Análisis</w:t>
      </w:r>
      <w:r>
        <w:rPr>
          <w:i/>
          <w:spacing w:val="-6"/>
          <w:sz w:val="24"/>
        </w:rPr>
        <w:t> </w:t>
      </w:r>
      <w:r>
        <w:rPr>
          <w:i/>
          <w:sz w:val="24"/>
        </w:rPr>
        <w:t>de varianza de una</w:t>
      </w:r>
      <w:r>
        <w:rPr>
          <w:i/>
          <w:spacing w:val="-6"/>
          <w:sz w:val="24"/>
        </w:rPr>
        <w:t> </w:t>
      </w:r>
      <w:r>
        <w:rPr>
          <w:i/>
          <w:spacing w:val="-5"/>
          <w:sz w:val="24"/>
        </w:rPr>
        <w:t>vía</w:t>
      </w:r>
    </w:p>
    <w:p>
      <w:pPr>
        <w:pStyle w:val="BodyText"/>
        <w:spacing w:before="50"/>
        <w:rPr>
          <w:i/>
          <w:sz w:val="20"/>
        </w:rPr>
      </w:pPr>
    </w:p>
    <w:p>
      <w:pPr>
        <w:pStyle w:val="BodyText"/>
        <w:spacing w:line="20" w:lineRule="exact"/>
        <w:ind w:left="994"/>
        <w:rPr>
          <w:sz w:val="2"/>
        </w:rPr>
      </w:pPr>
      <w:r>
        <w:rPr>
          <w:sz w:val="2"/>
        </w:rPr>
        <mc:AlternateContent>
          <mc:Choice Requires="wps">
            <w:drawing>
              <wp:inline distT="0" distB="0" distL="0" distR="0">
                <wp:extent cx="5038725" cy="5080"/>
                <wp:effectExtent l="0" t="0" r="0" b="0"/>
                <wp:docPr id="33" name="Group 33"/>
                <wp:cNvGraphicFramePr>
                  <a:graphicFrameLocks/>
                </wp:cNvGraphicFramePr>
                <a:graphic>
                  <a:graphicData uri="http://schemas.microsoft.com/office/word/2010/wordprocessingGroup">
                    <wpg:wgp>
                      <wpg:cNvPr id="33" name="Group 33"/>
                      <wpg:cNvGrpSpPr/>
                      <wpg:grpSpPr>
                        <a:xfrm>
                          <a:off x="0" y="0"/>
                          <a:ext cx="5038725" cy="5080"/>
                          <a:chExt cx="5038725" cy="5080"/>
                        </a:xfrm>
                      </wpg:grpSpPr>
                      <wps:wsp>
                        <wps:cNvPr id="34" name="Graphic 34"/>
                        <wps:cNvSpPr/>
                        <wps:spPr>
                          <a:xfrm>
                            <a:off x="0" y="0"/>
                            <a:ext cx="5038725" cy="5080"/>
                          </a:xfrm>
                          <a:custGeom>
                            <a:avLst/>
                            <a:gdLst/>
                            <a:ahLst/>
                            <a:cxnLst/>
                            <a:rect l="l" t="t" r="r" b="b"/>
                            <a:pathLst>
                              <a:path w="5038725" h="5080">
                                <a:moveTo>
                                  <a:pt x="1473454" y="0"/>
                                </a:moveTo>
                                <a:lnTo>
                                  <a:pt x="0" y="0"/>
                                </a:lnTo>
                                <a:lnTo>
                                  <a:pt x="0" y="5080"/>
                                </a:lnTo>
                                <a:lnTo>
                                  <a:pt x="1473454" y="5080"/>
                                </a:lnTo>
                                <a:lnTo>
                                  <a:pt x="1473454" y="0"/>
                                </a:lnTo>
                                <a:close/>
                              </a:path>
                              <a:path w="5038725" h="5080">
                                <a:moveTo>
                                  <a:pt x="1478635" y="25"/>
                                </a:moveTo>
                                <a:lnTo>
                                  <a:pt x="1473581" y="25"/>
                                </a:lnTo>
                                <a:lnTo>
                                  <a:pt x="1473581" y="5080"/>
                                </a:lnTo>
                                <a:lnTo>
                                  <a:pt x="1478635" y="5080"/>
                                </a:lnTo>
                                <a:lnTo>
                                  <a:pt x="1478635" y="25"/>
                                </a:lnTo>
                                <a:close/>
                              </a:path>
                              <a:path w="5038725" h="5080">
                                <a:moveTo>
                                  <a:pt x="2774569" y="0"/>
                                </a:moveTo>
                                <a:lnTo>
                                  <a:pt x="1478661" y="0"/>
                                </a:lnTo>
                                <a:lnTo>
                                  <a:pt x="1478661" y="5080"/>
                                </a:lnTo>
                                <a:lnTo>
                                  <a:pt x="2774569" y="5080"/>
                                </a:lnTo>
                                <a:lnTo>
                                  <a:pt x="2774569" y="0"/>
                                </a:lnTo>
                                <a:close/>
                              </a:path>
                              <a:path w="5038725" h="5080">
                                <a:moveTo>
                                  <a:pt x="2779750" y="25"/>
                                </a:moveTo>
                                <a:lnTo>
                                  <a:pt x="2774696" y="25"/>
                                </a:lnTo>
                                <a:lnTo>
                                  <a:pt x="2774696" y="5080"/>
                                </a:lnTo>
                                <a:lnTo>
                                  <a:pt x="2779750" y="5080"/>
                                </a:lnTo>
                                <a:lnTo>
                                  <a:pt x="2779750" y="25"/>
                                </a:lnTo>
                                <a:close/>
                              </a:path>
                              <a:path w="5038725" h="5080">
                                <a:moveTo>
                                  <a:pt x="4337355" y="25"/>
                                </a:moveTo>
                                <a:lnTo>
                                  <a:pt x="3539490" y="25"/>
                                </a:lnTo>
                                <a:lnTo>
                                  <a:pt x="2779776" y="0"/>
                                </a:lnTo>
                                <a:lnTo>
                                  <a:pt x="2779776" y="5080"/>
                                </a:lnTo>
                                <a:lnTo>
                                  <a:pt x="3539490" y="5080"/>
                                </a:lnTo>
                                <a:lnTo>
                                  <a:pt x="4337355" y="5080"/>
                                </a:lnTo>
                                <a:lnTo>
                                  <a:pt x="4337355" y="25"/>
                                </a:lnTo>
                                <a:close/>
                              </a:path>
                              <a:path w="5038725" h="5080">
                                <a:moveTo>
                                  <a:pt x="4342485" y="25"/>
                                </a:moveTo>
                                <a:lnTo>
                                  <a:pt x="4337431" y="25"/>
                                </a:lnTo>
                                <a:lnTo>
                                  <a:pt x="4337431" y="5080"/>
                                </a:lnTo>
                                <a:lnTo>
                                  <a:pt x="4342485" y="5080"/>
                                </a:lnTo>
                                <a:lnTo>
                                  <a:pt x="4342485" y="25"/>
                                </a:lnTo>
                                <a:close/>
                              </a:path>
                              <a:path w="5038725" h="5080">
                                <a:moveTo>
                                  <a:pt x="5038471" y="25"/>
                                </a:moveTo>
                                <a:lnTo>
                                  <a:pt x="4342511" y="25"/>
                                </a:lnTo>
                                <a:lnTo>
                                  <a:pt x="4342511" y="5080"/>
                                </a:lnTo>
                                <a:lnTo>
                                  <a:pt x="5038471" y="5080"/>
                                </a:lnTo>
                                <a:lnTo>
                                  <a:pt x="5038471" y="25"/>
                                </a:lnTo>
                                <a:close/>
                              </a:path>
                            </a:pathLst>
                          </a:custGeom>
                          <a:solidFill>
                            <a:srgbClr val="7D7D7D"/>
                          </a:solidFill>
                        </wps:spPr>
                        <wps:bodyPr wrap="square" lIns="0" tIns="0" rIns="0" bIns="0" rtlCol="0">
                          <a:prstTxWarp prst="textNoShape">
                            <a:avLst/>
                          </a:prstTxWarp>
                          <a:noAutofit/>
                        </wps:bodyPr>
                      </wps:wsp>
                    </wpg:wgp>
                  </a:graphicData>
                </a:graphic>
              </wp:inline>
            </w:drawing>
          </mc:Choice>
          <mc:Fallback>
            <w:pict>
              <v:group style="width:396.75pt;height:.4pt;mso-position-horizontal-relative:char;mso-position-vertical-relative:line" id="docshapegroup27" coordorigin="0,0" coordsize="7935,8">
                <v:shape style="position:absolute;left:0;top:0;width:7935;height:8" id="docshape28" coordorigin="0,0" coordsize="7935,8" path="m2320,0l0,0,0,8,2320,8,2320,0xm2329,0l2321,0,2321,8,2329,8,2329,0xm4369,0l2329,0,2329,8,4369,8,4369,0xm4378,0l4370,0,4370,8,4378,8,4378,0xm6830,0l5574,0,5574,0,4378,0,4378,8,5574,8,6830,8,6830,0xm6839,0l6831,0,6831,8,6839,8,6839,0xm7935,0l6839,0,6839,8,7935,8,7935,0xe" filled="true" fillcolor="#7d7d7d" stroked="false">
                  <v:path arrowok="t"/>
                  <v:fill type="solid"/>
                </v:shape>
              </v:group>
            </w:pict>
          </mc:Fallback>
        </mc:AlternateContent>
      </w:r>
      <w:r>
        <w:rPr>
          <w:sz w:val="2"/>
        </w:rPr>
      </w:r>
    </w:p>
    <w:p>
      <w:pPr>
        <w:pStyle w:val="BodyText"/>
        <w:spacing w:after="0" w:line="20" w:lineRule="exact"/>
        <w:rPr>
          <w:sz w:val="2"/>
        </w:rPr>
        <w:sectPr>
          <w:pgSz w:w="11900" w:h="16840"/>
          <w:pgMar w:top="1580" w:bottom="280" w:left="1275" w:right="992"/>
        </w:sectPr>
      </w:pPr>
    </w:p>
    <w:p>
      <w:pPr>
        <w:spacing w:line="208" w:lineRule="exact" w:before="0"/>
        <w:ind w:left="1101" w:right="0" w:firstLine="0"/>
        <w:jc w:val="left"/>
        <w:rPr>
          <w:b/>
          <w:sz w:val="20"/>
        </w:rPr>
      </w:pPr>
      <w:r>
        <w:rPr>
          <w:b/>
          <w:sz w:val="20"/>
        </w:rPr>
        <w:t>Origen</w:t>
      </w:r>
      <w:r>
        <w:rPr>
          <w:b/>
          <w:spacing w:val="57"/>
          <w:sz w:val="20"/>
        </w:rPr>
        <w:t> </w:t>
      </w:r>
      <w:r>
        <w:rPr>
          <w:b/>
          <w:spacing w:val="-8"/>
          <w:sz w:val="20"/>
        </w:rPr>
        <w:t>de</w:t>
      </w:r>
    </w:p>
    <w:p>
      <w:pPr>
        <w:spacing w:before="2"/>
        <w:ind w:left="1101" w:right="0" w:firstLine="0"/>
        <w:jc w:val="left"/>
        <w:rPr>
          <w:b/>
          <w:sz w:val="20"/>
        </w:rPr>
      </w:pPr>
      <w:r>
        <w:rPr>
          <w:b/>
          <w:spacing w:val="-5"/>
          <w:sz w:val="20"/>
        </w:rPr>
        <w:t>las</w:t>
      </w:r>
    </w:p>
    <w:p>
      <w:pPr>
        <w:tabs>
          <w:tab w:pos="962" w:val="left" w:leader="none"/>
        </w:tabs>
        <w:spacing w:line="208" w:lineRule="exact" w:before="0"/>
        <w:ind w:left="178" w:right="0" w:firstLine="0"/>
        <w:jc w:val="left"/>
        <w:rPr>
          <w:b/>
          <w:sz w:val="20"/>
        </w:rPr>
      </w:pPr>
      <w:r>
        <w:rPr/>
        <w:br w:type="column"/>
      </w:r>
      <w:r>
        <w:rPr>
          <w:b/>
          <w:spacing w:val="-4"/>
          <w:sz w:val="20"/>
        </w:rPr>
        <w:t>Suma</w:t>
      </w:r>
      <w:r>
        <w:rPr>
          <w:b/>
          <w:sz w:val="20"/>
        </w:rPr>
        <w:tab/>
      </w:r>
      <w:r>
        <w:rPr>
          <w:b/>
          <w:spacing w:val="-9"/>
          <w:sz w:val="20"/>
        </w:rPr>
        <w:t>de</w:t>
      </w:r>
    </w:p>
    <w:p>
      <w:pPr>
        <w:spacing w:before="6"/>
        <w:ind w:left="178" w:right="0" w:firstLine="0"/>
        <w:jc w:val="left"/>
        <w:rPr>
          <w:b/>
          <w:sz w:val="20"/>
        </w:rPr>
      </w:pPr>
      <w:r>
        <w:rPr>
          <w:b/>
          <w:spacing w:val="-2"/>
          <w:sz w:val="20"/>
        </w:rPr>
        <w:t>cuadrados</w:t>
      </w:r>
    </w:p>
    <w:p>
      <w:pPr>
        <w:spacing w:line="208" w:lineRule="exact" w:before="0"/>
        <w:ind w:left="186" w:right="0" w:firstLine="0"/>
        <w:jc w:val="left"/>
        <w:rPr>
          <w:b/>
          <w:sz w:val="20"/>
        </w:rPr>
      </w:pPr>
      <w:r>
        <w:rPr/>
        <w:br w:type="column"/>
      </w:r>
      <w:r>
        <w:rPr>
          <w:b/>
          <w:spacing w:val="-5"/>
          <w:sz w:val="20"/>
        </w:rPr>
        <w:t>Grados</w:t>
      </w:r>
    </w:p>
    <w:p>
      <w:pPr>
        <w:spacing w:before="2"/>
        <w:ind w:left="186" w:right="0" w:firstLine="0"/>
        <w:jc w:val="left"/>
        <w:rPr>
          <w:b/>
          <w:sz w:val="20"/>
        </w:rPr>
      </w:pPr>
      <w:r>
        <w:rPr>
          <w:b/>
          <w:spacing w:val="-5"/>
          <w:sz w:val="20"/>
        </w:rPr>
        <w:t>de</w:t>
      </w:r>
    </w:p>
    <w:p>
      <w:pPr>
        <w:spacing w:line="208" w:lineRule="exact" w:before="0"/>
        <w:ind w:left="186" w:right="0" w:firstLine="0"/>
        <w:jc w:val="left"/>
        <w:rPr>
          <w:b/>
          <w:sz w:val="20"/>
        </w:rPr>
      </w:pPr>
      <w:r>
        <w:rPr/>
        <w:br w:type="column"/>
      </w:r>
      <w:r>
        <w:rPr>
          <w:b/>
          <w:spacing w:val="-2"/>
          <w:sz w:val="20"/>
        </w:rPr>
        <w:t>Promedio</w:t>
      </w:r>
    </w:p>
    <w:p>
      <w:pPr>
        <w:tabs>
          <w:tab w:pos="939" w:val="left" w:leader="none"/>
        </w:tabs>
        <w:spacing w:before="2"/>
        <w:ind w:left="186" w:right="0" w:firstLine="0"/>
        <w:jc w:val="left"/>
        <w:rPr>
          <w:b/>
          <w:sz w:val="20"/>
        </w:rPr>
      </w:pPr>
      <w:r>
        <w:rPr>
          <w:b/>
          <w:spacing w:val="-5"/>
          <w:sz w:val="20"/>
        </w:rPr>
        <w:t>de</w:t>
      </w:r>
      <w:r>
        <w:rPr>
          <w:b/>
          <w:sz w:val="20"/>
        </w:rPr>
        <w:tab/>
      </w:r>
      <w:r>
        <w:rPr>
          <w:b/>
          <w:spacing w:val="-7"/>
          <w:sz w:val="20"/>
        </w:rPr>
        <w:t>los</w:t>
      </w:r>
    </w:p>
    <w:p>
      <w:pPr>
        <w:tabs>
          <w:tab w:pos="1378" w:val="left" w:leader="none"/>
        </w:tabs>
        <w:spacing w:line="242" w:lineRule="auto" w:before="0"/>
        <w:ind w:left="1378" w:right="0" w:hanging="1197"/>
        <w:jc w:val="left"/>
        <w:rPr>
          <w:b/>
          <w:sz w:val="20"/>
        </w:rPr>
      </w:pPr>
      <w:r>
        <w:rPr/>
        <w:br w:type="column"/>
      </w:r>
      <w:r>
        <w:rPr>
          <w:b/>
          <w:spacing w:val="-10"/>
          <w:sz w:val="20"/>
        </w:rPr>
        <w:t>F</w:t>
      </w:r>
      <w:r>
        <w:rPr>
          <w:b/>
          <w:sz w:val="20"/>
        </w:rPr>
        <w:tab/>
      </w:r>
      <w:r>
        <w:rPr>
          <w:b/>
          <w:spacing w:val="-4"/>
          <w:sz w:val="20"/>
        </w:rPr>
        <w:t>Probabilida </w:t>
      </w:r>
      <w:r>
        <w:rPr>
          <w:b/>
          <w:spacing w:val="-10"/>
          <w:sz w:val="20"/>
        </w:rPr>
        <w:t>d</w:t>
      </w:r>
    </w:p>
    <w:p>
      <w:pPr>
        <w:spacing w:line="208" w:lineRule="exact" w:before="0"/>
        <w:ind w:left="232" w:right="0" w:firstLine="0"/>
        <w:jc w:val="left"/>
        <w:rPr>
          <w:b/>
          <w:sz w:val="20"/>
        </w:rPr>
      </w:pPr>
      <w:r>
        <w:rPr/>
        <w:br w:type="column"/>
      </w:r>
      <w:r>
        <w:rPr>
          <w:b/>
          <w:spacing w:val="-2"/>
          <w:sz w:val="20"/>
        </w:rPr>
        <w:t>Valor</w:t>
      </w:r>
    </w:p>
    <w:p>
      <w:pPr>
        <w:spacing w:before="2"/>
        <w:ind w:left="232" w:right="0" w:firstLine="0"/>
        <w:jc w:val="left"/>
        <w:rPr>
          <w:b/>
          <w:sz w:val="20"/>
        </w:rPr>
      </w:pPr>
      <w:r>
        <w:rPr>
          <w:b/>
          <w:spacing w:val="-2"/>
          <w:sz w:val="20"/>
        </w:rPr>
        <w:t>crítico</w:t>
      </w:r>
    </w:p>
    <w:p>
      <w:pPr>
        <w:spacing w:after="0"/>
        <w:jc w:val="left"/>
        <w:rPr>
          <w:b/>
          <w:sz w:val="20"/>
        </w:rPr>
        <w:sectPr>
          <w:type w:val="continuous"/>
          <w:pgSz w:w="11900" w:h="16840"/>
          <w:pgMar w:top="1720" w:bottom="280" w:left="1275" w:right="992"/>
          <w:cols w:num="6" w:equalWidth="0">
            <w:col w:w="2004" w:space="40"/>
            <w:col w:w="1157" w:space="39"/>
            <w:col w:w="809" w:space="40"/>
            <w:col w:w="1166" w:space="39"/>
            <w:col w:w="2367" w:space="39"/>
            <w:col w:w="1933"/>
          </w:cols>
        </w:sectPr>
      </w:pPr>
    </w:p>
    <w:tbl>
      <w:tblPr>
        <w:tblW w:w="0" w:type="auto"/>
        <w:jc w:val="left"/>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29"/>
        <w:gridCol w:w="1173"/>
        <w:gridCol w:w="836"/>
        <w:gridCol w:w="1213"/>
        <w:gridCol w:w="1199"/>
        <w:gridCol w:w="1235"/>
        <w:gridCol w:w="1165"/>
      </w:tblGrid>
      <w:tr>
        <w:trPr>
          <w:trHeight w:val="621" w:hRule="atLeast"/>
        </w:trPr>
        <w:tc>
          <w:tcPr>
            <w:tcW w:w="1129" w:type="dxa"/>
            <w:tcBorders>
              <w:bottom w:val="single" w:sz="4" w:space="0" w:color="7D7D7D"/>
            </w:tcBorders>
          </w:tcPr>
          <w:p>
            <w:pPr>
              <w:pStyle w:val="TableParagraph"/>
              <w:spacing w:line="247" w:lineRule="auto"/>
              <w:ind w:left="118" w:right="114"/>
              <w:rPr>
                <w:b/>
                <w:sz w:val="20"/>
              </w:rPr>
            </w:pPr>
            <w:r>
              <w:rPr>
                <w:b/>
                <w:spacing w:val="-4"/>
                <w:sz w:val="20"/>
              </w:rPr>
              <w:t>variacione </w:t>
            </w:r>
            <w:r>
              <w:rPr>
                <w:b/>
                <w:spacing w:val="-10"/>
                <w:sz w:val="20"/>
              </w:rPr>
              <w:t>s</w:t>
            </w:r>
          </w:p>
        </w:tc>
        <w:tc>
          <w:tcPr>
            <w:tcW w:w="1173" w:type="dxa"/>
            <w:tcBorders>
              <w:bottom w:val="single" w:sz="4" w:space="0" w:color="7D7D7D"/>
            </w:tcBorders>
          </w:tcPr>
          <w:p>
            <w:pPr>
              <w:pStyle w:val="TableParagraph"/>
              <w:rPr>
                <w:sz w:val="22"/>
              </w:rPr>
            </w:pPr>
          </w:p>
        </w:tc>
        <w:tc>
          <w:tcPr>
            <w:tcW w:w="836" w:type="dxa"/>
            <w:tcBorders>
              <w:bottom w:val="single" w:sz="4" w:space="0" w:color="7D7D7D"/>
            </w:tcBorders>
          </w:tcPr>
          <w:p>
            <w:pPr>
              <w:pStyle w:val="TableParagraph"/>
              <w:spacing w:line="247" w:lineRule="auto"/>
              <w:ind w:left="136" w:right="141"/>
              <w:rPr>
                <w:b/>
                <w:sz w:val="20"/>
              </w:rPr>
            </w:pPr>
            <w:r>
              <w:rPr>
                <w:b/>
                <w:spacing w:val="-4"/>
                <w:sz w:val="20"/>
              </w:rPr>
              <w:t>liberta </w:t>
            </w:r>
            <w:r>
              <w:rPr>
                <w:b/>
                <w:spacing w:val="-10"/>
                <w:sz w:val="20"/>
              </w:rPr>
              <w:t>d</w:t>
            </w:r>
          </w:p>
        </w:tc>
        <w:tc>
          <w:tcPr>
            <w:tcW w:w="1213" w:type="dxa"/>
            <w:tcBorders>
              <w:bottom w:val="single" w:sz="4" w:space="0" w:color="7D7D7D"/>
            </w:tcBorders>
          </w:tcPr>
          <w:p>
            <w:pPr>
              <w:pStyle w:val="TableParagraph"/>
              <w:spacing w:line="225" w:lineRule="exact"/>
              <w:ind w:left="148"/>
              <w:rPr>
                <w:b/>
                <w:sz w:val="20"/>
              </w:rPr>
            </w:pPr>
            <w:r>
              <w:rPr>
                <w:b/>
                <w:spacing w:val="-2"/>
                <w:sz w:val="20"/>
              </w:rPr>
              <w:t>cuadrados</w:t>
            </w:r>
          </w:p>
        </w:tc>
        <w:tc>
          <w:tcPr>
            <w:tcW w:w="1199" w:type="dxa"/>
            <w:tcBorders>
              <w:bottom w:val="single" w:sz="4" w:space="0" w:color="7D7D7D"/>
            </w:tcBorders>
          </w:tcPr>
          <w:p>
            <w:pPr>
              <w:pStyle w:val="TableParagraph"/>
              <w:rPr>
                <w:sz w:val="22"/>
              </w:rPr>
            </w:pPr>
          </w:p>
        </w:tc>
        <w:tc>
          <w:tcPr>
            <w:tcW w:w="1235" w:type="dxa"/>
            <w:tcBorders>
              <w:bottom w:val="single" w:sz="4" w:space="0" w:color="7D7D7D"/>
            </w:tcBorders>
          </w:tcPr>
          <w:p>
            <w:pPr>
              <w:pStyle w:val="TableParagraph"/>
              <w:rPr>
                <w:sz w:val="22"/>
              </w:rPr>
            </w:pPr>
          </w:p>
        </w:tc>
        <w:tc>
          <w:tcPr>
            <w:tcW w:w="1165" w:type="dxa"/>
            <w:tcBorders>
              <w:bottom w:val="single" w:sz="4" w:space="0" w:color="7D7D7D"/>
            </w:tcBorders>
          </w:tcPr>
          <w:p>
            <w:pPr>
              <w:pStyle w:val="TableParagraph"/>
              <w:spacing w:line="225" w:lineRule="exact"/>
              <w:ind w:left="167"/>
              <w:rPr>
                <w:b/>
                <w:sz w:val="20"/>
              </w:rPr>
            </w:pPr>
            <w:r>
              <w:rPr>
                <w:b/>
                <w:sz w:val="20"/>
              </w:rPr>
              <w:t>para</w:t>
            </w:r>
            <w:r>
              <w:rPr>
                <w:b/>
                <w:spacing w:val="1"/>
                <w:sz w:val="20"/>
              </w:rPr>
              <w:t> </w:t>
            </w:r>
            <w:r>
              <w:rPr>
                <w:b/>
                <w:spacing w:val="-10"/>
                <w:sz w:val="20"/>
              </w:rPr>
              <w:t>F</w:t>
            </w:r>
          </w:p>
        </w:tc>
      </w:tr>
      <w:tr>
        <w:trPr>
          <w:trHeight w:val="225" w:hRule="atLeast"/>
        </w:trPr>
        <w:tc>
          <w:tcPr>
            <w:tcW w:w="1129" w:type="dxa"/>
            <w:tcBorders>
              <w:top w:val="single" w:sz="4" w:space="0" w:color="7D7D7D"/>
            </w:tcBorders>
          </w:tcPr>
          <w:p>
            <w:pPr>
              <w:pStyle w:val="TableParagraph"/>
              <w:spacing w:line="205" w:lineRule="exact"/>
              <w:ind w:left="118"/>
              <w:rPr>
                <w:b/>
                <w:sz w:val="20"/>
              </w:rPr>
            </w:pPr>
            <w:r>
              <w:rPr>
                <w:b/>
                <w:spacing w:val="-2"/>
                <w:sz w:val="20"/>
              </w:rPr>
              <w:t>Entre</w:t>
            </w:r>
          </w:p>
        </w:tc>
        <w:tc>
          <w:tcPr>
            <w:tcW w:w="1173" w:type="dxa"/>
            <w:tcBorders>
              <w:top w:val="single" w:sz="4" w:space="0" w:color="7D7D7D"/>
            </w:tcBorders>
          </w:tcPr>
          <w:p>
            <w:pPr>
              <w:pStyle w:val="TableParagraph"/>
              <w:spacing w:line="205" w:lineRule="exact"/>
              <w:ind w:left="109"/>
              <w:rPr>
                <w:sz w:val="20"/>
              </w:rPr>
            </w:pPr>
            <w:r>
              <w:rPr>
                <w:spacing w:val="-2"/>
                <w:sz w:val="20"/>
              </w:rPr>
              <w:t>548,666666</w:t>
            </w:r>
          </w:p>
        </w:tc>
        <w:tc>
          <w:tcPr>
            <w:tcW w:w="836" w:type="dxa"/>
            <w:tcBorders>
              <w:top w:val="single" w:sz="4" w:space="0" w:color="7D7D7D"/>
            </w:tcBorders>
          </w:tcPr>
          <w:p>
            <w:pPr>
              <w:pStyle w:val="TableParagraph"/>
              <w:spacing w:line="205" w:lineRule="exact"/>
              <w:ind w:left="136"/>
              <w:rPr>
                <w:sz w:val="20"/>
              </w:rPr>
            </w:pPr>
            <w:r>
              <w:rPr>
                <w:spacing w:val="-10"/>
                <w:sz w:val="20"/>
              </w:rPr>
              <w:t>4</w:t>
            </w:r>
          </w:p>
        </w:tc>
        <w:tc>
          <w:tcPr>
            <w:tcW w:w="1213" w:type="dxa"/>
            <w:tcBorders>
              <w:top w:val="single" w:sz="4" w:space="0" w:color="7D7D7D"/>
            </w:tcBorders>
          </w:tcPr>
          <w:p>
            <w:pPr>
              <w:pStyle w:val="TableParagraph"/>
              <w:spacing w:line="205" w:lineRule="exact"/>
              <w:ind w:left="148"/>
              <w:rPr>
                <w:sz w:val="20"/>
              </w:rPr>
            </w:pPr>
            <w:r>
              <w:rPr>
                <w:spacing w:val="-2"/>
                <w:sz w:val="20"/>
              </w:rPr>
              <w:t>137,166666</w:t>
            </w:r>
          </w:p>
        </w:tc>
        <w:tc>
          <w:tcPr>
            <w:tcW w:w="1199" w:type="dxa"/>
            <w:tcBorders>
              <w:top w:val="single" w:sz="4" w:space="0" w:color="7D7D7D"/>
            </w:tcBorders>
          </w:tcPr>
          <w:p>
            <w:pPr>
              <w:pStyle w:val="TableParagraph"/>
              <w:spacing w:line="205" w:lineRule="exact"/>
              <w:ind w:left="136"/>
              <w:rPr>
                <w:sz w:val="20"/>
              </w:rPr>
            </w:pPr>
            <w:r>
              <w:rPr>
                <w:spacing w:val="-2"/>
                <w:sz w:val="20"/>
              </w:rPr>
              <w:t>44,7282608</w:t>
            </w:r>
          </w:p>
        </w:tc>
        <w:tc>
          <w:tcPr>
            <w:tcW w:w="1235" w:type="dxa"/>
            <w:tcBorders>
              <w:top w:val="single" w:sz="4" w:space="0" w:color="7D7D7D"/>
            </w:tcBorders>
          </w:tcPr>
          <w:p>
            <w:pPr>
              <w:pStyle w:val="TableParagraph"/>
              <w:spacing w:line="205" w:lineRule="exact"/>
              <w:ind w:left="134"/>
              <w:rPr>
                <w:sz w:val="20"/>
              </w:rPr>
            </w:pPr>
            <w:r>
              <w:rPr>
                <w:spacing w:val="-2"/>
                <w:sz w:val="20"/>
              </w:rPr>
              <w:t>2,3837E-</w:t>
            </w:r>
            <w:r>
              <w:rPr>
                <w:spacing w:val="-5"/>
                <w:sz w:val="20"/>
              </w:rPr>
              <w:t>06</w:t>
            </w:r>
          </w:p>
        </w:tc>
        <w:tc>
          <w:tcPr>
            <w:tcW w:w="1165" w:type="dxa"/>
            <w:tcBorders>
              <w:top w:val="single" w:sz="4" w:space="0" w:color="7D7D7D"/>
            </w:tcBorders>
          </w:tcPr>
          <w:p>
            <w:pPr>
              <w:pStyle w:val="TableParagraph"/>
              <w:spacing w:line="205" w:lineRule="exact"/>
              <w:ind w:left="167"/>
              <w:rPr>
                <w:sz w:val="20"/>
              </w:rPr>
            </w:pPr>
            <w:r>
              <w:rPr>
                <w:spacing w:val="-2"/>
                <w:sz w:val="20"/>
              </w:rPr>
              <w:t>3,4780496</w:t>
            </w:r>
          </w:p>
        </w:tc>
      </w:tr>
      <w:tr>
        <w:trPr>
          <w:trHeight w:val="394" w:hRule="atLeast"/>
        </w:trPr>
        <w:tc>
          <w:tcPr>
            <w:tcW w:w="1129" w:type="dxa"/>
            <w:tcBorders>
              <w:bottom w:val="single" w:sz="4" w:space="0" w:color="7D7D7D"/>
            </w:tcBorders>
          </w:tcPr>
          <w:p>
            <w:pPr>
              <w:pStyle w:val="TableParagraph"/>
              <w:spacing w:line="229" w:lineRule="exact"/>
              <w:ind w:left="118"/>
              <w:rPr>
                <w:b/>
                <w:sz w:val="20"/>
              </w:rPr>
            </w:pPr>
            <w:r>
              <w:rPr>
                <w:b/>
                <w:spacing w:val="-2"/>
                <w:sz w:val="20"/>
              </w:rPr>
              <w:t>grupos</w:t>
            </w:r>
          </w:p>
        </w:tc>
        <w:tc>
          <w:tcPr>
            <w:tcW w:w="1173" w:type="dxa"/>
            <w:tcBorders>
              <w:bottom w:val="single" w:sz="4" w:space="0" w:color="7D7D7D"/>
            </w:tcBorders>
          </w:tcPr>
          <w:p>
            <w:pPr>
              <w:pStyle w:val="TableParagraph"/>
              <w:spacing w:line="229" w:lineRule="exact"/>
              <w:ind w:left="109"/>
              <w:rPr>
                <w:sz w:val="20"/>
              </w:rPr>
            </w:pPr>
            <w:r>
              <w:rPr>
                <w:spacing w:val="-10"/>
                <w:sz w:val="20"/>
              </w:rPr>
              <w:t>7</w:t>
            </w:r>
          </w:p>
        </w:tc>
        <w:tc>
          <w:tcPr>
            <w:tcW w:w="836" w:type="dxa"/>
            <w:tcBorders>
              <w:bottom w:val="single" w:sz="4" w:space="0" w:color="7D7D7D"/>
            </w:tcBorders>
          </w:tcPr>
          <w:p>
            <w:pPr>
              <w:pStyle w:val="TableParagraph"/>
              <w:rPr>
                <w:sz w:val="22"/>
              </w:rPr>
            </w:pPr>
          </w:p>
        </w:tc>
        <w:tc>
          <w:tcPr>
            <w:tcW w:w="1213" w:type="dxa"/>
            <w:tcBorders>
              <w:bottom w:val="single" w:sz="4" w:space="0" w:color="7D7D7D"/>
            </w:tcBorders>
          </w:tcPr>
          <w:p>
            <w:pPr>
              <w:pStyle w:val="TableParagraph"/>
              <w:spacing w:line="229" w:lineRule="exact"/>
              <w:ind w:left="148"/>
              <w:rPr>
                <w:sz w:val="20"/>
              </w:rPr>
            </w:pPr>
            <w:r>
              <w:rPr>
                <w:spacing w:val="-10"/>
                <w:sz w:val="20"/>
              </w:rPr>
              <w:t>7</w:t>
            </w:r>
          </w:p>
        </w:tc>
        <w:tc>
          <w:tcPr>
            <w:tcW w:w="1199" w:type="dxa"/>
            <w:tcBorders>
              <w:bottom w:val="single" w:sz="4" w:space="0" w:color="7D7D7D"/>
            </w:tcBorders>
          </w:tcPr>
          <w:p>
            <w:pPr>
              <w:pStyle w:val="TableParagraph"/>
              <w:spacing w:line="229" w:lineRule="exact"/>
              <w:ind w:left="136"/>
              <w:rPr>
                <w:sz w:val="20"/>
              </w:rPr>
            </w:pPr>
            <w:r>
              <w:rPr>
                <w:spacing w:val="-10"/>
                <w:sz w:val="20"/>
              </w:rPr>
              <w:t>7</w:t>
            </w:r>
          </w:p>
        </w:tc>
        <w:tc>
          <w:tcPr>
            <w:tcW w:w="1235" w:type="dxa"/>
            <w:tcBorders>
              <w:bottom w:val="single" w:sz="4" w:space="0" w:color="7D7D7D"/>
            </w:tcBorders>
          </w:tcPr>
          <w:p>
            <w:pPr>
              <w:pStyle w:val="TableParagraph"/>
              <w:rPr>
                <w:sz w:val="22"/>
              </w:rPr>
            </w:pPr>
          </w:p>
        </w:tc>
        <w:tc>
          <w:tcPr>
            <w:tcW w:w="1165" w:type="dxa"/>
            <w:tcBorders>
              <w:bottom w:val="single" w:sz="4" w:space="0" w:color="7D7D7D"/>
            </w:tcBorders>
          </w:tcPr>
          <w:p>
            <w:pPr>
              <w:pStyle w:val="TableParagraph"/>
              <w:spacing w:line="229" w:lineRule="exact"/>
              <w:ind w:left="167"/>
              <w:rPr>
                <w:sz w:val="20"/>
              </w:rPr>
            </w:pPr>
            <w:r>
              <w:rPr>
                <w:spacing w:val="-10"/>
                <w:sz w:val="20"/>
              </w:rPr>
              <w:t>9</w:t>
            </w:r>
          </w:p>
        </w:tc>
      </w:tr>
      <w:tr>
        <w:trPr>
          <w:trHeight w:val="224" w:hRule="atLeast"/>
        </w:trPr>
        <w:tc>
          <w:tcPr>
            <w:tcW w:w="1129" w:type="dxa"/>
            <w:tcBorders>
              <w:top w:val="single" w:sz="4" w:space="0" w:color="7D7D7D"/>
            </w:tcBorders>
          </w:tcPr>
          <w:p>
            <w:pPr>
              <w:pStyle w:val="TableParagraph"/>
              <w:spacing w:line="202" w:lineRule="exact"/>
              <w:ind w:left="118"/>
              <w:rPr>
                <w:b/>
                <w:sz w:val="20"/>
              </w:rPr>
            </w:pPr>
            <w:r>
              <w:rPr>
                <w:b/>
                <w:sz w:val="20"/>
              </w:rPr>
              <w:t>Dentro</w:t>
            </w:r>
            <w:r>
              <w:rPr>
                <w:b/>
                <w:spacing w:val="56"/>
                <w:sz w:val="20"/>
              </w:rPr>
              <w:t> </w:t>
            </w:r>
            <w:r>
              <w:rPr>
                <w:b/>
                <w:spacing w:val="-5"/>
                <w:sz w:val="20"/>
              </w:rPr>
              <w:t>de</w:t>
            </w:r>
          </w:p>
        </w:tc>
        <w:tc>
          <w:tcPr>
            <w:tcW w:w="1173" w:type="dxa"/>
            <w:tcBorders>
              <w:top w:val="single" w:sz="4" w:space="0" w:color="7D7D7D"/>
            </w:tcBorders>
          </w:tcPr>
          <w:p>
            <w:pPr>
              <w:pStyle w:val="TableParagraph"/>
              <w:spacing w:line="202" w:lineRule="exact"/>
              <w:ind w:left="109"/>
              <w:rPr>
                <w:sz w:val="20"/>
              </w:rPr>
            </w:pPr>
            <w:r>
              <w:rPr>
                <w:spacing w:val="-2"/>
                <w:sz w:val="20"/>
              </w:rPr>
              <w:t>30,6666666</w:t>
            </w:r>
          </w:p>
        </w:tc>
        <w:tc>
          <w:tcPr>
            <w:tcW w:w="836" w:type="dxa"/>
            <w:tcBorders>
              <w:top w:val="single" w:sz="4" w:space="0" w:color="7D7D7D"/>
            </w:tcBorders>
          </w:tcPr>
          <w:p>
            <w:pPr>
              <w:pStyle w:val="TableParagraph"/>
              <w:spacing w:line="202" w:lineRule="exact"/>
              <w:ind w:left="136"/>
              <w:rPr>
                <w:sz w:val="20"/>
              </w:rPr>
            </w:pPr>
            <w:r>
              <w:rPr>
                <w:spacing w:val="-5"/>
                <w:sz w:val="20"/>
              </w:rPr>
              <w:t>10</w:t>
            </w:r>
          </w:p>
        </w:tc>
        <w:tc>
          <w:tcPr>
            <w:tcW w:w="1213" w:type="dxa"/>
            <w:tcBorders>
              <w:top w:val="single" w:sz="4" w:space="0" w:color="7D7D7D"/>
            </w:tcBorders>
          </w:tcPr>
          <w:p>
            <w:pPr>
              <w:pStyle w:val="TableParagraph"/>
              <w:spacing w:line="202" w:lineRule="exact"/>
              <w:ind w:left="148"/>
              <w:rPr>
                <w:sz w:val="20"/>
              </w:rPr>
            </w:pPr>
            <w:r>
              <w:rPr>
                <w:spacing w:val="-2"/>
                <w:sz w:val="20"/>
              </w:rPr>
              <w:t>3,06666666</w:t>
            </w:r>
          </w:p>
        </w:tc>
        <w:tc>
          <w:tcPr>
            <w:tcW w:w="1199" w:type="dxa"/>
            <w:tcBorders>
              <w:top w:val="single" w:sz="4" w:space="0" w:color="7D7D7D"/>
            </w:tcBorders>
          </w:tcPr>
          <w:p>
            <w:pPr>
              <w:pStyle w:val="TableParagraph"/>
              <w:rPr>
                <w:sz w:val="14"/>
              </w:rPr>
            </w:pPr>
          </w:p>
        </w:tc>
        <w:tc>
          <w:tcPr>
            <w:tcW w:w="1235" w:type="dxa"/>
            <w:tcBorders>
              <w:top w:val="single" w:sz="4" w:space="0" w:color="7D7D7D"/>
            </w:tcBorders>
          </w:tcPr>
          <w:p>
            <w:pPr>
              <w:pStyle w:val="TableParagraph"/>
              <w:rPr>
                <w:sz w:val="14"/>
              </w:rPr>
            </w:pPr>
          </w:p>
        </w:tc>
        <w:tc>
          <w:tcPr>
            <w:tcW w:w="1165" w:type="dxa"/>
            <w:tcBorders>
              <w:top w:val="single" w:sz="4" w:space="0" w:color="7D7D7D"/>
            </w:tcBorders>
          </w:tcPr>
          <w:p>
            <w:pPr>
              <w:pStyle w:val="TableParagraph"/>
              <w:rPr>
                <w:sz w:val="14"/>
              </w:rPr>
            </w:pPr>
          </w:p>
        </w:tc>
      </w:tr>
      <w:tr>
        <w:trPr>
          <w:trHeight w:val="394" w:hRule="atLeast"/>
        </w:trPr>
        <w:tc>
          <w:tcPr>
            <w:tcW w:w="1129" w:type="dxa"/>
            <w:tcBorders>
              <w:bottom w:val="single" w:sz="4" w:space="0" w:color="7D7D7D"/>
            </w:tcBorders>
          </w:tcPr>
          <w:p>
            <w:pPr>
              <w:pStyle w:val="TableParagraph"/>
              <w:spacing w:line="229" w:lineRule="exact"/>
              <w:ind w:left="118"/>
              <w:rPr>
                <w:b/>
                <w:sz w:val="20"/>
              </w:rPr>
            </w:pPr>
            <w:r>
              <w:rPr>
                <w:b/>
                <w:sz w:val="20"/>
              </w:rPr>
              <w:t>los</w:t>
            </w:r>
            <w:r>
              <w:rPr>
                <w:b/>
                <w:spacing w:val="-8"/>
                <w:sz w:val="20"/>
              </w:rPr>
              <w:t> </w:t>
            </w:r>
            <w:r>
              <w:rPr>
                <w:b/>
                <w:spacing w:val="-2"/>
                <w:sz w:val="20"/>
              </w:rPr>
              <w:t>grupos</w:t>
            </w:r>
          </w:p>
        </w:tc>
        <w:tc>
          <w:tcPr>
            <w:tcW w:w="1173" w:type="dxa"/>
            <w:tcBorders>
              <w:bottom w:val="single" w:sz="4" w:space="0" w:color="7D7D7D"/>
            </w:tcBorders>
          </w:tcPr>
          <w:p>
            <w:pPr>
              <w:pStyle w:val="TableParagraph"/>
              <w:spacing w:line="229" w:lineRule="exact"/>
              <w:ind w:left="109"/>
              <w:rPr>
                <w:sz w:val="20"/>
              </w:rPr>
            </w:pPr>
            <w:r>
              <w:rPr>
                <w:spacing w:val="-10"/>
                <w:sz w:val="20"/>
              </w:rPr>
              <w:t>7</w:t>
            </w:r>
          </w:p>
        </w:tc>
        <w:tc>
          <w:tcPr>
            <w:tcW w:w="836" w:type="dxa"/>
            <w:tcBorders>
              <w:bottom w:val="single" w:sz="4" w:space="0" w:color="7D7D7D"/>
            </w:tcBorders>
          </w:tcPr>
          <w:p>
            <w:pPr>
              <w:pStyle w:val="TableParagraph"/>
              <w:rPr>
                <w:sz w:val="22"/>
              </w:rPr>
            </w:pPr>
          </w:p>
        </w:tc>
        <w:tc>
          <w:tcPr>
            <w:tcW w:w="1213" w:type="dxa"/>
            <w:tcBorders>
              <w:bottom w:val="single" w:sz="4" w:space="0" w:color="7D7D7D"/>
            </w:tcBorders>
          </w:tcPr>
          <w:p>
            <w:pPr>
              <w:pStyle w:val="TableParagraph"/>
              <w:spacing w:line="229" w:lineRule="exact"/>
              <w:ind w:left="148"/>
              <w:rPr>
                <w:sz w:val="20"/>
              </w:rPr>
            </w:pPr>
            <w:r>
              <w:rPr>
                <w:spacing w:val="-10"/>
                <w:sz w:val="20"/>
              </w:rPr>
              <w:t>7</w:t>
            </w:r>
          </w:p>
        </w:tc>
        <w:tc>
          <w:tcPr>
            <w:tcW w:w="1199" w:type="dxa"/>
            <w:tcBorders>
              <w:bottom w:val="single" w:sz="4" w:space="0" w:color="7D7D7D"/>
            </w:tcBorders>
          </w:tcPr>
          <w:p>
            <w:pPr>
              <w:pStyle w:val="TableParagraph"/>
              <w:rPr>
                <w:sz w:val="22"/>
              </w:rPr>
            </w:pPr>
          </w:p>
        </w:tc>
        <w:tc>
          <w:tcPr>
            <w:tcW w:w="1235" w:type="dxa"/>
            <w:tcBorders>
              <w:bottom w:val="single" w:sz="4" w:space="0" w:color="7D7D7D"/>
            </w:tcBorders>
          </w:tcPr>
          <w:p>
            <w:pPr>
              <w:pStyle w:val="TableParagraph"/>
              <w:rPr>
                <w:sz w:val="22"/>
              </w:rPr>
            </w:pPr>
          </w:p>
        </w:tc>
        <w:tc>
          <w:tcPr>
            <w:tcW w:w="1165" w:type="dxa"/>
            <w:tcBorders>
              <w:bottom w:val="single" w:sz="4" w:space="0" w:color="7D7D7D"/>
            </w:tcBorders>
          </w:tcPr>
          <w:p>
            <w:pPr>
              <w:pStyle w:val="TableParagraph"/>
              <w:rPr>
                <w:sz w:val="22"/>
              </w:rPr>
            </w:pPr>
          </w:p>
        </w:tc>
      </w:tr>
      <w:tr>
        <w:trPr>
          <w:trHeight w:val="225" w:hRule="atLeast"/>
        </w:trPr>
        <w:tc>
          <w:tcPr>
            <w:tcW w:w="1129" w:type="dxa"/>
            <w:tcBorders>
              <w:top w:val="single" w:sz="4" w:space="0" w:color="7D7D7D"/>
            </w:tcBorders>
          </w:tcPr>
          <w:p>
            <w:pPr>
              <w:pStyle w:val="TableParagraph"/>
              <w:spacing w:line="204" w:lineRule="exact"/>
              <w:ind w:left="118"/>
              <w:rPr>
                <w:b/>
                <w:sz w:val="20"/>
              </w:rPr>
            </w:pPr>
            <w:r>
              <w:rPr>
                <w:b/>
                <w:spacing w:val="-2"/>
                <w:sz w:val="20"/>
              </w:rPr>
              <w:t>Total</w:t>
            </w:r>
          </w:p>
        </w:tc>
        <w:tc>
          <w:tcPr>
            <w:tcW w:w="1173" w:type="dxa"/>
            <w:tcBorders>
              <w:top w:val="single" w:sz="4" w:space="0" w:color="7D7D7D"/>
            </w:tcBorders>
          </w:tcPr>
          <w:p>
            <w:pPr>
              <w:pStyle w:val="TableParagraph"/>
              <w:spacing w:line="204" w:lineRule="exact"/>
              <w:ind w:left="109"/>
              <w:rPr>
                <w:sz w:val="20"/>
              </w:rPr>
            </w:pPr>
            <w:r>
              <w:rPr>
                <w:spacing w:val="-2"/>
                <w:sz w:val="20"/>
              </w:rPr>
              <w:t>579,333333</w:t>
            </w:r>
          </w:p>
        </w:tc>
        <w:tc>
          <w:tcPr>
            <w:tcW w:w="836" w:type="dxa"/>
            <w:tcBorders>
              <w:top w:val="single" w:sz="4" w:space="0" w:color="7D7D7D"/>
            </w:tcBorders>
          </w:tcPr>
          <w:p>
            <w:pPr>
              <w:pStyle w:val="TableParagraph"/>
              <w:spacing w:line="204" w:lineRule="exact"/>
              <w:ind w:left="136"/>
              <w:rPr>
                <w:sz w:val="20"/>
              </w:rPr>
            </w:pPr>
            <w:r>
              <w:rPr>
                <w:spacing w:val="-5"/>
                <w:sz w:val="20"/>
              </w:rPr>
              <w:t>14</w:t>
            </w:r>
          </w:p>
        </w:tc>
        <w:tc>
          <w:tcPr>
            <w:tcW w:w="1213" w:type="dxa"/>
            <w:tcBorders>
              <w:top w:val="single" w:sz="4" w:space="0" w:color="7D7D7D"/>
            </w:tcBorders>
          </w:tcPr>
          <w:p>
            <w:pPr>
              <w:pStyle w:val="TableParagraph"/>
              <w:rPr>
                <w:sz w:val="14"/>
              </w:rPr>
            </w:pPr>
          </w:p>
        </w:tc>
        <w:tc>
          <w:tcPr>
            <w:tcW w:w="1199" w:type="dxa"/>
            <w:tcBorders>
              <w:top w:val="single" w:sz="4" w:space="0" w:color="7D7D7D"/>
            </w:tcBorders>
          </w:tcPr>
          <w:p>
            <w:pPr>
              <w:pStyle w:val="TableParagraph"/>
              <w:rPr>
                <w:sz w:val="14"/>
              </w:rPr>
            </w:pPr>
          </w:p>
        </w:tc>
        <w:tc>
          <w:tcPr>
            <w:tcW w:w="1235" w:type="dxa"/>
            <w:tcBorders>
              <w:top w:val="single" w:sz="4" w:space="0" w:color="7D7D7D"/>
            </w:tcBorders>
          </w:tcPr>
          <w:p>
            <w:pPr>
              <w:pStyle w:val="TableParagraph"/>
              <w:rPr>
                <w:sz w:val="14"/>
              </w:rPr>
            </w:pPr>
          </w:p>
        </w:tc>
        <w:tc>
          <w:tcPr>
            <w:tcW w:w="1165" w:type="dxa"/>
            <w:tcBorders>
              <w:top w:val="single" w:sz="4" w:space="0" w:color="7D7D7D"/>
            </w:tcBorders>
          </w:tcPr>
          <w:p>
            <w:pPr>
              <w:pStyle w:val="TableParagraph"/>
              <w:rPr>
                <w:sz w:val="14"/>
              </w:rPr>
            </w:pPr>
          </w:p>
        </w:tc>
      </w:tr>
      <w:tr>
        <w:trPr>
          <w:trHeight w:val="398" w:hRule="atLeast"/>
        </w:trPr>
        <w:tc>
          <w:tcPr>
            <w:tcW w:w="1129" w:type="dxa"/>
            <w:tcBorders>
              <w:bottom w:val="single" w:sz="4" w:space="0" w:color="7D7D7D"/>
            </w:tcBorders>
          </w:tcPr>
          <w:p>
            <w:pPr>
              <w:pStyle w:val="TableParagraph"/>
              <w:rPr>
                <w:sz w:val="22"/>
              </w:rPr>
            </w:pPr>
          </w:p>
        </w:tc>
        <w:tc>
          <w:tcPr>
            <w:tcW w:w="1173" w:type="dxa"/>
            <w:tcBorders>
              <w:bottom w:val="single" w:sz="4" w:space="0" w:color="7D7D7D"/>
            </w:tcBorders>
          </w:tcPr>
          <w:p>
            <w:pPr>
              <w:pStyle w:val="TableParagraph"/>
              <w:ind w:left="109"/>
              <w:rPr>
                <w:sz w:val="20"/>
              </w:rPr>
            </w:pPr>
            <w:r>
              <w:rPr>
                <w:spacing w:val="-10"/>
                <w:sz w:val="20"/>
              </w:rPr>
              <w:t>3</w:t>
            </w:r>
          </w:p>
        </w:tc>
        <w:tc>
          <w:tcPr>
            <w:tcW w:w="836" w:type="dxa"/>
            <w:tcBorders>
              <w:bottom w:val="single" w:sz="4" w:space="0" w:color="7D7D7D"/>
            </w:tcBorders>
          </w:tcPr>
          <w:p>
            <w:pPr>
              <w:pStyle w:val="TableParagraph"/>
              <w:rPr>
                <w:sz w:val="22"/>
              </w:rPr>
            </w:pPr>
          </w:p>
        </w:tc>
        <w:tc>
          <w:tcPr>
            <w:tcW w:w="1213" w:type="dxa"/>
            <w:tcBorders>
              <w:bottom w:val="single" w:sz="4" w:space="0" w:color="7D7D7D"/>
            </w:tcBorders>
          </w:tcPr>
          <w:p>
            <w:pPr>
              <w:pStyle w:val="TableParagraph"/>
              <w:rPr>
                <w:sz w:val="22"/>
              </w:rPr>
            </w:pPr>
          </w:p>
        </w:tc>
        <w:tc>
          <w:tcPr>
            <w:tcW w:w="1199" w:type="dxa"/>
            <w:tcBorders>
              <w:bottom w:val="single" w:sz="4" w:space="0" w:color="7D7D7D"/>
            </w:tcBorders>
          </w:tcPr>
          <w:p>
            <w:pPr>
              <w:pStyle w:val="TableParagraph"/>
              <w:rPr>
                <w:sz w:val="22"/>
              </w:rPr>
            </w:pPr>
          </w:p>
        </w:tc>
        <w:tc>
          <w:tcPr>
            <w:tcW w:w="1235" w:type="dxa"/>
            <w:tcBorders>
              <w:bottom w:val="single" w:sz="4" w:space="0" w:color="7D7D7D"/>
            </w:tcBorders>
          </w:tcPr>
          <w:p>
            <w:pPr>
              <w:pStyle w:val="TableParagraph"/>
              <w:rPr>
                <w:sz w:val="22"/>
              </w:rPr>
            </w:pPr>
          </w:p>
        </w:tc>
        <w:tc>
          <w:tcPr>
            <w:tcW w:w="1165" w:type="dxa"/>
            <w:tcBorders>
              <w:bottom w:val="single" w:sz="4" w:space="0" w:color="7D7D7D"/>
            </w:tcBorders>
          </w:tcPr>
          <w:p>
            <w:pPr>
              <w:pStyle w:val="TableParagraph"/>
              <w:rPr>
                <w:sz w:val="22"/>
              </w:rPr>
            </w:pPr>
          </w:p>
        </w:tc>
      </w:tr>
    </w:tbl>
    <w:p>
      <w:pPr>
        <w:spacing w:line="242" w:lineRule="auto" w:before="13"/>
        <w:ind w:left="994" w:right="705" w:firstLine="0"/>
        <w:jc w:val="both"/>
        <w:rPr>
          <w:sz w:val="20"/>
        </w:rPr>
      </w:pPr>
      <w:r>
        <w:rPr>
          <w:i/>
          <w:sz w:val="20"/>
        </w:rPr>
        <w:t>Nota. </w:t>
      </w:r>
      <w:r>
        <w:rPr>
          <w:sz w:val="20"/>
        </w:rPr>
        <w:t>Análisis estadístico (ANOVA de una vía) de los datos experimentales obtenidos en el laboratorio de la Universidad Estatal de Bolívar.</w:t>
      </w:r>
    </w:p>
    <w:p>
      <w:pPr>
        <w:pStyle w:val="BodyText"/>
        <w:spacing w:line="362" w:lineRule="auto" w:before="58"/>
        <w:ind w:left="994" w:right="714"/>
        <w:jc w:val="both"/>
      </w:pPr>
      <w:r>
        <w:rPr/>
        <w:t>La</w:t>
      </w:r>
      <w:r>
        <w:rPr>
          <w:spacing w:val="-11"/>
        </w:rPr>
        <w:t> </w:t>
      </w:r>
      <w:r>
        <w:rPr/>
        <w:t>Tabla</w:t>
      </w:r>
      <w:r>
        <w:rPr>
          <w:spacing w:val="-11"/>
        </w:rPr>
        <w:t> </w:t>
      </w:r>
      <w:r>
        <w:rPr/>
        <w:t>6</w:t>
      </w:r>
      <w:r>
        <w:rPr>
          <w:spacing w:val="-12"/>
        </w:rPr>
        <w:t> </w:t>
      </w:r>
      <w:r>
        <w:rPr/>
        <w:t>muestra</w:t>
      </w:r>
      <w:r>
        <w:rPr>
          <w:spacing w:val="-11"/>
        </w:rPr>
        <w:t> </w:t>
      </w:r>
      <w:r>
        <w:rPr/>
        <w:t>un</w:t>
      </w:r>
      <w:r>
        <w:rPr>
          <w:spacing w:val="-12"/>
        </w:rPr>
        <w:t> </w:t>
      </w:r>
      <w:r>
        <w:rPr/>
        <w:t>análisis</w:t>
      </w:r>
      <w:r>
        <w:rPr>
          <w:spacing w:val="-13"/>
        </w:rPr>
        <w:t> </w:t>
      </w:r>
      <w:r>
        <w:rPr/>
        <w:t>de</w:t>
      </w:r>
      <w:r>
        <w:rPr>
          <w:spacing w:val="-11"/>
        </w:rPr>
        <w:t> </w:t>
      </w:r>
      <w:r>
        <w:rPr/>
        <w:t>varianza</w:t>
      </w:r>
      <w:r>
        <w:rPr>
          <w:spacing w:val="-14"/>
        </w:rPr>
        <w:t> </w:t>
      </w:r>
      <w:r>
        <w:rPr/>
        <w:t>unifactorial,</w:t>
      </w:r>
      <w:r>
        <w:rPr>
          <w:spacing w:val="-12"/>
        </w:rPr>
        <w:t> </w:t>
      </w:r>
      <w:r>
        <w:rPr/>
        <w:t>una</w:t>
      </w:r>
      <w:r>
        <w:rPr>
          <w:spacing w:val="-11"/>
        </w:rPr>
        <w:t> </w:t>
      </w:r>
      <w:r>
        <w:rPr/>
        <w:t>herramienta</w:t>
      </w:r>
      <w:r>
        <w:rPr>
          <w:spacing w:val="-11"/>
        </w:rPr>
        <w:t> </w:t>
      </w:r>
      <w:r>
        <w:rPr/>
        <w:t>usada</w:t>
      </w:r>
      <w:r>
        <w:rPr>
          <w:spacing w:val="-11"/>
        </w:rPr>
        <w:t> </w:t>
      </w:r>
      <w:r>
        <w:rPr/>
        <w:t>para detectar</w:t>
      </w:r>
      <w:r>
        <w:rPr>
          <w:spacing w:val="-1"/>
        </w:rPr>
        <w:t> </w:t>
      </w:r>
      <w:r>
        <w:rPr/>
        <w:t>disparidades</w:t>
      </w:r>
      <w:r>
        <w:rPr>
          <w:spacing w:val="-2"/>
        </w:rPr>
        <w:t> </w:t>
      </w:r>
      <w:r>
        <w:rPr/>
        <w:t>entre diversas</w:t>
      </w:r>
      <w:r>
        <w:rPr>
          <w:spacing w:val="-2"/>
        </w:rPr>
        <w:t> </w:t>
      </w:r>
      <w:r>
        <w:rPr/>
        <w:t>modalidades</w:t>
      </w:r>
      <w:r>
        <w:rPr>
          <w:spacing w:val="-2"/>
        </w:rPr>
        <w:t> </w:t>
      </w:r>
      <w:r>
        <w:rPr/>
        <w:t>de tratamiento.</w:t>
      </w:r>
      <w:r>
        <w:rPr>
          <w:spacing w:val="-1"/>
        </w:rPr>
        <w:t> </w:t>
      </w:r>
      <w:r>
        <w:rPr/>
        <w:t>El análisis</w:t>
      </w:r>
      <w:r>
        <w:rPr>
          <w:spacing w:val="-2"/>
        </w:rPr>
        <w:t> </w:t>
      </w:r>
      <w:r>
        <w:rPr/>
        <w:t>reveló una mayor dispersión entre grupos que la que se apreció dentro de cada grupo, ilustrado por un valor F de 44,73. Además, el valor p subsiguiente, registrado en 2,38 × 10^-6, resultó menor que la significancia preestablecida (α = 0,05). Consecuentemente,</w:t>
      </w:r>
      <w:r>
        <w:rPr>
          <w:spacing w:val="-1"/>
        </w:rPr>
        <w:t> </w:t>
      </w:r>
      <w:r>
        <w:rPr/>
        <w:t>se desestimó</w:t>
      </w:r>
      <w:r>
        <w:rPr>
          <w:spacing w:val="-1"/>
        </w:rPr>
        <w:t> </w:t>
      </w:r>
      <w:r>
        <w:rPr/>
        <w:t>la hipótesis</w:t>
      </w:r>
      <w:r>
        <w:rPr>
          <w:spacing w:val="-2"/>
        </w:rPr>
        <w:t> </w:t>
      </w:r>
      <w:r>
        <w:rPr/>
        <w:t>nula,</w:t>
      </w:r>
      <w:r>
        <w:rPr>
          <w:spacing w:val="-1"/>
        </w:rPr>
        <w:t> </w:t>
      </w:r>
      <w:r>
        <w:rPr/>
        <w:t>confirmando,</w:t>
      </w:r>
      <w:r>
        <w:rPr>
          <w:spacing w:val="-1"/>
        </w:rPr>
        <w:t> </w:t>
      </w:r>
      <w:r>
        <w:rPr/>
        <w:t>estadísticamente, </w:t>
      </w:r>
      <w:r>
        <w:rPr>
          <w:spacing w:val="-2"/>
        </w:rPr>
        <w:t>discrepancias</w:t>
      </w:r>
      <w:r>
        <w:rPr>
          <w:spacing w:val="-1"/>
        </w:rPr>
        <w:t> </w:t>
      </w:r>
      <w:r>
        <w:rPr>
          <w:spacing w:val="-2"/>
        </w:rPr>
        <w:t>sustanciales</w:t>
      </w:r>
      <w:r>
        <w:rPr>
          <w:spacing w:val="1"/>
        </w:rPr>
        <w:t> </w:t>
      </w:r>
      <w:r>
        <w:rPr>
          <w:spacing w:val="-2"/>
        </w:rPr>
        <w:t>entre los</w:t>
      </w:r>
      <w:r>
        <w:rPr>
          <w:spacing w:val="-6"/>
        </w:rPr>
        <w:t> </w:t>
      </w:r>
      <w:r>
        <w:rPr>
          <w:spacing w:val="-2"/>
        </w:rPr>
        <w:t>métodos</w:t>
      </w:r>
      <w:r>
        <w:rPr>
          <w:spacing w:val="-1"/>
        </w:rPr>
        <w:t> </w:t>
      </w:r>
      <w:r>
        <w:rPr>
          <w:spacing w:val="-2"/>
        </w:rPr>
        <w:t>terapéuticos</w:t>
      </w:r>
      <w:r>
        <w:rPr/>
        <w:t> </w:t>
      </w:r>
      <w:r>
        <w:rPr>
          <w:spacing w:val="-2"/>
        </w:rPr>
        <w:t>analizados</w:t>
      </w:r>
      <w:r>
        <w:rPr>
          <w:spacing w:val="-1"/>
        </w:rPr>
        <w:t> </w:t>
      </w:r>
      <w:r>
        <w:rPr>
          <w:spacing w:val="-2"/>
        </w:rPr>
        <w:t>para el</w:t>
      </w:r>
      <w:r>
        <w:rPr>
          <w:spacing w:val="4"/>
        </w:rPr>
        <w:t> </w:t>
      </w:r>
      <w:r>
        <w:rPr>
          <w:spacing w:val="-2"/>
        </w:rPr>
        <w:t>MRSA.</w:t>
      </w:r>
    </w:p>
    <w:p>
      <w:pPr>
        <w:pStyle w:val="BodyText"/>
        <w:spacing w:before="256"/>
      </w:pPr>
    </w:p>
    <w:p>
      <w:pPr>
        <w:pStyle w:val="BodyText"/>
        <w:spacing w:line="362" w:lineRule="auto"/>
        <w:ind w:left="994" w:right="712"/>
        <w:jc w:val="both"/>
      </w:pPr>
      <w:r>
        <w:rPr/>
        <w:t>Esta conclusión señala que los tratamientos no poseen idéntico impacto antibacteriano,</w:t>
      </w:r>
      <w:r>
        <w:rPr>
          <w:spacing w:val="-7"/>
        </w:rPr>
        <w:t> </w:t>
      </w:r>
      <w:r>
        <w:rPr/>
        <w:t>lo</w:t>
      </w:r>
      <w:r>
        <w:rPr>
          <w:spacing w:val="-10"/>
        </w:rPr>
        <w:t> </w:t>
      </w:r>
      <w:r>
        <w:rPr/>
        <w:t>cual</w:t>
      </w:r>
      <w:r>
        <w:rPr>
          <w:spacing w:val="-6"/>
        </w:rPr>
        <w:t> </w:t>
      </w:r>
      <w:r>
        <w:rPr/>
        <w:t>se</w:t>
      </w:r>
      <w:r>
        <w:rPr>
          <w:spacing w:val="-5"/>
        </w:rPr>
        <w:t> </w:t>
      </w:r>
      <w:r>
        <w:rPr/>
        <w:t>alinea</w:t>
      </w:r>
      <w:r>
        <w:rPr>
          <w:spacing w:val="-5"/>
        </w:rPr>
        <w:t> </w:t>
      </w:r>
      <w:r>
        <w:rPr/>
        <w:t>con</w:t>
      </w:r>
      <w:r>
        <w:rPr>
          <w:spacing w:val="-7"/>
        </w:rPr>
        <w:t> </w:t>
      </w:r>
      <w:r>
        <w:rPr/>
        <w:t>lo</w:t>
      </w:r>
      <w:r>
        <w:rPr>
          <w:spacing w:val="-7"/>
        </w:rPr>
        <w:t> </w:t>
      </w:r>
      <w:r>
        <w:rPr/>
        <w:t>documentado</w:t>
      </w:r>
      <w:r>
        <w:rPr>
          <w:spacing w:val="-7"/>
        </w:rPr>
        <w:t> </w:t>
      </w:r>
      <w:r>
        <w:rPr/>
        <w:t>por</w:t>
      </w:r>
      <w:r>
        <w:rPr>
          <w:spacing w:val="-6"/>
        </w:rPr>
        <w:t> </w:t>
      </w:r>
      <w:r>
        <w:rPr/>
        <w:t>Stokes</w:t>
      </w:r>
      <w:r>
        <w:rPr>
          <w:spacing w:val="-8"/>
        </w:rPr>
        <w:t> </w:t>
      </w:r>
      <w:r>
        <w:rPr/>
        <w:t>et</w:t>
      </w:r>
      <w:r>
        <w:rPr>
          <w:spacing w:val="-6"/>
        </w:rPr>
        <w:t> </w:t>
      </w:r>
      <w:r>
        <w:rPr/>
        <w:t>al.</w:t>
      </w:r>
      <w:r>
        <w:rPr>
          <w:spacing w:val="-7"/>
        </w:rPr>
        <w:t> </w:t>
      </w:r>
      <w:r>
        <w:rPr/>
        <w:t>(2023).</w:t>
      </w:r>
      <w:r>
        <w:rPr>
          <w:spacing w:val="-6"/>
        </w:rPr>
        <w:t> </w:t>
      </w:r>
      <w:r>
        <w:rPr/>
        <w:t>Estos autores indican que en investigaciones in vitro contra patógenos resistentes, el ANOVA</w:t>
      </w:r>
      <w:r>
        <w:rPr>
          <w:spacing w:val="-15"/>
        </w:rPr>
        <w:t> </w:t>
      </w:r>
      <w:r>
        <w:rPr/>
        <w:t>frecuentemente</w:t>
      </w:r>
      <w:r>
        <w:rPr>
          <w:spacing w:val="-15"/>
        </w:rPr>
        <w:t> </w:t>
      </w:r>
      <w:r>
        <w:rPr/>
        <w:t>halla</w:t>
      </w:r>
      <w:r>
        <w:rPr>
          <w:spacing w:val="-15"/>
        </w:rPr>
        <w:t> </w:t>
      </w:r>
      <w:r>
        <w:rPr/>
        <w:t>divergencias</w:t>
      </w:r>
      <w:r>
        <w:rPr>
          <w:spacing w:val="-15"/>
        </w:rPr>
        <w:t> </w:t>
      </w:r>
      <w:r>
        <w:rPr/>
        <w:t>notables,</w:t>
      </w:r>
      <w:r>
        <w:rPr>
          <w:spacing w:val="-15"/>
        </w:rPr>
        <w:t> </w:t>
      </w:r>
      <w:r>
        <w:rPr/>
        <w:t>atribuidas</w:t>
      </w:r>
      <w:r>
        <w:rPr>
          <w:spacing w:val="-15"/>
        </w:rPr>
        <w:t> </w:t>
      </w:r>
      <w:r>
        <w:rPr/>
        <w:t>a</w:t>
      </w:r>
      <w:r>
        <w:rPr>
          <w:spacing w:val="-15"/>
        </w:rPr>
        <w:t> </w:t>
      </w:r>
      <w:r>
        <w:rPr/>
        <w:t>las</w:t>
      </w:r>
      <w:r>
        <w:rPr>
          <w:spacing w:val="-15"/>
        </w:rPr>
        <w:t> </w:t>
      </w:r>
      <w:r>
        <w:rPr/>
        <w:t>diferencias</w:t>
      </w:r>
      <w:r>
        <w:rPr>
          <w:spacing w:val="-15"/>
        </w:rPr>
        <w:t> </w:t>
      </w:r>
      <w:r>
        <w:rPr/>
        <w:t>en los modos de acción de las sustancias antimicrobianas en cuestión.</w:t>
      </w:r>
    </w:p>
    <w:p>
      <w:pPr>
        <w:pStyle w:val="BodyText"/>
        <w:spacing w:line="360" w:lineRule="auto" w:before="237"/>
        <w:ind w:left="994" w:right="699"/>
        <w:jc w:val="both"/>
      </w:pPr>
      <w:r>
        <w:rPr/>
        <w:t>Este resultado indica que los tratamintos evaluados no presentan el mismo efecto antibacteriano, lo cual concuerda con lo descrito por Stokes et al. (2023), quienes señalan que en estudios in vitro frente a bacterias resistentes, el análisis ANOVA suele evidenciar diferencias significativas debido a la variabilidad en los mecanismos de acción de los compuestos antimicrobianos evaluados.</w:t>
      </w:r>
    </w:p>
    <w:p>
      <w:pPr>
        <w:pStyle w:val="BodyText"/>
        <w:spacing w:line="360" w:lineRule="auto" w:before="243"/>
        <w:ind w:left="994" w:right="694"/>
        <w:jc w:val="both"/>
      </w:pPr>
      <w:r>
        <w:rPr/>
        <w:t>De igual forma, Wright (2022) menciona que la presencia de diferencias estadísticamente significativas en ensayos microbiológicos frente a MRSA es esperable, especialmente cuando se comparan antibióticos con diferentes mecanismos</w:t>
      </w:r>
      <w:r>
        <w:rPr>
          <w:spacing w:val="-14"/>
        </w:rPr>
        <w:t> </w:t>
      </w:r>
      <w:r>
        <w:rPr/>
        <w:t>de</w:t>
      </w:r>
      <w:r>
        <w:rPr>
          <w:spacing w:val="-14"/>
        </w:rPr>
        <w:t> </w:t>
      </w:r>
      <w:r>
        <w:rPr/>
        <w:t>acción,</w:t>
      </w:r>
      <w:r>
        <w:rPr>
          <w:spacing w:val="-14"/>
        </w:rPr>
        <w:t> </w:t>
      </w:r>
      <w:r>
        <w:rPr/>
        <w:t>como</w:t>
      </w:r>
      <w:r>
        <w:rPr>
          <w:spacing w:val="-14"/>
        </w:rPr>
        <w:t> </w:t>
      </w:r>
      <w:r>
        <w:rPr/>
        <w:t>β-lactámicos</w:t>
      </w:r>
      <w:r>
        <w:rPr>
          <w:spacing w:val="-15"/>
        </w:rPr>
        <w:t> </w:t>
      </w:r>
      <w:r>
        <w:rPr/>
        <w:t>y</w:t>
      </w:r>
      <w:r>
        <w:rPr>
          <w:spacing w:val="-11"/>
        </w:rPr>
        <w:t> </w:t>
      </w:r>
      <w:r>
        <w:rPr/>
        <w:t>fluoroquinolonas,</w:t>
      </w:r>
      <w:r>
        <w:rPr>
          <w:spacing w:val="-11"/>
        </w:rPr>
        <w:t> </w:t>
      </w:r>
      <w:r>
        <w:rPr/>
        <w:t>frente</w:t>
      </w:r>
      <w:r>
        <w:rPr>
          <w:spacing w:val="-11"/>
        </w:rPr>
        <w:t> </w:t>
      </w:r>
      <w:r>
        <w:rPr/>
        <w:t>a</w:t>
      </w:r>
      <w:r>
        <w:rPr>
          <w:spacing w:val="-14"/>
        </w:rPr>
        <w:t> </w:t>
      </w:r>
      <w:r>
        <w:rPr/>
        <w:t>compuestos alternativos como el cannabidiol (CBD), lo cual coincide con los resultados obtenidos en esta investigación.</w:t>
      </w:r>
    </w:p>
    <w:p>
      <w:pPr>
        <w:pStyle w:val="BodyText"/>
        <w:spacing w:after="0" w:line="360" w:lineRule="auto"/>
        <w:jc w:val="both"/>
        <w:sectPr>
          <w:pgSz w:w="11900" w:h="16840"/>
          <w:pgMar w:top="1620" w:bottom="280" w:left="1275" w:right="992"/>
        </w:sectPr>
      </w:pPr>
    </w:p>
    <w:p>
      <w:pPr>
        <w:pStyle w:val="Heading3"/>
        <w:numPr>
          <w:ilvl w:val="2"/>
          <w:numId w:val="16"/>
        </w:numPr>
        <w:tabs>
          <w:tab w:pos="1702" w:val="left" w:leader="none"/>
        </w:tabs>
        <w:spacing w:line="240" w:lineRule="auto" w:before="76" w:after="0"/>
        <w:ind w:left="1702" w:right="0" w:hanging="708"/>
        <w:jc w:val="both"/>
      </w:pPr>
      <w:bookmarkStart w:name="_bookmark44" w:id="45"/>
      <w:bookmarkEnd w:id="45"/>
      <w:r>
        <w:rPr>
          <w:b w:val="0"/>
        </w:rPr>
      </w:r>
      <w:r>
        <w:rPr/>
        <w:t>Comparación</w:t>
      </w:r>
      <w:r>
        <w:rPr>
          <w:spacing w:val="-9"/>
        </w:rPr>
        <w:t> </w:t>
      </w:r>
      <w:r>
        <w:rPr/>
        <w:t>de</w:t>
      </w:r>
      <w:r>
        <w:rPr>
          <w:spacing w:val="-3"/>
        </w:rPr>
        <w:t> </w:t>
      </w:r>
      <w:r>
        <w:rPr/>
        <w:t>tratamientos</w:t>
      </w:r>
      <w:r>
        <w:rPr>
          <w:spacing w:val="-8"/>
        </w:rPr>
        <w:t> </w:t>
      </w:r>
      <w:r>
        <w:rPr>
          <w:spacing w:val="-2"/>
        </w:rPr>
        <w:t>antimicrobianos</w:t>
      </w:r>
    </w:p>
    <w:p>
      <w:pPr>
        <w:pStyle w:val="BodyText"/>
        <w:spacing w:before="104"/>
        <w:rPr>
          <w:b/>
        </w:rPr>
      </w:pPr>
    </w:p>
    <w:p>
      <w:pPr>
        <w:spacing w:before="0"/>
        <w:ind w:left="994" w:right="0" w:firstLine="0"/>
        <w:jc w:val="left"/>
        <w:rPr>
          <w:b/>
          <w:sz w:val="24"/>
        </w:rPr>
      </w:pPr>
      <w:bookmarkStart w:name="_bookmark45" w:id="46"/>
      <w:bookmarkEnd w:id="46"/>
      <w:r>
        <w:rPr/>
      </w:r>
      <w:r>
        <w:rPr>
          <w:b/>
          <w:sz w:val="24"/>
        </w:rPr>
        <w:t>Figura </w:t>
      </w:r>
      <w:r>
        <w:rPr>
          <w:b/>
          <w:spacing w:val="-10"/>
          <w:sz w:val="24"/>
        </w:rPr>
        <w:t>2</w:t>
      </w:r>
    </w:p>
    <w:p>
      <w:pPr>
        <w:pStyle w:val="BodyText"/>
        <w:rPr>
          <w:b/>
        </w:rPr>
      </w:pPr>
    </w:p>
    <w:p>
      <w:pPr>
        <w:spacing w:before="0"/>
        <w:ind w:left="994" w:right="0" w:firstLine="0"/>
        <w:jc w:val="left"/>
        <w:rPr>
          <w:i/>
          <w:sz w:val="24"/>
        </w:rPr>
      </w:pPr>
      <w:r>
        <w:rPr>
          <w:i/>
          <w:sz w:val="24"/>
        </w:rPr>
        <w:drawing>
          <wp:anchor distT="0" distB="0" distL="0" distR="0" allowOverlap="1" layoutInCell="1" locked="0" behindDoc="1" simplePos="0" relativeHeight="487595520">
            <wp:simplePos x="0" y="0"/>
            <wp:positionH relativeFrom="page">
              <wp:posOffset>1374521</wp:posOffset>
            </wp:positionH>
            <wp:positionV relativeFrom="paragraph">
              <wp:posOffset>188019</wp:posOffset>
            </wp:positionV>
            <wp:extent cx="4897171" cy="2874264"/>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10" cstate="print"/>
                    <a:stretch>
                      <a:fillRect/>
                    </a:stretch>
                  </pic:blipFill>
                  <pic:spPr>
                    <a:xfrm>
                      <a:off x="0" y="0"/>
                      <a:ext cx="4897171" cy="2874264"/>
                    </a:xfrm>
                    <a:prstGeom prst="rect">
                      <a:avLst/>
                    </a:prstGeom>
                  </pic:spPr>
                </pic:pic>
              </a:graphicData>
            </a:graphic>
          </wp:anchor>
        </w:drawing>
      </w:r>
      <w:r>
        <w:rPr>
          <w:i/>
          <w:sz w:val="24"/>
        </w:rPr>
        <w:t>Comparación</w:t>
      </w:r>
      <w:r>
        <w:rPr>
          <w:i/>
          <w:spacing w:val="-15"/>
          <w:sz w:val="24"/>
        </w:rPr>
        <w:t> </w:t>
      </w:r>
      <w:r>
        <w:rPr>
          <w:i/>
          <w:sz w:val="24"/>
        </w:rPr>
        <w:t>de</w:t>
      </w:r>
      <w:r>
        <w:rPr>
          <w:i/>
          <w:spacing w:val="-8"/>
          <w:sz w:val="24"/>
        </w:rPr>
        <w:t> </w:t>
      </w:r>
      <w:r>
        <w:rPr>
          <w:i/>
          <w:sz w:val="24"/>
        </w:rPr>
        <w:t>tratamientos</w:t>
      </w:r>
      <w:r>
        <w:rPr>
          <w:i/>
          <w:spacing w:val="-13"/>
          <w:sz w:val="24"/>
        </w:rPr>
        <w:t> </w:t>
      </w:r>
      <w:r>
        <w:rPr>
          <w:i/>
          <w:sz w:val="24"/>
        </w:rPr>
        <w:t>antimicrobianos</w:t>
      </w:r>
      <w:r>
        <w:rPr>
          <w:i/>
          <w:spacing w:val="-14"/>
          <w:sz w:val="24"/>
        </w:rPr>
        <w:t> </w:t>
      </w:r>
      <w:r>
        <w:rPr>
          <w:i/>
          <w:spacing w:val="-2"/>
          <w:sz w:val="24"/>
        </w:rPr>
        <w:t>(Boxplot)</w:t>
      </w:r>
    </w:p>
    <w:p>
      <w:pPr>
        <w:spacing w:line="249" w:lineRule="auto" w:before="145"/>
        <w:ind w:left="994" w:right="0" w:firstLine="0"/>
        <w:jc w:val="left"/>
        <w:rPr>
          <w:sz w:val="20"/>
        </w:rPr>
      </w:pPr>
      <w:r>
        <w:rPr>
          <w:i/>
          <w:sz w:val="20"/>
        </w:rPr>
        <w:t>Nota.</w:t>
      </w:r>
      <w:r>
        <w:rPr>
          <w:i/>
          <w:spacing w:val="39"/>
          <w:sz w:val="20"/>
        </w:rPr>
        <w:t> </w:t>
      </w:r>
      <w:r>
        <w:rPr>
          <w:sz w:val="20"/>
        </w:rPr>
        <w:t>Estudio</w:t>
      </w:r>
      <w:r>
        <w:rPr>
          <w:spacing w:val="32"/>
          <w:sz w:val="20"/>
        </w:rPr>
        <w:t> </w:t>
      </w:r>
      <w:r>
        <w:rPr>
          <w:sz w:val="20"/>
        </w:rPr>
        <w:t>estadístico</w:t>
      </w:r>
      <w:r>
        <w:rPr>
          <w:spacing w:val="36"/>
          <w:sz w:val="20"/>
        </w:rPr>
        <w:t> </w:t>
      </w:r>
      <w:r>
        <w:rPr>
          <w:sz w:val="20"/>
        </w:rPr>
        <w:t>de</w:t>
      </w:r>
      <w:r>
        <w:rPr>
          <w:spacing w:val="36"/>
          <w:sz w:val="20"/>
        </w:rPr>
        <w:t> </w:t>
      </w:r>
      <w:r>
        <w:rPr>
          <w:sz w:val="20"/>
        </w:rPr>
        <w:t>la</w:t>
      </w:r>
      <w:r>
        <w:rPr>
          <w:spacing w:val="36"/>
          <w:sz w:val="20"/>
        </w:rPr>
        <w:t> </w:t>
      </w:r>
      <w:r>
        <w:rPr>
          <w:sz w:val="20"/>
        </w:rPr>
        <w:t>data</w:t>
      </w:r>
      <w:r>
        <w:rPr>
          <w:spacing w:val="36"/>
          <w:sz w:val="20"/>
        </w:rPr>
        <w:t> </w:t>
      </w:r>
      <w:r>
        <w:rPr>
          <w:sz w:val="20"/>
        </w:rPr>
        <w:t>experimental</w:t>
      </w:r>
      <w:r>
        <w:rPr>
          <w:spacing w:val="37"/>
          <w:sz w:val="20"/>
        </w:rPr>
        <w:t> </w:t>
      </w:r>
      <w:r>
        <w:rPr>
          <w:sz w:val="20"/>
        </w:rPr>
        <w:t>utilizando</w:t>
      </w:r>
      <w:r>
        <w:rPr>
          <w:spacing w:val="36"/>
          <w:sz w:val="20"/>
        </w:rPr>
        <w:t> </w:t>
      </w:r>
      <w:r>
        <w:rPr>
          <w:sz w:val="20"/>
        </w:rPr>
        <w:t>RStudio,</w:t>
      </w:r>
      <w:r>
        <w:rPr>
          <w:spacing w:val="38"/>
          <w:sz w:val="20"/>
        </w:rPr>
        <w:t> </w:t>
      </w:r>
      <w:r>
        <w:rPr>
          <w:sz w:val="20"/>
        </w:rPr>
        <w:t>emanation</w:t>
      </w:r>
      <w:r>
        <w:rPr>
          <w:spacing w:val="32"/>
          <w:sz w:val="20"/>
        </w:rPr>
        <w:t> </w:t>
      </w:r>
      <w:r>
        <w:rPr>
          <w:sz w:val="20"/>
        </w:rPr>
        <w:t>de</w:t>
      </w:r>
      <w:r>
        <w:rPr>
          <w:spacing w:val="36"/>
          <w:sz w:val="20"/>
        </w:rPr>
        <w:t> </w:t>
      </w:r>
      <w:r>
        <w:rPr>
          <w:sz w:val="20"/>
        </w:rPr>
        <w:t>resultados procedentes del laboratorio universitario de Bolívar.</w:t>
      </w:r>
    </w:p>
    <w:p>
      <w:pPr>
        <w:pStyle w:val="BodyText"/>
        <w:spacing w:before="6"/>
        <w:rPr>
          <w:sz w:val="20"/>
        </w:rPr>
      </w:pPr>
    </w:p>
    <w:p>
      <w:pPr>
        <w:pStyle w:val="BodyText"/>
        <w:spacing w:line="360" w:lineRule="auto"/>
        <w:ind w:left="994" w:right="712"/>
        <w:jc w:val="both"/>
      </w:pPr>
      <w:r>
        <w:rPr/>
        <w:t>La cualificación estadística fue aumentada por la representación visual a través</w:t>
      </w:r>
      <w:r>
        <w:rPr>
          <w:spacing w:val="-1"/>
        </w:rPr>
        <w:t> </w:t>
      </w:r>
      <w:r>
        <w:rPr/>
        <w:t>de gráficos de caja; estas representaciones facilitaron el escrutinio de la variabilidad diametral</w:t>
      </w:r>
      <w:r>
        <w:rPr>
          <w:spacing w:val="-9"/>
        </w:rPr>
        <w:t> </w:t>
      </w:r>
      <w:r>
        <w:rPr/>
        <w:t>en</w:t>
      </w:r>
      <w:r>
        <w:rPr>
          <w:spacing w:val="-11"/>
        </w:rPr>
        <w:t> </w:t>
      </w:r>
      <w:r>
        <w:rPr/>
        <w:t>las</w:t>
      </w:r>
      <w:r>
        <w:rPr>
          <w:spacing w:val="-12"/>
        </w:rPr>
        <w:t> </w:t>
      </w:r>
      <w:r>
        <w:rPr/>
        <w:t>áreas</w:t>
      </w:r>
      <w:r>
        <w:rPr>
          <w:spacing w:val="-8"/>
        </w:rPr>
        <w:t> </w:t>
      </w:r>
      <w:r>
        <w:rPr/>
        <w:t>de</w:t>
      </w:r>
      <w:r>
        <w:rPr>
          <w:spacing w:val="-9"/>
        </w:rPr>
        <w:t> </w:t>
      </w:r>
      <w:r>
        <w:rPr/>
        <w:t>inhibición</w:t>
      </w:r>
      <w:r>
        <w:rPr>
          <w:spacing w:val="-10"/>
        </w:rPr>
        <w:t> </w:t>
      </w:r>
      <w:r>
        <w:rPr/>
        <w:t>correlacionadas</w:t>
      </w:r>
      <w:r>
        <w:rPr>
          <w:spacing w:val="-12"/>
        </w:rPr>
        <w:t> </w:t>
      </w:r>
      <w:r>
        <w:rPr/>
        <w:t>con</w:t>
      </w:r>
      <w:r>
        <w:rPr>
          <w:spacing w:val="-10"/>
        </w:rPr>
        <w:t> </w:t>
      </w:r>
      <w:r>
        <w:rPr/>
        <w:t>cada</w:t>
      </w:r>
      <w:r>
        <w:rPr>
          <w:spacing w:val="-9"/>
        </w:rPr>
        <w:t> </w:t>
      </w:r>
      <w:r>
        <w:rPr/>
        <w:t>tratamiento</w:t>
      </w:r>
      <w:r>
        <w:rPr>
          <w:spacing w:val="-7"/>
        </w:rPr>
        <w:t> </w:t>
      </w:r>
      <w:r>
        <w:rPr/>
        <w:t>puesto</w:t>
      </w:r>
      <w:r>
        <w:rPr>
          <w:spacing w:val="-11"/>
        </w:rPr>
        <w:t> </w:t>
      </w:r>
      <w:r>
        <w:rPr/>
        <w:t>en práctica. Destacablemente, la enrofloxacina exhibió un valor mediano superior al igual</w:t>
      </w:r>
      <w:r>
        <w:rPr>
          <w:spacing w:val="-8"/>
        </w:rPr>
        <w:t> </w:t>
      </w:r>
      <w:r>
        <w:rPr/>
        <w:t>que</w:t>
      </w:r>
      <w:r>
        <w:rPr>
          <w:spacing w:val="-7"/>
        </w:rPr>
        <w:t> </w:t>
      </w:r>
      <w:r>
        <w:rPr/>
        <w:t>una</w:t>
      </w:r>
      <w:r>
        <w:rPr>
          <w:spacing w:val="-7"/>
        </w:rPr>
        <w:t> </w:t>
      </w:r>
      <w:r>
        <w:rPr/>
        <w:t>notable</w:t>
      </w:r>
      <w:r>
        <w:rPr>
          <w:spacing w:val="-7"/>
        </w:rPr>
        <w:t> </w:t>
      </w:r>
      <w:r>
        <w:rPr/>
        <w:t>disminución</w:t>
      </w:r>
      <w:r>
        <w:rPr>
          <w:spacing w:val="-12"/>
        </w:rPr>
        <w:t> </w:t>
      </w:r>
      <w:r>
        <w:rPr/>
        <w:t>en</w:t>
      </w:r>
      <w:r>
        <w:rPr>
          <w:spacing w:val="-9"/>
        </w:rPr>
        <w:t> </w:t>
      </w:r>
      <w:r>
        <w:rPr/>
        <w:t>la</w:t>
      </w:r>
      <w:r>
        <w:rPr>
          <w:spacing w:val="-7"/>
        </w:rPr>
        <w:t> </w:t>
      </w:r>
      <w:r>
        <w:rPr/>
        <w:t>dispersión,</w:t>
      </w:r>
      <w:r>
        <w:rPr>
          <w:spacing w:val="-9"/>
        </w:rPr>
        <w:t> </w:t>
      </w:r>
      <w:r>
        <w:rPr/>
        <w:t>señalamiento</w:t>
      </w:r>
      <w:r>
        <w:rPr>
          <w:spacing w:val="-9"/>
        </w:rPr>
        <w:t> </w:t>
      </w:r>
      <w:r>
        <w:rPr/>
        <w:t>de</w:t>
      </w:r>
      <w:r>
        <w:rPr>
          <w:spacing w:val="-7"/>
        </w:rPr>
        <w:t> </w:t>
      </w:r>
      <w:r>
        <w:rPr/>
        <w:t>una</w:t>
      </w:r>
      <w:r>
        <w:rPr>
          <w:spacing w:val="-7"/>
        </w:rPr>
        <w:t> </w:t>
      </w:r>
      <w:r>
        <w:rPr/>
        <w:t>influencia inhibitoria sólida en contra de las cepas de Staphylococcus aureus resistentes a meticilina (MRSA). En contraste, el CBD formulado en etanol y la amoxicilina manifestaron</w:t>
      </w:r>
      <w:r>
        <w:rPr>
          <w:spacing w:val="-15"/>
        </w:rPr>
        <w:t> </w:t>
      </w:r>
      <w:r>
        <w:rPr/>
        <w:t>medianas</w:t>
      </w:r>
      <w:r>
        <w:rPr>
          <w:spacing w:val="-15"/>
        </w:rPr>
        <w:t> </w:t>
      </w:r>
      <w:r>
        <w:rPr/>
        <w:t>en</w:t>
      </w:r>
      <w:r>
        <w:rPr>
          <w:spacing w:val="-12"/>
        </w:rPr>
        <w:t> </w:t>
      </w:r>
      <w:r>
        <w:rPr/>
        <w:t>un</w:t>
      </w:r>
      <w:r>
        <w:rPr>
          <w:spacing w:val="-15"/>
        </w:rPr>
        <w:t> </w:t>
      </w:r>
      <w:r>
        <w:rPr/>
        <w:t>espectro</w:t>
      </w:r>
      <w:r>
        <w:rPr>
          <w:spacing w:val="-11"/>
        </w:rPr>
        <w:t> </w:t>
      </w:r>
      <w:r>
        <w:rPr/>
        <w:t>intermedio;</w:t>
      </w:r>
      <w:r>
        <w:rPr>
          <w:spacing w:val="-14"/>
        </w:rPr>
        <w:t> </w:t>
      </w:r>
      <w:r>
        <w:rPr/>
        <w:t>en</w:t>
      </w:r>
      <w:r>
        <w:rPr>
          <w:spacing w:val="-15"/>
        </w:rPr>
        <w:t> </w:t>
      </w:r>
      <w:r>
        <w:rPr/>
        <w:t>oposición</w:t>
      </w:r>
      <w:r>
        <w:rPr>
          <w:spacing w:val="-15"/>
        </w:rPr>
        <w:t> </w:t>
      </w:r>
      <w:r>
        <w:rPr/>
        <w:t>a</w:t>
      </w:r>
      <w:r>
        <w:rPr>
          <w:spacing w:val="-14"/>
        </w:rPr>
        <w:t> </w:t>
      </w:r>
      <w:r>
        <w:rPr/>
        <w:t>ello,</w:t>
      </w:r>
      <w:r>
        <w:rPr>
          <w:spacing w:val="-15"/>
        </w:rPr>
        <w:t> </w:t>
      </w:r>
      <w:r>
        <w:rPr/>
        <w:t>la</w:t>
      </w:r>
      <w:r>
        <w:rPr>
          <w:spacing w:val="-14"/>
        </w:rPr>
        <w:t> </w:t>
      </w:r>
      <w:r>
        <w:rPr/>
        <w:t>cefalexina y el CBD disperso en DMSO convergieron hacia niveles de inhibición menos </w:t>
      </w:r>
      <w:r>
        <w:rPr>
          <w:spacing w:val="-2"/>
        </w:rPr>
        <w:t>acentuados.</w:t>
      </w:r>
    </w:p>
    <w:p>
      <w:pPr>
        <w:pStyle w:val="BodyText"/>
        <w:spacing w:line="360" w:lineRule="auto" w:before="165"/>
        <w:ind w:left="994" w:right="704"/>
        <w:jc w:val="both"/>
      </w:pPr>
      <w:r>
        <w:rPr/>
        <w:t>La escasa dispersión, palpable en la enrofloxacina, subraya la consistencia en su potencial antibacteriano. Dicha observación concuerda de manera destacada con hallazgos de Liu y colaboradores (2021), así como de Zhang y su equipo (2021), quienes ponen de relieve la uniformidad bactericida de las fluoroquinolonas, atribuida</w:t>
      </w:r>
      <w:r>
        <w:rPr>
          <w:spacing w:val="4"/>
        </w:rPr>
        <w:t> </w:t>
      </w:r>
      <w:r>
        <w:rPr/>
        <w:t>a</w:t>
      </w:r>
      <w:r>
        <w:rPr>
          <w:spacing w:val="4"/>
        </w:rPr>
        <w:t> </w:t>
      </w:r>
      <w:r>
        <w:rPr/>
        <w:t>su</w:t>
      </w:r>
      <w:r>
        <w:rPr>
          <w:spacing w:val="6"/>
        </w:rPr>
        <w:t> </w:t>
      </w:r>
      <w:r>
        <w:rPr/>
        <w:t>interacción</w:t>
      </w:r>
      <w:r>
        <w:rPr>
          <w:spacing w:val="2"/>
        </w:rPr>
        <w:t> </w:t>
      </w:r>
      <w:r>
        <w:rPr/>
        <w:t>específica</w:t>
      </w:r>
      <w:r>
        <w:rPr>
          <w:spacing w:val="7"/>
        </w:rPr>
        <w:t> </w:t>
      </w:r>
      <w:r>
        <w:rPr/>
        <w:t>con</w:t>
      </w:r>
      <w:r>
        <w:rPr>
          <w:spacing w:val="2"/>
        </w:rPr>
        <w:t> </w:t>
      </w:r>
      <w:r>
        <w:rPr/>
        <w:t>las</w:t>
      </w:r>
      <w:r>
        <w:rPr>
          <w:spacing w:val="5"/>
        </w:rPr>
        <w:t> </w:t>
      </w:r>
      <w:r>
        <w:rPr/>
        <w:t>enzimas</w:t>
      </w:r>
      <w:r>
        <w:rPr>
          <w:spacing w:val="5"/>
        </w:rPr>
        <w:t> </w:t>
      </w:r>
      <w:r>
        <w:rPr/>
        <w:t>ADN</w:t>
      </w:r>
      <w:r>
        <w:rPr>
          <w:spacing w:val="5"/>
        </w:rPr>
        <w:t> </w:t>
      </w:r>
      <w:r>
        <w:rPr/>
        <w:t>girasa</w:t>
      </w:r>
      <w:r>
        <w:rPr>
          <w:spacing w:val="7"/>
        </w:rPr>
        <w:t> </w:t>
      </w:r>
      <w:r>
        <w:rPr/>
        <w:t>y</w:t>
      </w:r>
      <w:r>
        <w:rPr>
          <w:spacing w:val="2"/>
        </w:rPr>
        <w:t> </w:t>
      </w:r>
      <w:r>
        <w:rPr>
          <w:spacing w:val="-2"/>
        </w:rPr>
        <w:t>topoisomerasa</w:t>
      </w:r>
    </w:p>
    <w:p>
      <w:pPr>
        <w:pStyle w:val="BodyText"/>
        <w:spacing w:line="275" w:lineRule="exact"/>
        <w:ind w:left="994"/>
        <w:jc w:val="both"/>
      </w:pPr>
      <w:r>
        <w:rPr/>
        <w:t>IV.</w:t>
      </w:r>
      <w:r>
        <w:rPr>
          <w:spacing w:val="16"/>
        </w:rPr>
        <w:t> </w:t>
      </w:r>
      <w:r>
        <w:rPr/>
        <w:t>Dicha</w:t>
      </w:r>
      <w:r>
        <w:rPr>
          <w:spacing w:val="17"/>
        </w:rPr>
        <w:t> </w:t>
      </w:r>
      <w:r>
        <w:rPr/>
        <w:t>especificidad</w:t>
      </w:r>
      <w:r>
        <w:rPr>
          <w:spacing w:val="14"/>
        </w:rPr>
        <w:t> </w:t>
      </w:r>
      <w:r>
        <w:rPr/>
        <w:t>molecular,</w:t>
      </w:r>
      <w:r>
        <w:rPr>
          <w:spacing w:val="15"/>
        </w:rPr>
        <w:t> </w:t>
      </w:r>
      <w:r>
        <w:rPr/>
        <w:t>se</w:t>
      </w:r>
      <w:r>
        <w:rPr>
          <w:spacing w:val="17"/>
        </w:rPr>
        <w:t> </w:t>
      </w:r>
      <w:r>
        <w:rPr/>
        <w:t>argumenta,</w:t>
      </w:r>
      <w:r>
        <w:rPr>
          <w:spacing w:val="14"/>
        </w:rPr>
        <w:t> </w:t>
      </w:r>
      <w:r>
        <w:rPr/>
        <w:t>tiende</w:t>
      </w:r>
      <w:r>
        <w:rPr>
          <w:spacing w:val="17"/>
        </w:rPr>
        <w:t> </w:t>
      </w:r>
      <w:r>
        <w:rPr/>
        <w:t>a</w:t>
      </w:r>
      <w:r>
        <w:rPr>
          <w:spacing w:val="16"/>
        </w:rPr>
        <w:t> </w:t>
      </w:r>
      <w:r>
        <w:rPr/>
        <w:t>mitigar</w:t>
      </w:r>
      <w:r>
        <w:rPr>
          <w:spacing w:val="15"/>
        </w:rPr>
        <w:t> </w:t>
      </w:r>
      <w:r>
        <w:rPr/>
        <w:t>la</w:t>
      </w:r>
      <w:r>
        <w:rPr>
          <w:spacing w:val="17"/>
        </w:rPr>
        <w:t> </w:t>
      </w:r>
      <w:r>
        <w:rPr>
          <w:spacing w:val="-2"/>
        </w:rPr>
        <w:t>variabilidad</w:t>
      </w:r>
    </w:p>
    <w:p>
      <w:pPr>
        <w:pStyle w:val="BodyText"/>
        <w:spacing w:after="0" w:line="275" w:lineRule="exact"/>
        <w:jc w:val="both"/>
        <w:sectPr>
          <w:pgSz w:w="11900" w:h="16840"/>
          <w:pgMar w:top="1560" w:bottom="280" w:left="1275" w:right="992"/>
        </w:sectPr>
      </w:pPr>
    </w:p>
    <w:p>
      <w:pPr>
        <w:pStyle w:val="BodyText"/>
        <w:spacing w:before="60"/>
        <w:ind w:left="994"/>
        <w:jc w:val="both"/>
      </w:pPr>
      <w:r>
        <w:rPr/>
        <w:t>en</w:t>
      </w:r>
      <w:r>
        <w:rPr>
          <w:spacing w:val="-3"/>
        </w:rPr>
        <w:t> </w:t>
      </w:r>
      <w:r>
        <w:rPr/>
        <w:t>la respuesta de</w:t>
      </w:r>
      <w:r>
        <w:rPr>
          <w:spacing w:val="-4"/>
        </w:rPr>
        <w:t> </w:t>
      </w:r>
      <w:r>
        <w:rPr/>
        <w:t>cepas</w:t>
      </w:r>
      <w:r>
        <w:rPr>
          <w:spacing w:val="-3"/>
        </w:rPr>
        <w:t> </w:t>
      </w:r>
      <w:r>
        <w:rPr/>
        <w:t>bacterianas</w:t>
      </w:r>
      <w:r>
        <w:rPr>
          <w:spacing w:val="-3"/>
        </w:rPr>
        <w:t> </w:t>
      </w:r>
      <w:r>
        <w:rPr/>
        <w:t>de</w:t>
      </w:r>
      <w:r>
        <w:rPr>
          <w:spacing w:val="-4"/>
        </w:rPr>
        <w:t> </w:t>
      </w:r>
      <w:r>
        <w:rPr/>
        <w:t>resistencia</w:t>
      </w:r>
      <w:r>
        <w:rPr>
          <w:spacing w:val="1"/>
        </w:rPr>
        <w:t> </w:t>
      </w:r>
      <w:r>
        <w:rPr>
          <w:spacing w:val="-2"/>
        </w:rPr>
        <w:t>demostrada.</w:t>
      </w:r>
    </w:p>
    <w:p>
      <w:pPr>
        <w:pStyle w:val="BodyText"/>
        <w:spacing w:before="20"/>
      </w:pPr>
    </w:p>
    <w:p>
      <w:pPr>
        <w:pStyle w:val="BodyText"/>
        <w:spacing w:line="360" w:lineRule="auto"/>
        <w:ind w:left="994" w:right="699"/>
        <w:jc w:val="both"/>
      </w:pPr>
      <w:r>
        <w:rPr/>
        <w:t>En cuanto a la localización central ocupada por el CBD en etanol y la amoxicilina en el espectro de resultados, ello se interpreta como una variabilidad contenida en su desempeño inhibitorio. Esta particular conducta encuentra eco en los planteamientos de Fuller et al. (2022), quienes postulan que la acción del cannabidiol puede ser modulada por diferencias intrínsecas en el medio de dispersión empleado y su consiguiente interacción con la envoltura celular bacteriana.</w:t>
      </w:r>
      <w:r>
        <w:rPr>
          <w:spacing w:val="-15"/>
        </w:rPr>
        <w:t> </w:t>
      </w:r>
      <w:r>
        <w:rPr/>
        <w:t>Opuestamente,</w:t>
      </w:r>
      <w:r>
        <w:rPr>
          <w:spacing w:val="-15"/>
        </w:rPr>
        <w:t> </w:t>
      </w:r>
      <w:r>
        <w:rPr/>
        <w:t>la</w:t>
      </w:r>
      <w:r>
        <w:rPr>
          <w:spacing w:val="-15"/>
        </w:rPr>
        <w:t> </w:t>
      </w:r>
      <w:r>
        <w:rPr/>
        <w:t>cefalexina,</w:t>
      </w:r>
      <w:r>
        <w:rPr>
          <w:spacing w:val="-15"/>
        </w:rPr>
        <w:t> </w:t>
      </w:r>
      <w:r>
        <w:rPr/>
        <w:t>empero</w:t>
      </w:r>
      <w:r>
        <w:rPr>
          <w:spacing w:val="-15"/>
        </w:rPr>
        <w:t> </w:t>
      </w:r>
      <w:r>
        <w:rPr/>
        <w:t>el</w:t>
      </w:r>
      <w:r>
        <w:rPr>
          <w:spacing w:val="-15"/>
        </w:rPr>
        <w:t> </w:t>
      </w:r>
      <w:r>
        <w:rPr/>
        <w:t>CBD,</w:t>
      </w:r>
      <w:r>
        <w:rPr>
          <w:spacing w:val="-15"/>
        </w:rPr>
        <w:t> </w:t>
      </w:r>
      <w:r>
        <w:rPr/>
        <w:t>al</w:t>
      </w:r>
      <w:r>
        <w:rPr>
          <w:spacing w:val="-15"/>
        </w:rPr>
        <w:t> </w:t>
      </w:r>
      <w:r>
        <w:rPr/>
        <w:t>ser</w:t>
      </w:r>
      <w:r>
        <w:rPr>
          <w:spacing w:val="-15"/>
        </w:rPr>
        <w:t> </w:t>
      </w:r>
      <w:r>
        <w:rPr/>
        <w:t>disueltos</w:t>
      </w:r>
      <w:r>
        <w:rPr>
          <w:spacing w:val="-15"/>
        </w:rPr>
        <w:t> </w:t>
      </w:r>
      <w:r>
        <w:rPr/>
        <w:t>en</w:t>
      </w:r>
      <w:r>
        <w:rPr>
          <w:spacing w:val="-15"/>
        </w:rPr>
        <w:t> </w:t>
      </w:r>
      <w:r>
        <w:rPr/>
        <w:t>DMSO, revelaron medianas numéricamente más bajas junto a un coeficiente de variación superior en términos relativos. Esto a su vez, da indicativo de una potencia disminuida ante la infección por MRSA. Dicho hallazgo, de manera notable, coincide y se encuentra en resonancia con los trabajos investigativos previos de Wright</w:t>
      </w:r>
      <w:r>
        <w:rPr>
          <w:spacing w:val="-6"/>
        </w:rPr>
        <w:t> </w:t>
      </w:r>
      <w:r>
        <w:rPr/>
        <w:t>en</w:t>
      </w:r>
      <w:r>
        <w:rPr>
          <w:spacing w:val="-2"/>
        </w:rPr>
        <w:t> </w:t>
      </w:r>
      <w:r>
        <w:rPr/>
        <w:t>el</w:t>
      </w:r>
      <w:r>
        <w:rPr>
          <w:spacing w:val="-1"/>
        </w:rPr>
        <w:t> </w:t>
      </w:r>
      <w:r>
        <w:rPr/>
        <w:t>año</w:t>
      </w:r>
      <w:r>
        <w:rPr>
          <w:spacing w:val="-2"/>
        </w:rPr>
        <w:t> </w:t>
      </w:r>
      <w:r>
        <w:rPr/>
        <w:t>2022</w:t>
      </w:r>
      <w:r>
        <w:rPr>
          <w:spacing w:val="-7"/>
        </w:rPr>
        <w:t> </w:t>
      </w:r>
      <w:r>
        <w:rPr/>
        <w:t>y</w:t>
      </w:r>
      <w:r>
        <w:rPr>
          <w:spacing w:val="-2"/>
        </w:rPr>
        <w:t> </w:t>
      </w:r>
      <w:r>
        <w:rPr/>
        <w:t>de</w:t>
      </w:r>
      <w:r>
        <w:rPr>
          <w:spacing w:val="-1"/>
        </w:rPr>
        <w:t> </w:t>
      </w:r>
      <w:r>
        <w:rPr/>
        <w:t>Silva</w:t>
      </w:r>
      <w:r>
        <w:rPr>
          <w:spacing w:val="-5"/>
        </w:rPr>
        <w:t> </w:t>
      </w:r>
      <w:r>
        <w:rPr/>
        <w:t>en</w:t>
      </w:r>
      <w:r>
        <w:rPr>
          <w:spacing w:val="-2"/>
        </w:rPr>
        <w:t> </w:t>
      </w:r>
      <w:r>
        <w:rPr/>
        <w:t>compañía</w:t>
      </w:r>
      <w:r>
        <w:rPr>
          <w:spacing w:val="-1"/>
        </w:rPr>
        <w:t> </w:t>
      </w:r>
      <w:r>
        <w:rPr/>
        <w:t>de</w:t>
      </w:r>
      <w:r>
        <w:rPr>
          <w:spacing w:val="-1"/>
        </w:rPr>
        <w:t> </w:t>
      </w:r>
      <w:r>
        <w:rPr/>
        <w:t>sus</w:t>
      </w:r>
      <w:r>
        <w:rPr>
          <w:spacing w:val="-4"/>
        </w:rPr>
        <w:t> </w:t>
      </w:r>
      <w:r>
        <w:rPr/>
        <w:t>colaboradores</w:t>
      </w:r>
      <w:r>
        <w:rPr>
          <w:spacing w:val="-4"/>
        </w:rPr>
        <w:t> </w:t>
      </w:r>
      <w:r>
        <w:rPr/>
        <w:t>en</w:t>
      </w:r>
      <w:r>
        <w:rPr>
          <w:spacing w:val="-7"/>
        </w:rPr>
        <w:t> </w:t>
      </w:r>
      <w:r>
        <w:rPr/>
        <w:t>2023.</w:t>
      </w:r>
      <w:r>
        <w:rPr>
          <w:spacing w:val="-2"/>
        </w:rPr>
        <w:t> </w:t>
      </w:r>
      <w:r>
        <w:rPr/>
        <w:t>Ellos apuntan que</w:t>
      </w:r>
      <w:r>
        <w:rPr>
          <w:spacing w:val="-2"/>
        </w:rPr>
        <w:t> </w:t>
      </w:r>
      <w:r>
        <w:rPr/>
        <w:t>los</w:t>
      </w:r>
      <w:r>
        <w:rPr>
          <w:spacing w:val="-1"/>
        </w:rPr>
        <w:t> </w:t>
      </w:r>
      <w:r>
        <w:rPr/>
        <w:t>beta-lactámicos</w:t>
      </w:r>
      <w:r>
        <w:rPr>
          <w:spacing w:val="-4"/>
        </w:rPr>
        <w:t> </w:t>
      </w:r>
      <w:r>
        <w:rPr/>
        <w:t>antibióticos, con gran</w:t>
      </w:r>
      <w:r>
        <w:rPr>
          <w:spacing w:val="-3"/>
        </w:rPr>
        <w:t> </w:t>
      </w:r>
      <w:r>
        <w:rPr/>
        <w:t>frecuencia,</w:t>
      </w:r>
      <w:r>
        <w:rPr>
          <w:spacing w:val="-3"/>
        </w:rPr>
        <w:t> </w:t>
      </w:r>
      <w:r>
        <w:rPr/>
        <w:t>manifiestan</w:t>
      </w:r>
      <w:r>
        <w:rPr>
          <w:spacing w:val="-3"/>
        </w:rPr>
        <w:t> </w:t>
      </w:r>
      <w:r>
        <w:rPr/>
        <w:t>una efectividad bastante limitada junto a una variabilidad considerable cuando se enfrentan</w:t>
      </w:r>
      <w:r>
        <w:rPr>
          <w:spacing w:val="-7"/>
        </w:rPr>
        <w:t> </w:t>
      </w:r>
      <w:r>
        <w:rPr/>
        <w:t>a</w:t>
      </w:r>
      <w:r>
        <w:rPr>
          <w:spacing w:val="-1"/>
        </w:rPr>
        <w:t> </w:t>
      </w:r>
      <w:r>
        <w:rPr/>
        <w:t>cepas</w:t>
      </w:r>
      <w:r>
        <w:rPr>
          <w:spacing w:val="-4"/>
        </w:rPr>
        <w:t> </w:t>
      </w:r>
      <w:r>
        <w:rPr/>
        <w:t>ya</w:t>
      </w:r>
      <w:r>
        <w:rPr>
          <w:spacing w:val="-1"/>
        </w:rPr>
        <w:t> </w:t>
      </w:r>
      <w:r>
        <w:rPr/>
        <w:t>resistentes.</w:t>
      </w:r>
      <w:r>
        <w:rPr>
          <w:spacing w:val="-2"/>
        </w:rPr>
        <w:t> </w:t>
      </w:r>
      <w:r>
        <w:rPr/>
        <w:t>La</w:t>
      </w:r>
      <w:r>
        <w:rPr>
          <w:spacing w:val="-1"/>
        </w:rPr>
        <w:t> </w:t>
      </w:r>
      <w:r>
        <w:rPr/>
        <w:t>atribución</w:t>
      </w:r>
      <w:r>
        <w:rPr>
          <w:spacing w:val="-2"/>
        </w:rPr>
        <w:t> </w:t>
      </w:r>
      <w:r>
        <w:rPr/>
        <w:t>fundamental</w:t>
      </w:r>
      <w:r>
        <w:rPr>
          <w:spacing w:val="-1"/>
        </w:rPr>
        <w:t> </w:t>
      </w:r>
      <w:r>
        <w:rPr/>
        <w:t>de</w:t>
      </w:r>
      <w:r>
        <w:rPr>
          <w:spacing w:val="-1"/>
        </w:rPr>
        <w:t> </w:t>
      </w:r>
      <w:r>
        <w:rPr/>
        <w:t>esto,</w:t>
      </w:r>
      <w:r>
        <w:rPr>
          <w:spacing w:val="-2"/>
        </w:rPr>
        <w:t> </w:t>
      </w:r>
      <w:r>
        <w:rPr/>
        <w:t>segun</w:t>
      </w:r>
      <w:r>
        <w:rPr>
          <w:spacing w:val="-2"/>
        </w:rPr>
        <w:t> </w:t>
      </w:r>
      <w:r>
        <w:rPr/>
        <w:t>indican, reside en la presencia prevalente del gen mecA.</w:t>
      </w:r>
    </w:p>
    <w:p>
      <w:pPr>
        <w:pStyle w:val="BodyText"/>
        <w:spacing w:line="360" w:lineRule="auto" w:before="162"/>
        <w:ind w:left="994" w:right="702"/>
        <w:jc w:val="both"/>
      </w:pPr>
      <w:r>
        <w:rPr/>
        <w:t>Por otro lado, se observó que la cefalexina junto al CBD cuando estuvieron disueltos en DMSO, exhibieron cifras medias bajas en paralelo a un grado de dispersión relativa más alto. Una evidencia tangible de eficacia mermada ante la presencia de MRSA se desprende de esto. Aceptado lo anterior, este dictamen se alínea perfectamente con la obra de Wright (2022) y Silva et al. (2023). Ellos mismos señalan que los fármacos antibióticos de la familia de los beta-lactámicos tienden a presentar una eficacia bastante baja, sumado a una dispersión considerable, especialmente ante estirpes que ya muestran resistencia. Este fenómeno, cabe añadir, se debe primeramente a la intervención del gen mecA.</w:t>
      </w:r>
    </w:p>
    <w:p>
      <w:pPr>
        <w:pStyle w:val="BodyText"/>
        <w:spacing w:line="360" w:lineRule="auto" w:before="168"/>
        <w:ind w:left="994" w:right="700"/>
        <w:jc w:val="both"/>
      </w:pPr>
      <w:r>
        <w:rPr/>
        <w:t>La evidente segregación visual discernible entre los recuadros diagrama, además, cimienta con vigor los dictámenes derivados del análisis de varianza, el ANOVA. Así se ratifica que las disparidades previamente observadas en los distintos regímenes de tratamiento constituyen diferencias de índole estadísticamente relevante. Estas diferencias no pueden, bajo ninguna circunstancia, atribuirse al simple azar.</w:t>
      </w:r>
    </w:p>
    <w:p>
      <w:pPr>
        <w:pStyle w:val="BodyText"/>
        <w:spacing w:after="0" w:line="360" w:lineRule="auto"/>
        <w:jc w:val="both"/>
        <w:sectPr>
          <w:pgSz w:w="11900" w:h="16840"/>
          <w:pgMar w:top="1580" w:bottom="280" w:left="1275" w:right="992"/>
        </w:sectPr>
      </w:pPr>
    </w:p>
    <w:p>
      <w:pPr>
        <w:pStyle w:val="Heading3"/>
        <w:numPr>
          <w:ilvl w:val="1"/>
          <w:numId w:val="16"/>
        </w:numPr>
        <w:tabs>
          <w:tab w:pos="1426" w:val="left" w:leader="none"/>
        </w:tabs>
        <w:spacing w:line="240" w:lineRule="auto" w:before="60" w:after="0"/>
        <w:ind w:left="1426" w:right="0" w:hanging="432"/>
        <w:jc w:val="left"/>
      </w:pPr>
      <w:bookmarkStart w:name="_bookmark46" w:id="47"/>
      <w:bookmarkEnd w:id="47"/>
      <w:r>
        <w:rPr>
          <w:b w:val="0"/>
        </w:rPr>
      </w:r>
      <w:r>
        <w:rPr/>
        <w:t>Observación</w:t>
      </w:r>
      <w:r>
        <w:rPr>
          <w:spacing w:val="-15"/>
        </w:rPr>
        <w:t> </w:t>
      </w:r>
      <w:r>
        <w:rPr/>
        <w:t>Gráfica</w:t>
      </w:r>
      <w:r>
        <w:rPr>
          <w:spacing w:val="-9"/>
        </w:rPr>
        <w:t> </w:t>
      </w:r>
      <w:r>
        <w:rPr/>
        <w:t>De</w:t>
      </w:r>
      <w:r>
        <w:rPr>
          <w:spacing w:val="-5"/>
        </w:rPr>
        <w:t> </w:t>
      </w:r>
      <w:r>
        <w:rPr/>
        <w:t>Los</w:t>
      </w:r>
      <w:r>
        <w:rPr>
          <w:spacing w:val="-15"/>
        </w:rPr>
        <w:t> </w:t>
      </w:r>
      <w:r>
        <w:rPr/>
        <w:t>Tratamientos</w:t>
      </w:r>
      <w:r>
        <w:rPr>
          <w:spacing w:val="-10"/>
        </w:rPr>
        <w:t> </w:t>
      </w:r>
      <w:r>
        <w:rPr>
          <w:spacing w:val="-2"/>
        </w:rPr>
        <w:t>Combinados</w:t>
      </w:r>
    </w:p>
    <w:p>
      <w:pPr>
        <w:pStyle w:val="BodyText"/>
        <w:spacing w:before="104"/>
        <w:rPr>
          <w:b/>
        </w:rPr>
      </w:pPr>
    </w:p>
    <w:p>
      <w:pPr>
        <w:spacing w:before="0"/>
        <w:ind w:left="994" w:right="0" w:firstLine="0"/>
        <w:jc w:val="left"/>
        <w:rPr>
          <w:b/>
          <w:sz w:val="24"/>
        </w:rPr>
      </w:pPr>
      <w:bookmarkStart w:name="_bookmark47" w:id="48"/>
      <w:bookmarkEnd w:id="48"/>
      <w:r>
        <w:rPr/>
      </w:r>
      <w:r>
        <w:rPr>
          <w:b/>
          <w:sz w:val="24"/>
        </w:rPr>
        <w:t>Figura </w:t>
      </w:r>
      <w:r>
        <w:rPr>
          <w:b/>
          <w:spacing w:val="-10"/>
          <w:sz w:val="24"/>
        </w:rPr>
        <w:t>3</w:t>
      </w:r>
    </w:p>
    <w:p>
      <w:pPr>
        <w:pStyle w:val="BodyText"/>
        <w:rPr>
          <w:b/>
        </w:rPr>
      </w:pPr>
    </w:p>
    <w:p>
      <w:pPr>
        <w:spacing w:line="480" w:lineRule="auto" w:before="0"/>
        <w:ind w:left="994" w:right="603" w:firstLine="0"/>
        <w:jc w:val="left"/>
        <w:rPr>
          <w:i/>
          <w:sz w:val="24"/>
        </w:rPr>
      </w:pPr>
      <w:r>
        <w:rPr>
          <w:i/>
          <w:sz w:val="24"/>
        </w:rPr>
        <w:drawing>
          <wp:anchor distT="0" distB="0" distL="0" distR="0" allowOverlap="1" layoutInCell="1" locked="0" behindDoc="1" simplePos="0" relativeHeight="487596032">
            <wp:simplePos x="0" y="0"/>
            <wp:positionH relativeFrom="page">
              <wp:posOffset>1317878</wp:posOffset>
            </wp:positionH>
            <wp:positionV relativeFrom="paragraph">
              <wp:posOffset>706687</wp:posOffset>
            </wp:positionV>
            <wp:extent cx="5005270" cy="3171825"/>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11" cstate="print"/>
                    <a:stretch>
                      <a:fillRect/>
                    </a:stretch>
                  </pic:blipFill>
                  <pic:spPr>
                    <a:xfrm>
                      <a:off x="0" y="0"/>
                      <a:ext cx="5005270" cy="3171825"/>
                    </a:xfrm>
                    <a:prstGeom prst="rect">
                      <a:avLst/>
                    </a:prstGeom>
                  </pic:spPr>
                </pic:pic>
              </a:graphicData>
            </a:graphic>
          </wp:anchor>
        </w:drawing>
      </w:r>
      <w:r>
        <w:rPr>
          <w:i/>
          <w:sz w:val="24"/>
        </w:rPr>
        <w:t>Promedio</w:t>
      </w:r>
      <w:r>
        <w:rPr>
          <w:i/>
          <w:spacing w:val="-7"/>
          <w:sz w:val="24"/>
        </w:rPr>
        <w:t> </w:t>
      </w:r>
      <w:r>
        <w:rPr>
          <w:i/>
          <w:sz w:val="24"/>
        </w:rPr>
        <w:t>de</w:t>
      </w:r>
      <w:r>
        <w:rPr>
          <w:i/>
          <w:spacing w:val="-5"/>
          <w:sz w:val="24"/>
        </w:rPr>
        <w:t> </w:t>
      </w:r>
      <w:r>
        <w:rPr>
          <w:i/>
          <w:sz w:val="24"/>
        </w:rPr>
        <w:t>halos</w:t>
      </w:r>
      <w:r>
        <w:rPr>
          <w:i/>
          <w:spacing w:val="-13"/>
          <w:sz w:val="24"/>
        </w:rPr>
        <w:t> </w:t>
      </w:r>
      <w:r>
        <w:rPr>
          <w:i/>
          <w:sz w:val="24"/>
        </w:rPr>
        <w:t>de</w:t>
      </w:r>
      <w:r>
        <w:rPr>
          <w:i/>
          <w:spacing w:val="-10"/>
          <w:sz w:val="24"/>
        </w:rPr>
        <w:t> </w:t>
      </w:r>
      <w:r>
        <w:rPr>
          <w:i/>
          <w:sz w:val="24"/>
        </w:rPr>
        <w:t>inhibición</w:t>
      </w:r>
      <w:r>
        <w:rPr>
          <w:i/>
          <w:spacing w:val="-6"/>
          <w:sz w:val="24"/>
        </w:rPr>
        <w:t> </w:t>
      </w:r>
      <w:r>
        <w:rPr>
          <w:i/>
          <w:sz w:val="24"/>
        </w:rPr>
        <w:t>de</w:t>
      </w:r>
      <w:r>
        <w:rPr>
          <w:i/>
          <w:spacing w:val="-10"/>
          <w:sz w:val="24"/>
        </w:rPr>
        <w:t> </w:t>
      </w:r>
      <w:r>
        <w:rPr>
          <w:i/>
          <w:sz w:val="24"/>
        </w:rPr>
        <w:t>los</w:t>
      </w:r>
      <w:r>
        <w:rPr>
          <w:i/>
          <w:spacing w:val="-13"/>
          <w:sz w:val="24"/>
        </w:rPr>
        <w:t> </w:t>
      </w:r>
      <w:r>
        <w:rPr>
          <w:i/>
          <w:sz w:val="24"/>
        </w:rPr>
        <w:t>tratamientos</w:t>
      </w:r>
      <w:r>
        <w:rPr>
          <w:i/>
          <w:spacing w:val="-11"/>
          <w:sz w:val="24"/>
        </w:rPr>
        <w:t> </w:t>
      </w:r>
      <w:r>
        <w:rPr>
          <w:i/>
          <w:sz w:val="24"/>
        </w:rPr>
        <w:t>combinados</w:t>
      </w:r>
      <w:r>
        <w:rPr>
          <w:i/>
          <w:spacing w:val="-12"/>
          <w:sz w:val="24"/>
        </w:rPr>
        <w:t> </w:t>
      </w:r>
      <w:r>
        <w:rPr>
          <w:i/>
          <w:sz w:val="24"/>
        </w:rPr>
        <w:t>CBD</w:t>
      </w:r>
      <w:r>
        <w:rPr>
          <w:i/>
          <w:spacing w:val="-13"/>
          <w:sz w:val="24"/>
        </w:rPr>
        <w:t> </w:t>
      </w:r>
      <w:r>
        <w:rPr>
          <w:i/>
          <w:sz w:val="24"/>
        </w:rPr>
        <w:t>+ </w:t>
      </w:r>
      <w:r>
        <w:rPr>
          <w:i/>
          <w:spacing w:val="-2"/>
          <w:sz w:val="24"/>
        </w:rPr>
        <w:t>antibióticos.</w:t>
      </w:r>
    </w:p>
    <w:p>
      <w:pPr>
        <w:spacing w:line="247" w:lineRule="auto" w:before="3"/>
        <w:ind w:left="994" w:right="603" w:firstLine="0"/>
        <w:jc w:val="left"/>
        <w:rPr>
          <w:sz w:val="20"/>
        </w:rPr>
      </w:pPr>
      <w:r>
        <w:rPr>
          <w:i/>
          <w:sz w:val="20"/>
        </w:rPr>
        <w:t>Nota</w:t>
      </w:r>
      <w:r>
        <w:rPr>
          <w:sz w:val="20"/>
        </w:rPr>
        <w:t>. Ensayos</w:t>
      </w:r>
      <w:r>
        <w:rPr>
          <w:spacing w:val="-3"/>
          <w:sz w:val="20"/>
        </w:rPr>
        <w:t> </w:t>
      </w:r>
      <w:r>
        <w:rPr>
          <w:sz w:val="20"/>
        </w:rPr>
        <w:t>de</w:t>
      </w:r>
      <w:r>
        <w:rPr>
          <w:spacing w:val="-3"/>
          <w:sz w:val="20"/>
        </w:rPr>
        <w:t> </w:t>
      </w:r>
      <w:r>
        <w:rPr>
          <w:sz w:val="20"/>
        </w:rPr>
        <w:t>sensibilidad</w:t>
      </w:r>
      <w:r>
        <w:rPr>
          <w:spacing w:val="-3"/>
          <w:sz w:val="20"/>
        </w:rPr>
        <w:t> </w:t>
      </w:r>
      <w:r>
        <w:rPr>
          <w:sz w:val="20"/>
        </w:rPr>
        <w:t>antimicrobiana</w:t>
      </w:r>
      <w:r>
        <w:rPr>
          <w:spacing w:val="-4"/>
          <w:sz w:val="20"/>
        </w:rPr>
        <w:t> </w:t>
      </w:r>
      <w:r>
        <w:rPr>
          <w:sz w:val="20"/>
        </w:rPr>
        <w:t>realizados</w:t>
      </w:r>
      <w:r>
        <w:rPr>
          <w:spacing w:val="-5"/>
          <w:sz w:val="20"/>
        </w:rPr>
        <w:t> </w:t>
      </w:r>
      <w:r>
        <w:rPr>
          <w:sz w:val="20"/>
        </w:rPr>
        <w:t>en</w:t>
      </w:r>
      <w:r>
        <w:rPr>
          <w:spacing w:val="-3"/>
          <w:sz w:val="20"/>
        </w:rPr>
        <w:t> </w:t>
      </w:r>
      <w:r>
        <w:rPr>
          <w:sz w:val="20"/>
        </w:rPr>
        <w:t>el</w:t>
      </w:r>
      <w:r>
        <w:rPr>
          <w:spacing w:val="-2"/>
          <w:sz w:val="20"/>
        </w:rPr>
        <w:t> </w:t>
      </w:r>
      <w:r>
        <w:rPr>
          <w:sz w:val="20"/>
        </w:rPr>
        <w:t>laboratorio</w:t>
      </w:r>
      <w:r>
        <w:rPr>
          <w:spacing w:val="-2"/>
          <w:sz w:val="20"/>
        </w:rPr>
        <w:t> </w:t>
      </w:r>
      <w:r>
        <w:rPr>
          <w:sz w:val="20"/>
        </w:rPr>
        <w:t>de</w:t>
      </w:r>
      <w:r>
        <w:rPr>
          <w:spacing w:val="-7"/>
          <w:sz w:val="20"/>
        </w:rPr>
        <w:t> </w:t>
      </w:r>
      <w:r>
        <w:rPr>
          <w:sz w:val="20"/>
        </w:rPr>
        <w:t>la</w:t>
      </w:r>
      <w:r>
        <w:rPr>
          <w:spacing w:val="-3"/>
          <w:sz w:val="20"/>
        </w:rPr>
        <w:t> </w:t>
      </w:r>
      <w:r>
        <w:rPr>
          <w:sz w:val="20"/>
        </w:rPr>
        <w:t>Universidad</w:t>
      </w:r>
      <w:r>
        <w:rPr>
          <w:spacing w:val="-7"/>
          <w:sz w:val="20"/>
        </w:rPr>
        <w:t> </w:t>
      </w:r>
      <w:r>
        <w:rPr>
          <w:sz w:val="20"/>
        </w:rPr>
        <w:t>Estatal de Bolívar.</w:t>
      </w:r>
    </w:p>
    <w:p>
      <w:pPr>
        <w:pStyle w:val="BodyText"/>
        <w:spacing w:line="360" w:lineRule="auto" w:before="145"/>
        <w:ind w:left="994" w:right="694"/>
        <w:jc w:val="both"/>
      </w:pPr>
      <w:r>
        <w:rPr/>
        <w:t>El</w:t>
      </w:r>
      <w:r>
        <w:rPr>
          <w:spacing w:val="-1"/>
        </w:rPr>
        <w:t> </w:t>
      </w:r>
      <w:r>
        <w:rPr/>
        <w:t>gráfico</w:t>
      </w:r>
      <w:r>
        <w:rPr>
          <w:spacing w:val="-2"/>
        </w:rPr>
        <w:t> </w:t>
      </w:r>
      <w:r>
        <w:rPr/>
        <w:t>de</w:t>
      </w:r>
      <w:r>
        <w:rPr>
          <w:spacing w:val="-1"/>
        </w:rPr>
        <w:t> </w:t>
      </w:r>
      <w:r>
        <w:rPr/>
        <w:t>barras</w:t>
      </w:r>
      <w:r>
        <w:rPr>
          <w:spacing w:val="-4"/>
        </w:rPr>
        <w:t> </w:t>
      </w:r>
      <w:r>
        <w:rPr/>
        <w:t>muestra</w:t>
      </w:r>
      <w:r>
        <w:rPr>
          <w:spacing w:val="-5"/>
        </w:rPr>
        <w:t> </w:t>
      </w:r>
      <w:r>
        <w:rPr/>
        <w:t>el</w:t>
      </w:r>
      <w:r>
        <w:rPr>
          <w:spacing w:val="-1"/>
        </w:rPr>
        <w:t> </w:t>
      </w:r>
      <w:r>
        <w:rPr/>
        <w:t>promedio</w:t>
      </w:r>
      <w:r>
        <w:rPr>
          <w:spacing w:val="-7"/>
        </w:rPr>
        <w:t> </w:t>
      </w:r>
      <w:r>
        <w:rPr/>
        <w:t>del</w:t>
      </w:r>
      <w:r>
        <w:rPr>
          <w:spacing w:val="-1"/>
        </w:rPr>
        <w:t> </w:t>
      </w:r>
      <w:r>
        <w:rPr/>
        <w:t>halo</w:t>
      </w:r>
      <w:r>
        <w:rPr>
          <w:spacing w:val="-2"/>
        </w:rPr>
        <w:t> </w:t>
      </w:r>
      <w:r>
        <w:rPr/>
        <w:t>de</w:t>
      </w:r>
      <w:r>
        <w:rPr>
          <w:spacing w:val="-1"/>
        </w:rPr>
        <w:t> </w:t>
      </w:r>
      <w:r>
        <w:rPr/>
        <w:t>inhibición</w:t>
      </w:r>
      <w:r>
        <w:rPr>
          <w:spacing w:val="-7"/>
        </w:rPr>
        <w:t> </w:t>
      </w:r>
      <w:r>
        <w:rPr/>
        <w:t>en</w:t>
      </w:r>
      <w:r>
        <w:rPr>
          <w:spacing w:val="-2"/>
        </w:rPr>
        <w:t> </w:t>
      </w:r>
      <w:r>
        <w:rPr/>
        <w:t>los</w:t>
      </w:r>
      <w:r>
        <w:rPr>
          <w:spacing w:val="-4"/>
        </w:rPr>
        <w:t> </w:t>
      </w:r>
      <w:r>
        <w:rPr/>
        <w:t>tratamientos combinados de CBD con antibióticos convencionales. La combinación Enrofloxacina + CBD alcanzó el mayor promedio, con 24,5 mm, lo que refleja la acción antibacteriana más alta entre los tratamientos evaluados. Después se ubicó Amoxicilina + CBD, con un promedio intermedio de 15,8 mm, mientras que Cefalexina + CBD presentó el menor valor, con 9,3 mm, mostrando menor actividad inhibitoria frente a Staphylococcus aureus resistente a meticilina </w:t>
      </w:r>
      <w:r>
        <w:rPr>
          <w:spacing w:val="-2"/>
        </w:rPr>
        <w:t>(MRSA).</w:t>
      </w:r>
    </w:p>
    <w:p>
      <w:pPr>
        <w:pStyle w:val="BodyText"/>
        <w:spacing w:line="360" w:lineRule="auto" w:before="161"/>
        <w:ind w:left="994" w:right="705"/>
        <w:jc w:val="both"/>
      </w:pPr>
      <w:r>
        <w:rPr/>
        <w:t>El mayor efecto de la combinación Enrofloxacina + CBD sugiere una posible interacción</w:t>
      </w:r>
      <w:r>
        <w:rPr>
          <w:spacing w:val="-4"/>
        </w:rPr>
        <w:t> </w:t>
      </w:r>
      <w:r>
        <w:rPr/>
        <w:t>aditiva</w:t>
      </w:r>
      <w:r>
        <w:rPr>
          <w:spacing w:val="-2"/>
        </w:rPr>
        <w:t> </w:t>
      </w:r>
      <w:r>
        <w:rPr/>
        <w:t>o sinérgica</w:t>
      </w:r>
      <w:r>
        <w:rPr>
          <w:spacing w:val="-2"/>
        </w:rPr>
        <w:t> </w:t>
      </w:r>
      <w:r>
        <w:rPr/>
        <w:t>entre</w:t>
      </w:r>
      <w:r>
        <w:rPr>
          <w:spacing w:val="-2"/>
        </w:rPr>
        <w:t> </w:t>
      </w:r>
      <w:r>
        <w:rPr/>
        <w:t>ambos</w:t>
      </w:r>
      <w:r>
        <w:rPr>
          <w:spacing w:val="-1"/>
        </w:rPr>
        <w:t> </w:t>
      </w:r>
      <w:r>
        <w:rPr/>
        <w:t>compuestos, lo que podría</w:t>
      </w:r>
      <w:r>
        <w:rPr>
          <w:spacing w:val="-2"/>
        </w:rPr>
        <w:t> </w:t>
      </w:r>
      <w:r>
        <w:rPr/>
        <w:t>incrementar la inhibición del crecimiento bacteriano. Este comportamiento resulta coherente con Stokes et al. (2023), quienes explican que la unión de antimicrobianos con compuestos naturales puede mejorar la eficacia antibacteriana mediante mecanismos de acción complementarios.</w:t>
      </w:r>
    </w:p>
    <w:p>
      <w:pPr>
        <w:pStyle w:val="BodyText"/>
        <w:spacing w:after="0" w:line="360" w:lineRule="auto"/>
        <w:jc w:val="both"/>
        <w:sectPr>
          <w:pgSz w:w="11900" w:h="16840"/>
          <w:pgMar w:top="1580" w:bottom="280" w:left="1275" w:right="992"/>
        </w:sectPr>
      </w:pPr>
    </w:p>
    <w:p>
      <w:pPr>
        <w:pStyle w:val="BodyText"/>
        <w:spacing w:line="360" w:lineRule="auto" w:before="60"/>
        <w:ind w:left="994" w:right="707"/>
        <w:jc w:val="both"/>
      </w:pPr>
      <w:r>
        <w:rPr/>
        <w:t>Asimismo, Zhang et al. (2023) evidencian que fluoroquinolonas, tal es el caso de la enrofloxacina, ostentan considerable actividad intrínseca contra MRSA. Esta actividad intrínseca parece susceptible de amplificación, sobre todo cuando se les aúna con el cannabidiol, este último ejerce su influencia sobre la envoltura celular bacteriana, acrecentando su permeabilidad.</w:t>
      </w:r>
    </w:p>
    <w:p>
      <w:pPr>
        <w:pStyle w:val="BodyText"/>
        <w:spacing w:line="360" w:lineRule="auto" w:before="159"/>
        <w:ind w:left="994" w:right="686"/>
        <w:jc w:val="both"/>
      </w:pPr>
      <w:r>
        <w:rPr/>
        <w:t>Por otra parte, en el esquema de combinación Amoxicilina + CBD, el efecto que parece intermedio podría estar anclado en la limitada repercusión de los beta- lactámicos sobre MRSA, fenómeno este enlazado al gen mecA. A pesar de ello, investigaciones</w:t>
      </w:r>
      <w:r>
        <w:rPr>
          <w:spacing w:val="-13"/>
        </w:rPr>
        <w:t> </w:t>
      </w:r>
      <w:r>
        <w:rPr/>
        <w:t>de</w:t>
      </w:r>
      <w:r>
        <w:rPr>
          <w:spacing w:val="-14"/>
        </w:rPr>
        <w:t> </w:t>
      </w:r>
      <w:r>
        <w:rPr/>
        <w:t>Wright</w:t>
      </w:r>
      <w:r>
        <w:rPr>
          <w:spacing w:val="-14"/>
        </w:rPr>
        <w:t> </w:t>
      </w:r>
      <w:r>
        <w:rPr/>
        <w:t>del</w:t>
      </w:r>
      <w:r>
        <w:rPr>
          <w:spacing w:val="-14"/>
        </w:rPr>
        <w:t> </w:t>
      </w:r>
      <w:r>
        <w:rPr/>
        <w:t>2022</w:t>
      </w:r>
      <w:r>
        <w:rPr>
          <w:spacing w:val="-11"/>
        </w:rPr>
        <w:t> </w:t>
      </w:r>
      <w:r>
        <w:rPr/>
        <w:t>apuntan</w:t>
      </w:r>
      <w:r>
        <w:rPr>
          <w:spacing w:val="-11"/>
        </w:rPr>
        <w:t> </w:t>
      </w:r>
      <w:r>
        <w:rPr/>
        <w:t>que</w:t>
      </w:r>
      <w:r>
        <w:rPr>
          <w:spacing w:val="-10"/>
        </w:rPr>
        <w:t> </w:t>
      </w:r>
      <w:r>
        <w:rPr/>
        <w:t>el</w:t>
      </w:r>
      <w:r>
        <w:rPr>
          <w:spacing w:val="-10"/>
        </w:rPr>
        <w:t> </w:t>
      </w:r>
      <w:r>
        <w:rPr/>
        <w:t>CBD</w:t>
      </w:r>
      <w:r>
        <w:rPr>
          <w:spacing w:val="-13"/>
        </w:rPr>
        <w:t> </w:t>
      </w:r>
      <w:r>
        <w:rPr/>
        <w:t>puede</w:t>
      </w:r>
      <w:r>
        <w:rPr>
          <w:spacing w:val="-10"/>
        </w:rPr>
        <w:t> </w:t>
      </w:r>
      <w:r>
        <w:rPr/>
        <w:t>refinar</w:t>
      </w:r>
      <w:r>
        <w:rPr>
          <w:spacing w:val="-15"/>
        </w:rPr>
        <w:t> </w:t>
      </w:r>
      <w:r>
        <w:rPr/>
        <w:t>parcialmente la</w:t>
      </w:r>
      <w:r>
        <w:rPr>
          <w:spacing w:val="-15"/>
        </w:rPr>
        <w:t> </w:t>
      </w:r>
      <w:r>
        <w:rPr/>
        <w:t>efectividad</w:t>
      </w:r>
      <w:r>
        <w:rPr>
          <w:spacing w:val="-15"/>
        </w:rPr>
        <w:t> </w:t>
      </w:r>
      <w:r>
        <w:rPr/>
        <w:t>de</w:t>
      </w:r>
      <w:r>
        <w:rPr>
          <w:spacing w:val="-15"/>
        </w:rPr>
        <w:t> </w:t>
      </w:r>
      <w:r>
        <w:rPr/>
        <w:t>dichos</w:t>
      </w:r>
      <w:r>
        <w:rPr>
          <w:spacing w:val="-15"/>
        </w:rPr>
        <w:t> </w:t>
      </w:r>
      <w:r>
        <w:rPr/>
        <w:t>antibióticos,</w:t>
      </w:r>
      <w:r>
        <w:rPr>
          <w:spacing w:val="-15"/>
        </w:rPr>
        <w:t> </w:t>
      </w:r>
      <w:r>
        <w:rPr/>
        <w:t>al</w:t>
      </w:r>
      <w:r>
        <w:rPr>
          <w:spacing w:val="-15"/>
        </w:rPr>
        <w:t> </w:t>
      </w:r>
      <w:r>
        <w:rPr/>
        <w:t>modificar</w:t>
      </w:r>
      <w:r>
        <w:rPr>
          <w:spacing w:val="-15"/>
        </w:rPr>
        <w:t> </w:t>
      </w:r>
      <w:r>
        <w:rPr/>
        <w:t>la</w:t>
      </w:r>
      <w:r>
        <w:rPr>
          <w:spacing w:val="-15"/>
        </w:rPr>
        <w:t> </w:t>
      </w:r>
      <w:r>
        <w:rPr/>
        <w:t>membrana</w:t>
      </w:r>
      <w:r>
        <w:rPr>
          <w:spacing w:val="-15"/>
        </w:rPr>
        <w:t> </w:t>
      </w:r>
      <w:r>
        <w:rPr/>
        <w:t>bacteriana</w:t>
      </w:r>
      <w:r>
        <w:rPr>
          <w:spacing w:val="-15"/>
        </w:rPr>
        <w:t> </w:t>
      </w:r>
      <w:r>
        <w:rPr/>
        <w:t>y</w:t>
      </w:r>
      <w:r>
        <w:rPr>
          <w:spacing w:val="-14"/>
        </w:rPr>
        <w:t> </w:t>
      </w:r>
      <w:r>
        <w:rPr/>
        <w:t>facilitar así la penetración del principio activo.</w:t>
      </w:r>
    </w:p>
    <w:p>
      <w:pPr>
        <w:pStyle w:val="BodyText"/>
        <w:spacing w:line="360" w:lineRule="auto" w:before="165"/>
        <w:ind w:left="994" w:right="707"/>
        <w:jc w:val="both"/>
      </w:pPr>
      <w:r>
        <w:rPr/>
        <w:t>La mezcla Cefalexina + CBD mostró el promedio más bajo en términos de inhibición, reflejando así la escasa efectividad de este agente antibiótico contra MRSA, incluso tras la coadministración con CBD. Estos hallazgos se alinean con la</w:t>
      </w:r>
      <w:r>
        <w:rPr>
          <w:spacing w:val="-2"/>
        </w:rPr>
        <w:t> </w:t>
      </w:r>
      <w:r>
        <w:rPr/>
        <w:t>postura</w:t>
      </w:r>
      <w:r>
        <w:rPr>
          <w:spacing w:val="-2"/>
        </w:rPr>
        <w:t> </w:t>
      </w:r>
      <w:r>
        <w:rPr/>
        <w:t>de</w:t>
      </w:r>
      <w:r>
        <w:rPr>
          <w:spacing w:val="-2"/>
        </w:rPr>
        <w:t> </w:t>
      </w:r>
      <w:r>
        <w:rPr/>
        <w:t>Silva</w:t>
      </w:r>
      <w:r>
        <w:rPr>
          <w:spacing w:val="-2"/>
        </w:rPr>
        <w:t> </w:t>
      </w:r>
      <w:r>
        <w:rPr/>
        <w:t>y</w:t>
      </w:r>
      <w:r>
        <w:rPr>
          <w:spacing w:val="-8"/>
        </w:rPr>
        <w:t> </w:t>
      </w:r>
      <w:r>
        <w:rPr/>
        <w:t>colegas</w:t>
      </w:r>
      <w:r>
        <w:rPr>
          <w:spacing w:val="-5"/>
        </w:rPr>
        <w:t> </w:t>
      </w:r>
      <w:r>
        <w:rPr/>
        <w:t>del</w:t>
      </w:r>
      <w:r>
        <w:rPr>
          <w:spacing w:val="-2"/>
        </w:rPr>
        <w:t> </w:t>
      </w:r>
      <w:r>
        <w:rPr/>
        <w:t>2023,</w:t>
      </w:r>
      <w:r>
        <w:rPr>
          <w:spacing w:val="-3"/>
        </w:rPr>
        <w:t> </w:t>
      </w:r>
      <w:r>
        <w:rPr/>
        <w:t>quienes</w:t>
      </w:r>
      <w:r>
        <w:rPr>
          <w:spacing w:val="-5"/>
        </w:rPr>
        <w:t> </w:t>
      </w:r>
      <w:r>
        <w:rPr/>
        <w:t>sostienen</w:t>
      </w:r>
      <w:r>
        <w:rPr>
          <w:spacing w:val="-3"/>
        </w:rPr>
        <w:t> </w:t>
      </w:r>
      <w:r>
        <w:rPr/>
        <w:t>que</w:t>
      </w:r>
      <w:r>
        <w:rPr>
          <w:spacing w:val="-2"/>
        </w:rPr>
        <w:t> </w:t>
      </w:r>
      <w:r>
        <w:rPr/>
        <w:t>beta-lactámicos</w:t>
      </w:r>
      <w:r>
        <w:rPr>
          <w:spacing w:val="-5"/>
        </w:rPr>
        <w:t> </w:t>
      </w:r>
      <w:r>
        <w:rPr/>
        <w:t>de</w:t>
      </w:r>
      <w:r>
        <w:rPr>
          <w:spacing w:val="-2"/>
        </w:rPr>
        <w:t> </w:t>
      </w:r>
      <w:r>
        <w:rPr/>
        <w:t>la estirpe</w:t>
      </w:r>
      <w:r>
        <w:rPr>
          <w:spacing w:val="-15"/>
        </w:rPr>
        <w:t> </w:t>
      </w:r>
      <w:r>
        <w:rPr/>
        <w:t>de</w:t>
      </w:r>
      <w:r>
        <w:rPr>
          <w:spacing w:val="-15"/>
        </w:rPr>
        <w:t> </w:t>
      </w:r>
      <w:r>
        <w:rPr/>
        <w:t>la</w:t>
      </w:r>
      <w:r>
        <w:rPr>
          <w:spacing w:val="-15"/>
        </w:rPr>
        <w:t> </w:t>
      </w:r>
      <w:r>
        <w:rPr/>
        <w:t>cefalexina</w:t>
      </w:r>
      <w:r>
        <w:rPr>
          <w:spacing w:val="-15"/>
        </w:rPr>
        <w:t> </w:t>
      </w:r>
      <w:r>
        <w:rPr/>
        <w:t>exhiben</w:t>
      </w:r>
      <w:r>
        <w:rPr>
          <w:spacing w:val="-15"/>
        </w:rPr>
        <w:t> </w:t>
      </w:r>
      <w:r>
        <w:rPr/>
        <w:t>una</w:t>
      </w:r>
      <w:r>
        <w:rPr>
          <w:spacing w:val="-15"/>
        </w:rPr>
        <w:t> </w:t>
      </w:r>
      <w:r>
        <w:rPr/>
        <w:t>marcada</w:t>
      </w:r>
      <w:r>
        <w:rPr>
          <w:spacing w:val="-15"/>
        </w:rPr>
        <w:t> </w:t>
      </w:r>
      <w:r>
        <w:rPr/>
        <w:t>resistencia</w:t>
      </w:r>
      <w:r>
        <w:rPr>
          <w:spacing w:val="-15"/>
        </w:rPr>
        <w:t> </w:t>
      </w:r>
      <w:r>
        <w:rPr/>
        <w:t>frente</w:t>
      </w:r>
      <w:r>
        <w:rPr>
          <w:spacing w:val="-15"/>
        </w:rPr>
        <w:t> </w:t>
      </w:r>
      <w:r>
        <w:rPr/>
        <w:t>a</w:t>
      </w:r>
      <w:r>
        <w:rPr>
          <w:spacing w:val="-15"/>
        </w:rPr>
        <w:t> </w:t>
      </w:r>
      <w:r>
        <w:rPr/>
        <w:t>aislados</w:t>
      </w:r>
      <w:r>
        <w:rPr>
          <w:spacing w:val="-15"/>
        </w:rPr>
        <w:t> </w:t>
      </w:r>
      <w:r>
        <w:rPr/>
        <w:t>de</w:t>
      </w:r>
      <w:r>
        <w:rPr>
          <w:spacing w:val="-15"/>
        </w:rPr>
        <w:t> </w:t>
      </w:r>
      <w:r>
        <w:rPr/>
        <w:t>MRSA, con una mejora ciertamente limitada al unirse con coadyuvantes.</w:t>
      </w:r>
    </w:p>
    <w:p>
      <w:pPr>
        <w:pStyle w:val="BodyText"/>
        <w:spacing w:line="360" w:lineRule="auto" w:before="160"/>
        <w:ind w:left="994" w:right="708"/>
        <w:jc w:val="both"/>
      </w:pPr>
      <w:r>
        <w:rPr/>
        <w:t>No</w:t>
      </w:r>
      <w:r>
        <w:rPr>
          <w:spacing w:val="-3"/>
        </w:rPr>
        <w:t> </w:t>
      </w:r>
      <w:r>
        <w:rPr/>
        <w:t>obstante,</w:t>
      </w:r>
      <w:r>
        <w:rPr>
          <w:spacing w:val="-8"/>
        </w:rPr>
        <w:t> </w:t>
      </w:r>
      <w:r>
        <w:rPr/>
        <w:t>investigaciones</w:t>
      </w:r>
      <w:r>
        <w:rPr>
          <w:spacing w:val="-5"/>
        </w:rPr>
        <w:t> </w:t>
      </w:r>
      <w:r>
        <w:rPr/>
        <w:t>llevadas</w:t>
      </w:r>
      <w:r>
        <w:rPr>
          <w:spacing w:val="-5"/>
        </w:rPr>
        <w:t> </w:t>
      </w:r>
      <w:r>
        <w:rPr/>
        <w:t>a</w:t>
      </w:r>
      <w:r>
        <w:rPr>
          <w:spacing w:val="-6"/>
        </w:rPr>
        <w:t> </w:t>
      </w:r>
      <w:r>
        <w:rPr/>
        <w:t>cabo</w:t>
      </w:r>
      <w:r>
        <w:rPr>
          <w:spacing w:val="-3"/>
        </w:rPr>
        <w:t> </w:t>
      </w:r>
      <w:r>
        <w:rPr/>
        <w:t>por</w:t>
      </w:r>
      <w:r>
        <w:rPr>
          <w:spacing w:val="-3"/>
        </w:rPr>
        <w:t> </w:t>
      </w:r>
      <w:r>
        <w:rPr/>
        <w:t>Fuller</w:t>
      </w:r>
      <w:r>
        <w:rPr>
          <w:spacing w:val="-7"/>
        </w:rPr>
        <w:t> </w:t>
      </w:r>
      <w:r>
        <w:rPr/>
        <w:t>et</w:t>
      </w:r>
      <w:r>
        <w:rPr>
          <w:spacing w:val="-6"/>
        </w:rPr>
        <w:t> </w:t>
      </w:r>
      <w:r>
        <w:rPr/>
        <w:t>al.</w:t>
      </w:r>
      <w:r>
        <w:rPr>
          <w:spacing w:val="-3"/>
        </w:rPr>
        <w:t> </w:t>
      </w:r>
      <w:r>
        <w:rPr/>
        <w:t>y</w:t>
      </w:r>
      <w:r>
        <w:rPr>
          <w:spacing w:val="-3"/>
        </w:rPr>
        <w:t> </w:t>
      </w:r>
      <w:r>
        <w:rPr/>
        <w:t>Kosgodage</w:t>
      </w:r>
      <w:r>
        <w:rPr>
          <w:spacing w:val="-6"/>
        </w:rPr>
        <w:t> </w:t>
      </w:r>
      <w:r>
        <w:rPr/>
        <w:t>et</w:t>
      </w:r>
      <w:r>
        <w:rPr>
          <w:spacing w:val="-6"/>
        </w:rPr>
        <w:t> </w:t>
      </w:r>
      <w:r>
        <w:rPr/>
        <w:t>al.</w:t>
      </w:r>
      <w:r>
        <w:rPr>
          <w:spacing w:val="-8"/>
        </w:rPr>
        <w:t> </w:t>
      </w:r>
      <w:r>
        <w:rPr/>
        <w:t>en 2022, subrayan que el cannabidiol es capaz de actuar como un catalizador antimicrobiano, a través de la inducción de tensión oxidativa y el detrimento de la membrana bacteriana.</w:t>
      </w:r>
    </w:p>
    <w:p>
      <w:pPr>
        <w:pStyle w:val="Heading3"/>
        <w:spacing w:before="57"/>
      </w:pPr>
      <w:bookmarkStart w:name="_bookmark48" w:id="49"/>
      <w:bookmarkEnd w:id="49"/>
      <w:r>
        <w:rPr>
          <w:b w:val="0"/>
        </w:rPr>
      </w:r>
      <w:r>
        <w:rPr>
          <w:spacing w:val="-4"/>
        </w:rPr>
        <w:t>Tabla</w:t>
      </w:r>
      <w:r>
        <w:rPr>
          <w:spacing w:val="-7"/>
        </w:rPr>
        <w:t> </w:t>
      </w:r>
      <w:r>
        <w:rPr>
          <w:spacing w:val="-12"/>
        </w:rPr>
        <w:t>7</w:t>
      </w:r>
    </w:p>
    <w:p>
      <w:pPr>
        <w:pStyle w:val="BodyText"/>
        <w:rPr>
          <w:b/>
        </w:rPr>
      </w:pPr>
    </w:p>
    <w:p>
      <w:pPr>
        <w:spacing w:before="0"/>
        <w:ind w:left="994" w:right="0" w:firstLine="0"/>
        <w:jc w:val="both"/>
        <w:rPr>
          <w:i/>
          <w:sz w:val="24"/>
        </w:rPr>
      </w:pPr>
      <w:r>
        <w:rPr>
          <w:i/>
          <w:sz w:val="24"/>
        </w:rPr>
        <w:t>Análisis</w:t>
      </w:r>
      <w:r>
        <w:rPr>
          <w:i/>
          <w:spacing w:val="-7"/>
          <w:sz w:val="24"/>
        </w:rPr>
        <w:t> </w:t>
      </w:r>
      <w:r>
        <w:rPr>
          <w:i/>
          <w:sz w:val="24"/>
        </w:rPr>
        <w:t>de</w:t>
      </w:r>
      <w:r>
        <w:rPr>
          <w:i/>
          <w:spacing w:val="-1"/>
          <w:sz w:val="24"/>
        </w:rPr>
        <w:t> </w:t>
      </w:r>
      <w:r>
        <w:rPr>
          <w:i/>
          <w:sz w:val="24"/>
        </w:rPr>
        <w:t>varianza de</w:t>
      </w:r>
      <w:r>
        <w:rPr>
          <w:i/>
          <w:spacing w:val="-5"/>
          <w:sz w:val="24"/>
        </w:rPr>
        <w:t> </w:t>
      </w:r>
      <w:r>
        <w:rPr>
          <w:i/>
          <w:sz w:val="24"/>
        </w:rPr>
        <w:t>los</w:t>
      </w:r>
      <w:r>
        <w:rPr>
          <w:i/>
          <w:spacing w:val="-6"/>
          <w:sz w:val="24"/>
        </w:rPr>
        <w:t> </w:t>
      </w:r>
      <w:r>
        <w:rPr>
          <w:i/>
          <w:sz w:val="24"/>
        </w:rPr>
        <w:t>tratamientos</w:t>
      </w:r>
      <w:r>
        <w:rPr>
          <w:i/>
          <w:spacing w:val="-5"/>
          <w:sz w:val="24"/>
        </w:rPr>
        <w:t> </w:t>
      </w:r>
      <w:r>
        <w:rPr>
          <w:i/>
          <w:spacing w:val="-2"/>
          <w:sz w:val="24"/>
        </w:rPr>
        <w:t>combinados</w:t>
      </w:r>
    </w:p>
    <w:p>
      <w:pPr>
        <w:pStyle w:val="BodyText"/>
        <w:spacing w:before="50"/>
        <w:rPr>
          <w:i/>
          <w:sz w:val="20"/>
        </w:rPr>
      </w:pPr>
    </w:p>
    <w:tbl>
      <w:tblPr>
        <w:tblW w:w="0" w:type="auto"/>
        <w:jc w:val="left"/>
        <w:tblInd w:w="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1"/>
        <w:gridCol w:w="1302"/>
        <w:gridCol w:w="894"/>
        <w:gridCol w:w="1211"/>
        <w:gridCol w:w="2354"/>
        <w:gridCol w:w="963"/>
      </w:tblGrid>
      <w:tr>
        <w:trPr>
          <w:trHeight w:val="694" w:hRule="atLeast"/>
        </w:trPr>
        <w:tc>
          <w:tcPr>
            <w:tcW w:w="1221" w:type="dxa"/>
            <w:tcBorders>
              <w:top w:val="single" w:sz="4" w:space="0" w:color="7E7E7E"/>
              <w:bottom w:val="single" w:sz="4" w:space="0" w:color="7E7E7E"/>
            </w:tcBorders>
          </w:tcPr>
          <w:p>
            <w:pPr>
              <w:pStyle w:val="TableParagraph"/>
              <w:spacing w:line="229" w:lineRule="exact" w:before="4"/>
              <w:ind w:left="113"/>
              <w:rPr>
                <w:b/>
                <w:sz w:val="20"/>
              </w:rPr>
            </w:pPr>
            <w:r>
              <w:rPr>
                <w:b/>
                <w:sz w:val="20"/>
              </w:rPr>
              <w:t>Origen</w:t>
            </w:r>
            <w:r>
              <w:rPr>
                <w:b/>
                <w:spacing w:val="1"/>
                <w:sz w:val="20"/>
              </w:rPr>
              <w:t> </w:t>
            </w:r>
            <w:r>
              <w:rPr>
                <w:b/>
                <w:spacing w:val="-5"/>
                <w:sz w:val="20"/>
              </w:rPr>
              <w:t>de</w:t>
            </w:r>
          </w:p>
          <w:p>
            <w:pPr>
              <w:pStyle w:val="TableParagraph"/>
              <w:spacing w:line="228" w:lineRule="exact"/>
              <w:ind w:left="113"/>
              <w:rPr>
                <w:b/>
                <w:sz w:val="20"/>
              </w:rPr>
            </w:pPr>
            <w:r>
              <w:rPr>
                <w:b/>
                <w:spacing w:val="-4"/>
                <w:sz w:val="20"/>
              </w:rPr>
              <w:t>las </w:t>
            </w:r>
            <w:r>
              <w:rPr>
                <w:b/>
                <w:spacing w:val="-2"/>
                <w:sz w:val="20"/>
              </w:rPr>
              <w:t>variaciones</w:t>
            </w:r>
          </w:p>
        </w:tc>
        <w:tc>
          <w:tcPr>
            <w:tcW w:w="1302" w:type="dxa"/>
            <w:tcBorders>
              <w:top w:val="single" w:sz="4" w:space="0" w:color="7E7E7E"/>
              <w:bottom w:val="single" w:sz="4" w:space="0" w:color="7E7E7E"/>
            </w:tcBorders>
          </w:tcPr>
          <w:p>
            <w:pPr>
              <w:pStyle w:val="TableParagraph"/>
              <w:spacing w:before="4"/>
              <w:ind w:left="141"/>
              <w:rPr>
                <w:b/>
                <w:sz w:val="20"/>
              </w:rPr>
            </w:pPr>
            <w:r>
              <w:rPr>
                <w:b/>
                <w:sz w:val="20"/>
              </w:rPr>
              <w:t>Suma de </w:t>
            </w:r>
            <w:r>
              <w:rPr>
                <w:b/>
                <w:spacing w:val="-2"/>
                <w:sz w:val="20"/>
              </w:rPr>
              <w:t>cuadrados</w:t>
            </w:r>
          </w:p>
        </w:tc>
        <w:tc>
          <w:tcPr>
            <w:tcW w:w="894" w:type="dxa"/>
            <w:tcBorders>
              <w:top w:val="single" w:sz="4" w:space="0" w:color="7E7E7E"/>
              <w:bottom w:val="single" w:sz="4" w:space="0" w:color="7E7E7E"/>
            </w:tcBorders>
          </w:tcPr>
          <w:p>
            <w:pPr>
              <w:pStyle w:val="TableParagraph"/>
              <w:spacing w:line="229" w:lineRule="exact" w:before="4"/>
              <w:ind w:left="108"/>
              <w:rPr>
                <w:b/>
                <w:sz w:val="20"/>
              </w:rPr>
            </w:pPr>
            <w:r>
              <w:rPr>
                <w:b/>
                <w:spacing w:val="-2"/>
                <w:sz w:val="20"/>
              </w:rPr>
              <w:t>Grados</w:t>
            </w:r>
          </w:p>
          <w:p>
            <w:pPr>
              <w:pStyle w:val="TableParagraph"/>
              <w:spacing w:line="228" w:lineRule="exact"/>
              <w:ind w:left="108" w:right="104"/>
              <w:rPr>
                <w:b/>
                <w:sz w:val="20"/>
              </w:rPr>
            </w:pPr>
            <w:r>
              <w:rPr>
                <w:b/>
                <w:spacing w:val="-6"/>
                <w:sz w:val="20"/>
              </w:rPr>
              <w:t>de </w:t>
            </w:r>
            <w:r>
              <w:rPr>
                <w:b/>
                <w:spacing w:val="-2"/>
                <w:sz w:val="20"/>
              </w:rPr>
              <w:t>libertad</w:t>
            </w:r>
          </w:p>
        </w:tc>
        <w:tc>
          <w:tcPr>
            <w:tcW w:w="1211" w:type="dxa"/>
            <w:tcBorders>
              <w:top w:val="single" w:sz="4" w:space="0" w:color="7E7E7E"/>
              <w:bottom w:val="single" w:sz="4" w:space="0" w:color="7E7E7E"/>
            </w:tcBorders>
          </w:tcPr>
          <w:p>
            <w:pPr>
              <w:pStyle w:val="TableParagraph"/>
              <w:spacing w:line="229" w:lineRule="exact" w:before="4"/>
              <w:ind w:left="106"/>
              <w:rPr>
                <w:b/>
                <w:sz w:val="20"/>
              </w:rPr>
            </w:pPr>
            <w:r>
              <w:rPr>
                <w:b/>
                <w:spacing w:val="-2"/>
                <w:sz w:val="20"/>
              </w:rPr>
              <w:t>Promedio</w:t>
            </w:r>
          </w:p>
          <w:p>
            <w:pPr>
              <w:pStyle w:val="TableParagraph"/>
              <w:spacing w:line="228" w:lineRule="exact"/>
              <w:ind w:left="106"/>
              <w:rPr>
                <w:b/>
                <w:sz w:val="20"/>
              </w:rPr>
            </w:pPr>
            <w:r>
              <w:rPr>
                <w:b/>
                <w:sz w:val="20"/>
              </w:rPr>
              <w:t>de los </w:t>
            </w:r>
            <w:r>
              <w:rPr>
                <w:b/>
                <w:spacing w:val="-2"/>
                <w:sz w:val="20"/>
              </w:rPr>
              <w:t>cuadrados</w:t>
            </w:r>
          </w:p>
        </w:tc>
        <w:tc>
          <w:tcPr>
            <w:tcW w:w="2354" w:type="dxa"/>
            <w:tcBorders>
              <w:top w:val="single" w:sz="4" w:space="0" w:color="7E7E7E"/>
              <w:bottom w:val="single" w:sz="4" w:space="0" w:color="7E7E7E"/>
            </w:tcBorders>
          </w:tcPr>
          <w:p>
            <w:pPr>
              <w:pStyle w:val="TableParagraph"/>
              <w:tabs>
                <w:tab w:pos="1119" w:val="left" w:leader="none"/>
              </w:tabs>
              <w:spacing w:before="4"/>
              <w:ind w:left="151"/>
              <w:rPr>
                <w:b/>
                <w:sz w:val="20"/>
              </w:rPr>
            </w:pPr>
            <w:r>
              <w:rPr>
                <w:b/>
                <w:spacing w:val="-10"/>
                <w:sz w:val="20"/>
              </w:rPr>
              <w:t>F</w:t>
            </w:r>
            <w:r>
              <w:rPr>
                <w:b/>
                <w:sz w:val="20"/>
              </w:rPr>
              <w:tab/>
            </w:r>
            <w:r>
              <w:rPr>
                <w:b/>
                <w:spacing w:val="-2"/>
                <w:sz w:val="20"/>
              </w:rPr>
              <w:t>Probabilidad</w:t>
            </w:r>
          </w:p>
        </w:tc>
        <w:tc>
          <w:tcPr>
            <w:tcW w:w="963" w:type="dxa"/>
            <w:tcBorders>
              <w:top w:val="single" w:sz="4" w:space="0" w:color="7E7E7E"/>
              <w:bottom w:val="single" w:sz="4" w:space="0" w:color="7E7E7E"/>
            </w:tcBorders>
          </w:tcPr>
          <w:p>
            <w:pPr>
              <w:pStyle w:val="TableParagraph"/>
              <w:spacing w:line="229" w:lineRule="exact" w:before="4"/>
              <w:ind w:left="106"/>
              <w:rPr>
                <w:b/>
                <w:sz w:val="20"/>
              </w:rPr>
            </w:pPr>
            <w:r>
              <w:rPr>
                <w:b/>
                <w:spacing w:val="-2"/>
                <w:sz w:val="20"/>
              </w:rPr>
              <w:t>Valor</w:t>
            </w:r>
          </w:p>
          <w:p>
            <w:pPr>
              <w:pStyle w:val="TableParagraph"/>
              <w:spacing w:line="228" w:lineRule="exact"/>
              <w:ind w:left="106" w:right="274"/>
              <w:rPr>
                <w:b/>
                <w:sz w:val="20"/>
              </w:rPr>
            </w:pPr>
            <w:r>
              <w:rPr>
                <w:b/>
                <w:spacing w:val="-2"/>
                <w:sz w:val="20"/>
              </w:rPr>
              <w:t>crítico </w:t>
            </w:r>
            <w:r>
              <w:rPr>
                <w:b/>
                <w:sz w:val="20"/>
              </w:rPr>
              <w:t>para </w:t>
            </w:r>
            <w:r>
              <w:rPr>
                <w:b/>
                <w:spacing w:val="-10"/>
                <w:sz w:val="20"/>
              </w:rPr>
              <w:t>F</w:t>
            </w:r>
          </w:p>
        </w:tc>
      </w:tr>
      <w:tr>
        <w:trPr>
          <w:trHeight w:val="461" w:hRule="atLeast"/>
        </w:trPr>
        <w:tc>
          <w:tcPr>
            <w:tcW w:w="1221" w:type="dxa"/>
            <w:tcBorders>
              <w:top w:val="single" w:sz="4" w:space="0" w:color="7E7E7E"/>
              <w:bottom w:val="single" w:sz="4" w:space="0" w:color="7E7E7E"/>
            </w:tcBorders>
          </w:tcPr>
          <w:p>
            <w:pPr>
              <w:pStyle w:val="TableParagraph"/>
              <w:spacing w:line="228" w:lineRule="exact"/>
              <w:ind w:left="113" w:right="510"/>
              <w:rPr>
                <w:b/>
                <w:sz w:val="20"/>
              </w:rPr>
            </w:pPr>
            <w:r>
              <w:rPr>
                <w:b/>
                <w:spacing w:val="-2"/>
                <w:sz w:val="20"/>
              </w:rPr>
              <w:t>Entre grupos</w:t>
            </w:r>
          </w:p>
        </w:tc>
        <w:tc>
          <w:tcPr>
            <w:tcW w:w="1302" w:type="dxa"/>
            <w:tcBorders>
              <w:top w:val="single" w:sz="4" w:space="0" w:color="7E7E7E"/>
              <w:bottom w:val="single" w:sz="4" w:space="0" w:color="7E7E7E"/>
            </w:tcBorders>
          </w:tcPr>
          <w:p>
            <w:pPr>
              <w:pStyle w:val="TableParagraph"/>
              <w:ind w:left="32" w:right="97"/>
              <w:jc w:val="center"/>
              <w:rPr>
                <w:sz w:val="20"/>
              </w:rPr>
            </w:pPr>
            <w:r>
              <w:rPr>
                <w:spacing w:val="-2"/>
                <w:sz w:val="20"/>
              </w:rPr>
              <w:t>694,777778</w:t>
            </w:r>
          </w:p>
        </w:tc>
        <w:tc>
          <w:tcPr>
            <w:tcW w:w="894" w:type="dxa"/>
            <w:tcBorders>
              <w:top w:val="single" w:sz="4" w:space="0" w:color="7E7E7E"/>
              <w:bottom w:val="single" w:sz="4" w:space="0" w:color="7E7E7E"/>
            </w:tcBorders>
          </w:tcPr>
          <w:p>
            <w:pPr>
              <w:pStyle w:val="TableParagraph"/>
              <w:ind w:left="108"/>
              <w:rPr>
                <w:sz w:val="20"/>
              </w:rPr>
            </w:pPr>
            <w:r>
              <w:rPr>
                <w:spacing w:val="-10"/>
                <w:sz w:val="20"/>
              </w:rPr>
              <w:t>2</w:t>
            </w:r>
          </w:p>
        </w:tc>
        <w:tc>
          <w:tcPr>
            <w:tcW w:w="1211" w:type="dxa"/>
            <w:tcBorders>
              <w:top w:val="single" w:sz="4" w:space="0" w:color="7E7E7E"/>
              <w:bottom w:val="single" w:sz="4" w:space="0" w:color="7E7E7E"/>
            </w:tcBorders>
          </w:tcPr>
          <w:p>
            <w:pPr>
              <w:pStyle w:val="TableParagraph"/>
              <w:ind w:right="45"/>
              <w:jc w:val="center"/>
              <w:rPr>
                <w:sz w:val="20"/>
              </w:rPr>
            </w:pPr>
            <w:r>
              <w:rPr>
                <w:spacing w:val="-2"/>
                <w:sz w:val="20"/>
              </w:rPr>
              <w:t>347,388889</w:t>
            </w:r>
          </w:p>
        </w:tc>
        <w:tc>
          <w:tcPr>
            <w:tcW w:w="2354" w:type="dxa"/>
            <w:tcBorders>
              <w:top w:val="single" w:sz="4" w:space="0" w:color="7E7E7E"/>
              <w:bottom w:val="single" w:sz="4" w:space="0" w:color="7E7E7E"/>
            </w:tcBorders>
          </w:tcPr>
          <w:p>
            <w:pPr>
              <w:pStyle w:val="TableParagraph"/>
              <w:tabs>
                <w:tab w:pos="1119" w:val="left" w:leader="none"/>
              </w:tabs>
              <w:ind w:left="151"/>
              <w:rPr>
                <w:sz w:val="20"/>
              </w:rPr>
            </w:pPr>
            <w:r>
              <w:rPr>
                <w:spacing w:val="-2"/>
                <w:sz w:val="20"/>
              </w:rPr>
              <w:t>8,547020</w:t>
            </w:r>
            <w:r>
              <w:rPr>
                <w:sz w:val="20"/>
              </w:rPr>
              <w:tab/>
            </w:r>
            <w:r>
              <w:rPr>
                <w:spacing w:val="-2"/>
                <w:sz w:val="20"/>
              </w:rPr>
              <w:t>0,003330</w:t>
            </w:r>
          </w:p>
        </w:tc>
        <w:tc>
          <w:tcPr>
            <w:tcW w:w="963" w:type="dxa"/>
            <w:tcBorders>
              <w:top w:val="single" w:sz="4" w:space="0" w:color="7E7E7E"/>
              <w:bottom w:val="single" w:sz="4" w:space="0" w:color="7E7E7E"/>
            </w:tcBorders>
          </w:tcPr>
          <w:p>
            <w:pPr>
              <w:pStyle w:val="TableParagraph"/>
              <w:ind w:left="106"/>
              <w:rPr>
                <w:sz w:val="20"/>
              </w:rPr>
            </w:pPr>
            <w:r>
              <w:rPr>
                <w:spacing w:val="-2"/>
                <w:sz w:val="20"/>
              </w:rPr>
              <w:t>3,682320</w:t>
            </w:r>
          </w:p>
        </w:tc>
      </w:tr>
      <w:tr>
        <w:trPr>
          <w:trHeight w:val="462" w:hRule="atLeast"/>
        </w:trPr>
        <w:tc>
          <w:tcPr>
            <w:tcW w:w="1221" w:type="dxa"/>
            <w:tcBorders>
              <w:top w:val="single" w:sz="4" w:space="0" w:color="7E7E7E"/>
              <w:bottom w:val="single" w:sz="4" w:space="0" w:color="7E7E7E"/>
            </w:tcBorders>
          </w:tcPr>
          <w:p>
            <w:pPr>
              <w:pStyle w:val="TableParagraph"/>
              <w:spacing w:line="228" w:lineRule="exact"/>
              <w:ind w:left="113" w:right="57"/>
              <w:rPr>
                <w:b/>
                <w:sz w:val="20"/>
              </w:rPr>
            </w:pPr>
            <w:r>
              <w:rPr>
                <w:b/>
                <w:sz w:val="20"/>
              </w:rPr>
              <w:t>Dentro</w:t>
            </w:r>
            <w:r>
              <w:rPr>
                <w:b/>
                <w:spacing w:val="-13"/>
                <w:sz w:val="20"/>
              </w:rPr>
              <w:t> </w:t>
            </w:r>
            <w:r>
              <w:rPr>
                <w:b/>
                <w:sz w:val="20"/>
              </w:rPr>
              <w:t>de los</w:t>
            </w:r>
            <w:r>
              <w:rPr>
                <w:b/>
                <w:spacing w:val="-4"/>
                <w:sz w:val="20"/>
              </w:rPr>
              <w:t> </w:t>
            </w:r>
            <w:r>
              <w:rPr>
                <w:b/>
                <w:spacing w:val="-2"/>
                <w:sz w:val="20"/>
              </w:rPr>
              <w:t>grupos</w:t>
            </w:r>
          </w:p>
        </w:tc>
        <w:tc>
          <w:tcPr>
            <w:tcW w:w="1302" w:type="dxa"/>
            <w:tcBorders>
              <w:top w:val="single" w:sz="4" w:space="0" w:color="7E7E7E"/>
              <w:bottom w:val="single" w:sz="4" w:space="0" w:color="7E7E7E"/>
            </w:tcBorders>
          </w:tcPr>
          <w:p>
            <w:pPr>
              <w:pStyle w:val="TableParagraph"/>
              <w:ind w:left="32" w:right="97"/>
              <w:jc w:val="center"/>
              <w:rPr>
                <w:sz w:val="20"/>
              </w:rPr>
            </w:pPr>
            <w:r>
              <w:rPr>
                <w:spacing w:val="-2"/>
                <w:sz w:val="20"/>
              </w:rPr>
              <w:t>609,666667</w:t>
            </w:r>
          </w:p>
        </w:tc>
        <w:tc>
          <w:tcPr>
            <w:tcW w:w="894" w:type="dxa"/>
            <w:tcBorders>
              <w:top w:val="single" w:sz="4" w:space="0" w:color="7E7E7E"/>
              <w:bottom w:val="single" w:sz="4" w:space="0" w:color="7E7E7E"/>
            </w:tcBorders>
          </w:tcPr>
          <w:p>
            <w:pPr>
              <w:pStyle w:val="TableParagraph"/>
              <w:ind w:left="108"/>
              <w:rPr>
                <w:sz w:val="20"/>
              </w:rPr>
            </w:pPr>
            <w:r>
              <w:rPr>
                <w:spacing w:val="-5"/>
                <w:sz w:val="20"/>
              </w:rPr>
              <w:t>15</w:t>
            </w:r>
          </w:p>
        </w:tc>
        <w:tc>
          <w:tcPr>
            <w:tcW w:w="1211" w:type="dxa"/>
            <w:tcBorders>
              <w:top w:val="single" w:sz="4" w:space="0" w:color="7E7E7E"/>
              <w:bottom w:val="single" w:sz="4" w:space="0" w:color="7E7E7E"/>
            </w:tcBorders>
          </w:tcPr>
          <w:p>
            <w:pPr>
              <w:pStyle w:val="TableParagraph"/>
              <w:ind w:right="145"/>
              <w:jc w:val="center"/>
              <w:rPr>
                <w:sz w:val="20"/>
              </w:rPr>
            </w:pPr>
            <w:r>
              <w:rPr>
                <w:spacing w:val="-2"/>
                <w:sz w:val="20"/>
              </w:rPr>
              <w:t>40,644444</w:t>
            </w:r>
          </w:p>
        </w:tc>
        <w:tc>
          <w:tcPr>
            <w:tcW w:w="2354" w:type="dxa"/>
            <w:tcBorders>
              <w:top w:val="single" w:sz="4" w:space="0" w:color="7E7E7E"/>
              <w:bottom w:val="single" w:sz="4" w:space="0" w:color="7E7E7E"/>
            </w:tcBorders>
          </w:tcPr>
          <w:p>
            <w:pPr>
              <w:pStyle w:val="TableParagraph"/>
              <w:rPr>
                <w:sz w:val="22"/>
              </w:rPr>
            </w:pPr>
          </w:p>
        </w:tc>
        <w:tc>
          <w:tcPr>
            <w:tcW w:w="963" w:type="dxa"/>
            <w:tcBorders>
              <w:top w:val="single" w:sz="4" w:space="0" w:color="7E7E7E"/>
              <w:bottom w:val="single" w:sz="4" w:space="0" w:color="7E7E7E"/>
            </w:tcBorders>
          </w:tcPr>
          <w:p>
            <w:pPr>
              <w:pStyle w:val="TableParagraph"/>
              <w:rPr>
                <w:sz w:val="22"/>
              </w:rPr>
            </w:pPr>
          </w:p>
        </w:tc>
      </w:tr>
      <w:tr>
        <w:trPr>
          <w:trHeight w:val="233" w:hRule="atLeast"/>
        </w:trPr>
        <w:tc>
          <w:tcPr>
            <w:tcW w:w="1221" w:type="dxa"/>
            <w:tcBorders>
              <w:top w:val="single" w:sz="4" w:space="0" w:color="7E7E7E"/>
              <w:bottom w:val="single" w:sz="4" w:space="0" w:color="7E7E7E"/>
            </w:tcBorders>
          </w:tcPr>
          <w:p>
            <w:pPr>
              <w:pStyle w:val="TableParagraph"/>
              <w:spacing w:line="214" w:lineRule="exact"/>
              <w:ind w:left="113"/>
              <w:rPr>
                <w:b/>
                <w:sz w:val="20"/>
              </w:rPr>
            </w:pPr>
            <w:r>
              <w:rPr>
                <w:b/>
                <w:spacing w:val="-2"/>
                <w:sz w:val="20"/>
              </w:rPr>
              <w:t>Total</w:t>
            </w:r>
          </w:p>
        </w:tc>
        <w:tc>
          <w:tcPr>
            <w:tcW w:w="1302" w:type="dxa"/>
            <w:tcBorders>
              <w:top w:val="single" w:sz="4" w:space="0" w:color="7E7E7E"/>
              <w:bottom w:val="single" w:sz="4" w:space="0" w:color="7E7E7E"/>
            </w:tcBorders>
          </w:tcPr>
          <w:p>
            <w:pPr>
              <w:pStyle w:val="TableParagraph"/>
              <w:spacing w:line="214" w:lineRule="exact"/>
              <w:ind w:left="97" w:right="65"/>
              <w:jc w:val="center"/>
              <w:rPr>
                <w:sz w:val="20"/>
              </w:rPr>
            </w:pPr>
            <w:r>
              <w:rPr>
                <w:spacing w:val="-2"/>
                <w:sz w:val="20"/>
              </w:rPr>
              <w:t>1304,444444</w:t>
            </w:r>
          </w:p>
        </w:tc>
        <w:tc>
          <w:tcPr>
            <w:tcW w:w="894" w:type="dxa"/>
            <w:tcBorders>
              <w:top w:val="single" w:sz="4" w:space="0" w:color="7E7E7E"/>
              <w:bottom w:val="single" w:sz="4" w:space="0" w:color="7E7E7E"/>
            </w:tcBorders>
          </w:tcPr>
          <w:p>
            <w:pPr>
              <w:pStyle w:val="TableParagraph"/>
              <w:spacing w:line="214" w:lineRule="exact"/>
              <w:ind w:left="108"/>
              <w:rPr>
                <w:sz w:val="20"/>
              </w:rPr>
            </w:pPr>
            <w:r>
              <w:rPr>
                <w:spacing w:val="-5"/>
                <w:sz w:val="20"/>
              </w:rPr>
              <w:t>17</w:t>
            </w:r>
          </w:p>
        </w:tc>
        <w:tc>
          <w:tcPr>
            <w:tcW w:w="1211" w:type="dxa"/>
            <w:tcBorders>
              <w:top w:val="single" w:sz="4" w:space="0" w:color="7E7E7E"/>
              <w:bottom w:val="single" w:sz="4" w:space="0" w:color="7E7E7E"/>
            </w:tcBorders>
          </w:tcPr>
          <w:p>
            <w:pPr>
              <w:pStyle w:val="TableParagraph"/>
              <w:rPr>
                <w:sz w:val="16"/>
              </w:rPr>
            </w:pPr>
          </w:p>
        </w:tc>
        <w:tc>
          <w:tcPr>
            <w:tcW w:w="2354" w:type="dxa"/>
            <w:tcBorders>
              <w:top w:val="single" w:sz="4" w:space="0" w:color="7E7E7E"/>
              <w:bottom w:val="single" w:sz="4" w:space="0" w:color="7E7E7E"/>
            </w:tcBorders>
          </w:tcPr>
          <w:p>
            <w:pPr>
              <w:pStyle w:val="TableParagraph"/>
              <w:rPr>
                <w:sz w:val="16"/>
              </w:rPr>
            </w:pPr>
          </w:p>
        </w:tc>
        <w:tc>
          <w:tcPr>
            <w:tcW w:w="963" w:type="dxa"/>
            <w:tcBorders>
              <w:top w:val="single" w:sz="4" w:space="0" w:color="7E7E7E"/>
              <w:bottom w:val="single" w:sz="4" w:space="0" w:color="7E7E7E"/>
            </w:tcBorders>
          </w:tcPr>
          <w:p>
            <w:pPr>
              <w:pStyle w:val="TableParagraph"/>
              <w:rPr>
                <w:sz w:val="16"/>
              </w:rPr>
            </w:pPr>
          </w:p>
        </w:tc>
      </w:tr>
    </w:tbl>
    <w:p>
      <w:pPr>
        <w:spacing w:line="242" w:lineRule="auto" w:before="0"/>
        <w:ind w:left="1134" w:right="603" w:firstLine="0"/>
        <w:jc w:val="left"/>
        <w:rPr>
          <w:sz w:val="20"/>
        </w:rPr>
      </w:pPr>
      <w:r>
        <w:rPr>
          <w:b/>
          <w:sz w:val="20"/>
        </w:rPr>
        <w:t>Nota. </w:t>
      </w:r>
      <w:r>
        <w:rPr>
          <w:sz w:val="20"/>
        </w:rPr>
        <w:t>Análisis</w:t>
      </w:r>
      <w:r>
        <w:rPr>
          <w:spacing w:val="-4"/>
          <w:sz w:val="20"/>
        </w:rPr>
        <w:t> </w:t>
      </w:r>
      <w:r>
        <w:rPr>
          <w:sz w:val="20"/>
        </w:rPr>
        <w:t>estadístico</w:t>
      </w:r>
      <w:r>
        <w:rPr>
          <w:spacing w:val="-3"/>
          <w:sz w:val="20"/>
        </w:rPr>
        <w:t> </w:t>
      </w:r>
      <w:r>
        <w:rPr>
          <w:sz w:val="20"/>
        </w:rPr>
        <w:t>de</w:t>
      </w:r>
      <w:r>
        <w:rPr>
          <w:spacing w:val="-3"/>
          <w:sz w:val="20"/>
        </w:rPr>
        <w:t> </w:t>
      </w:r>
      <w:r>
        <w:rPr>
          <w:sz w:val="20"/>
        </w:rPr>
        <w:t>los</w:t>
      </w:r>
      <w:r>
        <w:rPr>
          <w:spacing w:val="-4"/>
          <w:sz w:val="20"/>
        </w:rPr>
        <w:t> </w:t>
      </w:r>
      <w:r>
        <w:rPr>
          <w:sz w:val="20"/>
        </w:rPr>
        <w:t>datos</w:t>
      </w:r>
      <w:r>
        <w:rPr>
          <w:spacing w:val="-4"/>
          <w:sz w:val="20"/>
        </w:rPr>
        <w:t> </w:t>
      </w:r>
      <w:r>
        <w:rPr>
          <w:sz w:val="20"/>
        </w:rPr>
        <w:t>experimentales</w:t>
      </w:r>
      <w:r>
        <w:rPr>
          <w:spacing w:val="-5"/>
          <w:sz w:val="20"/>
        </w:rPr>
        <w:t> </w:t>
      </w:r>
      <w:r>
        <w:rPr>
          <w:sz w:val="20"/>
        </w:rPr>
        <w:t>mediante</w:t>
      </w:r>
      <w:r>
        <w:rPr>
          <w:spacing w:val="-3"/>
          <w:sz w:val="20"/>
        </w:rPr>
        <w:t> </w:t>
      </w:r>
      <w:r>
        <w:rPr>
          <w:sz w:val="20"/>
        </w:rPr>
        <w:t>ANOVA</w:t>
      </w:r>
      <w:r>
        <w:rPr>
          <w:spacing w:val="-3"/>
          <w:sz w:val="20"/>
        </w:rPr>
        <w:t> </w:t>
      </w:r>
      <w:r>
        <w:rPr>
          <w:sz w:val="20"/>
        </w:rPr>
        <w:t>de</w:t>
      </w:r>
      <w:r>
        <w:rPr>
          <w:spacing w:val="-3"/>
          <w:sz w:val="20"/>
        </w:rPr>
        <w:t> </w:t>
      </w:r>
      <w:r>
        <w:rPr>
          <w:sz w:val="20"/>
        </w:rPr>
        <w:t>una</w:t>
      </w:r>
      <w:r>
        <w:rPr>
          <w:spacing w:val="-3"/>
          <w:sz w:val="20"/>
        </w:rPr>
        <w:t> </w:t>
      </w:r>
      <w:r>
        <w:rPr>
          <w:sz w:val="20"/>
        </w:rPr>
        <w:t>vía,</w:t>
      </w:r>
      <w:r>
        <w:rPr>
          <w:spacing w:val="-5"/>
          <w:sz w:val="20"/>
        </w:rPr>
        <w:t> </w:t>
      </w:r>
      <w:r>
        <w:rPr>
          <w:sz w:val="20"/>
        </w:rPr>
        <w:t>realizado</w:t>
      </w:r>
      <w:r>
        <w:rPr>
          <w:spacing w:val="-3"/>
          <w:sz w:val="20"/>
        </w:rPr>
        <w:t> </w:t>
      </w:r>
      <w:r>
        <w:rPr>
          <w:sz w:val="20"/>
        </w:rPr>
        <w:t>en el laboratorio de la Universidad Estatal de Bolívar.</w:t>
      </w:r>
    </w:p>
    <w:p>
      <w:pPr>
        <w:pStyle w:val="BodyText"/>
        <w:spacing w:before="2"/>
        <w:rPr>
          <w:sz w:val="20"/>
        </w:rPr>
      </w:pPr>
    </w:p>
    <w:p>
      <w:pPr>
        <w:pStyle w:val="BodyText"/>
        <w:spacing w:line="362" w:lineRule="auto"/>
        <w:ind w:left="994" w:right="708"/>
        <w:jc w:val="both"/>
      </w:pPr>
      <w:r>
        <w:rPr/>
        <w:t>La</w:t>
      </w:r>
      <w:r>
        <w:rPr>
          <w:spacing w:val="-3"/>
        </w:rPr>
        <w:t> </w:t>
      </w:r>
      <w:r>
        <w:rPr/>
        <w:t>tabla</w:t>
      </w:r>
      <w:r>
        <w:rPr>
          <w:spacing w:val="-7"/>
        </w:rPr>
        <w:t> </w:t>
      </w:r>
      <w:r>
        <w:rPr/>
        <w:t>de</w:t>
      </w:r>
      <w:r>
        <w:rPr>
          <w:spacing w:val="-7"/>
        </w:rPr>
        <w:t> </w:t>
      </w:r>
      <w:r>
        <w:rPr/>
        <w:t>análisis</w:t>
      </w:r>
      <w:r>
        <w:rPr>
          <w:spacing w:val="-6"/>
        </w:rPr>
        <w:t> </w:t>
      </w:r>
      <w:r>
        <w:rPr/>
        <w:t>de</w:t>
      </w:r>
      <w:r>
        <w:rPr>
          <w:spacing w:val="-3"/>
        </w:rPr>
        <w:t> </w:t>
      </w:r>
      <w:r>
        <w:rPr/>
        <w:t>varianza</w:t>
      </w:r>
      <w:r>
        <w:rPr>
          <w:spacing w:val="-7"/>
        </w:rPr>
        <w:t> </w:t>
      </w:r>
      <w:r>
        <w:rPr/>
        <w:t>compara</w:t>
      </w:r>
      <w:r>
        <w:rPr>
          <w:spacing w:val="-3"/>
        </w:rPr>
        <w:t> </w:t>
      </w:r>
      <w:r>
        <w:rPr/>
        <w:t>las</w:t>
      </w:r>
      <w:r>
        <w:rPr>
          <w:spacing w:val="-6"/>
        </w:rPr>
        <w:t> </w:t>
      </w:r>
      <w:r>
        <w:rPr/>
        <w:t>combinaciones</w:t>
      </w:r>
      <w:r>
        <w:rPr>
          <w:spacing w:val="-6"/>
        </w:rPr>
        <w:t> </w:t>
      </w:r>
      <w:r>
        <w:rPr/>
        <w:t>Enrofloxacina</w:t>
      </w:r>
      <w:r>
        <w:rPr>
          <w:spacing w:val="-3"/>
        </w:rPr>
        <w:t> </w:t>
      </w:r>
      <w:r>
        <w:rPr/>
        <w:t>+</w:t>
      </w:r>
      <w:r>
        <w:rPr>
          <w:spacing w:val="-8"/>
        </w:rPr>
        <w:t> </w:t>
      </w:r>
      <w:r>
        <w:rPr/>
        <w:t>CBD, Amoxicilina</w:t>
      </w:r>
      <w:r>
        <w:rPr>
          <w:spacing w:val="13"/>
        </w:rPr>
        <w:t> </w:t>
      </w:r>
      <w:r>
        <w:rPr/>
        <w:t>+</w:t>
      </w:r>
      <w:r>
        <w:rPr>
          <w:spacing w:val="12"/>
        </w:rPr>
        <w:t> </w:t>
      </w:r>
      <w:r>
        <w:rPr/>
        <w:t>CBD</w:t>
      </w:r>
      <w:r>
        <w:rPr>
          <w:spacing w:val="10"/>
        </w:rPr>
        <w:t> </w:t>
      </w:r>
      <w:r>
        <w:rPr/>
        <w:t>y</w:t>
      </w:r>
      <w:r>
        <w:rPr>
          <w:spacing w:val="11"/>
        </w:rPr>
        <w:t> </w:t>
      </w:r>
      <w:r>
        <w:rPr/>
        <w:t>Cefalexina</w:t>
      </w:r>
      <w:r>
        <w:rPr>
          <w:spacing w:val="13"/>
        </w:rPr>
        <w:t> </w:t>
      </w:r>
      <w:r>
        <w:rPr/>
        <w:t>+</w:t>
      </w:r>
      <w:r>
        <w:rPr>
          <w:spacing w:val="12"/>
        </w:rPr>
        <w:t> </w:t>
      </w:r>
      <w:r>
        <w:rPr/>
        <w:t>CBD.</w:t>
      </w:r>
      <w:r>
        <w:rPr>
          <w:spacing w:val="11"/>
        </w:rPr>
        <w:t> </w:t>
      </w:r>
      <w:r>
        <w:rPr/>
        <w:t>Se</w:t>
      </w:r>
      <w:r>
        <w:rPr>
          <w:spacing w:val="13"/>
        </w:rPr>
        <w:t> </w:t>
      </w:r>
      <w:r>
        <w:rPr/>
        <w:t>tomó</w:t>
      </w:r>
      <w:r>
        <w:rPr>
          <w:spacing w:val="11"/>
        </w:rPr>
        <w:t> </w:t>
      </w:r>
      <w:r>
        <w:rPr/>
        <w:t>como</w:t>
      </w:r>
      <w:r>
        <w:rPr>
          <w:spacing w:val="11"/>
        </w:rPr>
        <w:t> </w:t>
      </w:r>
      <w:r>
        <w:rPr/>
        <w:t>variable</w:t>
      </w:r>
      <w:r>
        <w:rPr>
          <w:spacing w:val="13"/>
        </w:rPr>
        <w:t> </w:t>
      </w:r>
      <w:r>
        <w:rPr/>
        <w:t>dependiente</w:t>
      </w:r>
      <w:r>
        <w:rPr>
          <w:spacing w:val="13"/>
        </w:rPr>
        <w:t> </w:t>
      </w:r>
      <w:r>
        <w:rPr>
          <w:spacing w:val="-5"/>
        </w:rPr>
        <w:t>el</w:t>
      </w:r>
    </w:p>
    <w:p>
      <w:pPr>
        <w:pStyle w:val="BodyText"/>
        <w:spacing w:after="0" w:line="362" w:lineRule="auto"/>
        <w:jc w:val="both"/>
        <w:sectPr>
          <w:pgSz w:w="11900" w:h="16840"/>
          <w:pgMar w:top="1580" w:bottom="280" w:left="1275" w:right="992"/>
        </w:sectPr>
      </w:pPr>
    </w:p>
    <w:p>
      <w:pPr>
        <w:pStyle w:val="BodyText"/>
        <w:spacing w:line="360" w:lineRule="auto" w:before="60"/>
        <w:ind w:left="994" w:right="710"/>
        <w:jc w:val="both"/>
      </w:pPr>
      <w:r>
        <w:rPr/>
        <w:t>diámetro</w:t>
      </w:r>
      <w:r>
        <w:rPr>
          <w:spacing w:val="-7"/>
        </w:rPr>
        <w:t> </w:t>
      </w:r>
      <w:r>
        <w:rPr/>
        <w:t>del</w:t>
      </w:r>
      <w:r>
        <w:rPr>
          <w:spacing w:val="-7"/>
        </w:rPr>
        <w:t> </w:t>
      </w:r>
      <w:r>
        <w:rPr/>
        <w:t>halo</w:t>
      </w:r>
      <w:r>
        <w:rPr>
          <w:spacing w:val="-12"/>
        </w:rPr>
        <w:t> </w:t>
      </w:r>
      <w:r>
        <w:rPr/>
        <w:t>de</w:t>
      </w:r>
      <w:r>
        <w:rPr>
          <w:spacing w:val="-10"/>
        </w:rPr>
        <w:t> </w:t>
      </w:r>
      <w:r>
        <w:rPr/>
        <w:t>inhibición</w:t>
      </w:r>
      <w:r>
        <w:rPr>
          <w:spacing w:val="-12"/>
        </w:rPr>
        <w:t> </w:t>
      </w:r>
      <w:r>
        <w:rPr/>
        <w:t>(mm).</w:t>
      </w:r>
      <w:r>
        <w:rPr>
          <w:spacing w:val="-11"/>
        </w:rPr>
        <w:t> </w:t>
      </w:r>
      <w:r>
        <w:rPr/>
        <w:t>El</w:t>
      </w:r>
      <w:r>
        <w:rPr>
          <w:spacing w:val="-14"/>
        </w:rPr>
        <w:t> </w:t>
      </w:r>
      <w:r>
        <w:rPr/>
        <w:t>ANOVA</w:t>
      </w:r>
      <w:r>
        <w:rPr>
          <w:spacing w:val="-9"/>
        </w:rPr>
        <w:t> </w:t>
      </w:r>
      <w:r>
        <w:rPr/>
        <w:t>de</w:t>
      </w:r>
      <w:r>
        <w:rPr>
          <w:spacing w:val="-6"/>
        </w:rPr>
        <w:t> </w:t>
      </w:r>
      <w:r>
        <w:rPr/>
        <w:t>una</w:t>
      </w:r>
      <w:r>
        <w:rPr>
          <w:spacing w:val="-10"/>
        </w:rPr>
        <w:t> </w:t>
      </w:r>
      <w:r>
        <w:rPr/>
        <w:t>vía</w:t>
      </w:r>
      <w:r>
        <w:rPr>
          <w:spacing w:val="-10"/>
        </w:rPr>
        <w:t> </w:t>
      </w:r>
      <w:r>
        <w:rPr/>
        <w:t>permitió</w:t>
      </w:r>
      <w:r>
        <w:rPr>
          <w:spacing w:val="-12"/>
        </w:rPr>
        <w:t> </w:t>
      </w:r>
      <w:r>
        <w:rPr/>
        <w:t>establecer</w:t>
      </w:r>
      <w:r>
        <w:rPr>
          <w:spacing w:val="-11"/>
        </w:rPr>
        <w:t> </w:t>
      </w:r>
      <w:r>
        <w:rPr/>
        <w:t>si las diferencias entre los promedios de los tratamientos fueron estadísticamente </w:t>
      </w:r>
      <w:r>
        <w:rPr>
          <w:spacing w:val="-2"/>
        </w:rPr>
        <w:t>significativas.</w:t>
      </w:r>
    </w:p>
    <w:p>
      <w:pPr>
        <w:pStyle w:val="BodyText"/>
        <w:spacing w:line="360" w:lineRule="auto" w:before="162"/>
        <w:ind w:left="994" w:right="704"/>
        <w:jc w:val="both"/>
      </w:pPr>
      <w:r>
        <w:rPr/>
        <w:t>Los resultados indican que la variación entre grupos tuvo una suma de cuadrados de</w:t>
      </w:r>
      <w:r>
        <w:rPr>
          <w:spacing w:val="-10"/>
        </w:rPr>
        <w:t> </w:t>
      </w:r>
      <w:r>
        <w:rPr/>
        <w:t>694,78,</w:t>
      </w:r>
      <w:r>
        <w:rPr>
          <w:spacing w:val="-11"/>
        </w:rPr>
        <w:t> </w:t>
      </w:r>
      <w:r>
        <w:rPr/>
        <w:t>con</w:t>
      </w:r>
      <w:r>
        <w:rPr>
          <w:spacing w:val="-15"/>
        </w:rPr>
        <w:t> </w:t>
      </w:r>
      <w:r>
        <w:rPr/>
        <w:t>2</w:t>
      </w:r>
      <w:r>
        <w:rPr>
          <w:spacing w:val="-11"/>
        </w:rPr>
        <w:t> </w:t>
      </w:r>
      <w:r>
        <w:rPr/>
        <w:t>grados</w:t>
      </w:r>
      <w:r>
        <w:rPr>
          <w:spacing w:val="-13"/>
        </w:rPr>
        <w:t> </w:t>
      </w:r>
      <w:r>
        <w:rPr/>
        <w:t>de</w:t>
      </w:r>
      <w:r>
        <w:rPr>
          <w:spacing w:val="-14"/>
        </w:rPr>
        <w:t> </w:t>
      </w:r>
      <w:r>
        <w:rPr/>
        <w:t>libertad.</w:t>
      </w:r>
      <w:r>
        <w:rPr>
          <w:spacing w:val="-13"/>
        </w:rPr>
        <w:t> </w:t>
      </w:r>
      <w:r>
        <w:rPr/>
        <w:t>La</w:t>
      </w:r>
      <w:r>
        <w:rPr>
          <w:spacing w:val="-10"/>
        </w:rPr>
        <w:t> </w:t>
      </w:r>
      <w:r>
        <w:rPr/>
        <w:t>varianza</w:t>
      </w:r>
      <w:r>
        <w:rPr>
          <w:spacing w:val="-14"/>
        </w:rPr>
        <w:t> </w:t>
      </w:r>
      <w:r>
        <w:rPr/>
        <w:t>entre</w:t>
      </w:r>
      <w:r>
        <w:rPr>
          <w:spacing w:val="-14"/>
        </w:rPr>
        <w:t> </w:t>
      </w:r>
      <w:r>
        <w:rPr/>
        <w:t>los</w:t>
      </w:r>
      <w:r>
        <w:rPr>
          <w:spacing w:val="-13"/>
        </w:rPr>
        <w:t> </w:t>
      </w:r>
      <w:r>
        <w:rPr/>
        <w:t>grupos</w:t>
      </w:r>
      <w:r>
        <w:rPr>
          <w:spacing w:val="-13"/>
        </w:rPr>
        <w:t> </w:t>
      </w:r>
      <w:r>
        <w:rPr/>
        <w:t>ascendió</w:t>
      </w:r>
      <w:r>
        <w:rPr>
          <w:spacing w:val="-11"/>
        </w:rPr>
        <w:t> </w:t>
      </w:r>
      <w:r>
        <w:rPr/>
        <w:t>a</w:t>
      </w:r>
      <w:r>
        <w:rPr>
          <w:spacing w:val="-14"/>
        </w:rPr>
        <w:t> </w:t>
      </w:r>
      <w:r>
        <w:rPr/>
        <w:t>609,67; esto contó con 15 grados de libertad. El estadístico F que se obtuvo llegó a 8,55, cifra que sobrepasó al F crítico registrado en 3,68. Paralelamente, la probabilidad asociada (p = 0,0033) resultó ser inferior al nivel de significancia establecido de antemano (α = 0,05). Dado que el F calculado fue superior al valor crítico, y que además el p-valor demostró ser menor que 0,05, se procedió al rechazo de la hipótesis nula. Lo anterior apunta a la existencia de divergencias que son estadísticamente significativas al menos en una de las combinaciones de tratamientos que fueron sometidas a estudio.</w:t>
      </w:r>
    </w:p>
    <w:p>
      <w:pPr>
        <w:pStyle w:val="BodyText"/>
        <w:spacing w:line="360" w:lineRule="auto" w:before="166"/>
        <w:ind w:left="994" w:right="692"/>
        <w:jc w:val="both"/>
      </w:pPr>
      <w:r>
        <w:rPr/>
        <w:t>Debido a que el valor F calculado excedió el valor crítico y el p-valor resultó inferior</w:t>
      </w:r>
      <w:r>
        <w:rPr>
          <w:spacing w:val="-1"/>
        </w:rPr>
        <w:t> </w:t>
      </w:r>
      <w:r>
        <w:rPr/>
        <w:t>a 0,05,</w:t>
      </w:r>
      <w:r>
        <w:rPr>
          <w:spacing w:val="-1"/>
        </w:rPr>
        <w:t> </w:t>
      </w:r>
      <w:r>
        <w:rPr/>
        <w:t>procedimos</w:t>
      </w:r>
      <w:r>
        <w:rPr>
          <w:spacing w:val="-3"/>
        </w:rPr>
        <w:t> </w:t>
      </w:r>
      <w:r>
        <w:rPr/>
        <w:t>al rechazo</w:t>
      </w:r>
      <w:r>
        <w:rPr>
          <w:spacing w:val="-1"/>
        </w:rPr>
        <w:t> </w:t>
      </w:r>
      <w:r>
        <w:rPr/>
        <w:t>de la hipótesis</w:t>
      </w:r>
      <w:r>
        <w:rPr>
          <w:spacing w:val="-3"/>
        </w:rPr>
        <w:t> </w:t>
      </w:r>
      <w:r>
        <w:rPr/>
        <w:t>nula.</w:t>
      </w:r>
      <w:r>
        <w:rPr>
          <w:spacing w:val="-1"/>
        </w:rPr>
        <w:t> </w:t>
      </w:r>
      <w:r>
        <w:rPr/>
        <w:t>Por</w:t>
      </w:r>
      <w:r>
        <w:rPr>
          <w:spacing w:val="-1"/>
        </w:rPr>
        <w:t> </w:t>
      </w:r>
      <w:r>
        <w:rPr/>
        <w:t>lo</w:t>
      </w:r>
      <w:r>
        <w:rPr>
          <w:spacing w:val="-1"/>
        </w:rPr>
        <w:t> </w:t>
      </w:r>
      <w:r>
        <w:rPr/>
        <w:t>tanto,</w:t>
      </w:r>
      <w:r>
        <w:rPr>
          <w:spacing w:val="-1"/>
        </w:rPr>
        <w:t> </w:t>
      </w:r>
      <w:r>
        <w:rPr/>
        <w:t>se infieren diferencias</w:t>
      </w:r>
      <w:r>
        <w:rPr>
          <w:spacing w:val="-1"/>
        </w:rPr>
        <w:t> </w:t>
      </w:r>
      <w:r>
        <w:rPr/>
        <w:t>estadísticas</w:t>
      </w:r>
      <w:r>
        <w:rPr>
          <w:spacing w:val="-1"/>
        </w:rPr>
        <w:t> </w:t>
      </w:r>
      <w:r>
        <w:rPr/>
        <w:t>de significancia en</w:t>
      </w:r>
      <w:r>
        <w:rPr>
          <w:spacing w:val="-3"/>
        </w:rPr>
        <w:t> </w:t>
      </w:r>
      <w:r>
        <w:rPr/>
        <w:t>por lo menos</w:t>
      </w:r>
      <w:r>
        <w:rPr>
          <w:spacing w:val="-1"/>
        </w:rPr>
        <w:t> </w:t>
      </w:r>
      <w:r>
        <w:rPr/>
        <w:t>una de las</w:t>
      </w:r>
      <w:r>
        <w:rPr>
          <w:spacing w:val="-1"/>
        </w:rPr>
        <w:t> </w:t>
      </w:r>
      <w:r>
        <w:rPr/>
        <w:t>combinaciones de tratamientos que fueron examinadas. De este modo, el resultado corroboró de manera concluyente que la naturaleza de la combinación antibiótico + CBD tuvo un</w:t>
      </w:r>
      <w:r>
        <w:rPr>
          <w:spacing w:val="-11"/>
        </w:rPr>
        <w:t> </w:t>
      </w:r>
      <w:r>
        <w:rPr/>
        <w:t>impacto</w:t>
      </w:r>
      <w:r>
        <w:rPr>
          <w:spacing w:val="-11"/>
        </w:rPr>
        <w:t> </w:t>
      </w:r>
      <w:r>
        <w:rPr/>
        <w:t>sustancial</w:t>
      </w:r>
      <w:r>
        <w:rPr>
          <w:spacing w:val="-10"/>
        </w:rPr>
        <w:t> </w:t>
      </w:r>
      <w:r>
        <w:rPr/>
        <w:t>sobre</w:t>
      </w:r>
      <w:r>
        <w:rPr>
          <w:spacing w:val="-10"/>
        </w:rPr>
        <w:t> </w:t>
      </w:r>
      <w:r>
        <w:rPr/>
        <w:t>el</w:t>
      </w:r>
      <w:r>
        <w:rPr>
          <w:spacing w:val="-14"/>
        </w:rPr>
        <w:t> </w:t>
      </w:r>
      <w:r>
        <w:rPr/>
        <w:t>tamaño</w:t>
      </w:r>
      <w:r>
        <w:rPr>
          <w:spacing w:val="-11"/>
        </w:rPr>
        <w:t> </w:t>
      </w:r>
      <w:r>
        <w:rPr/>
        <w:t>del</w:t>
      </w:r>
      <w:r>
        <w:rPr>
          <w:spacing w:val="-14"/>
        </w:rPr>
        <w:t> </w:t>
      </w:r>
      <w:r>
        <w:rPr/>
        <w:t>halo</w:t>
      </w:r>
      <w:r>
        <w:rPr>
          <w:spacing w:val="-11"/>
        </w:rPr>
        <w:t> </w:t>
      </w:r>
      <w:r>
        <w:rPr/>
        <w:t>de</w:t>
      </w:r>
      <w:r>
        <w:rPr>
          <w:spacing w:val="-14"/>
        </w:rPr>
        <w:t> </w:t>
      </w:r>
      <w:r>
        <w:rPr/>
        <w:t>inhibición</w:t>
      </w:r>
      <w:r>
        <w:rPr>
          <w:spacing w:val="-11"/>
        </w:rPr>
        <w:t> </w:t>
      </w:r>
      <w:r>
        <w:rPr/>
        <w:t>contra</w:t>
      </w:r>
      <w:r>
        <w:rPr>
          <w:spacing w:val="-10"/>
        </w:rPr>
        <w:t> </w:t>
      </w:r>
      <w:r>
        <w:rPr/>
        <w:t>Staphylococcus aureus</w:t>
      </w:r>
      <w:r>
        <w:rPr>
          <w:spacing w:val="-15"/>
        </w:rPr>
        <w:t> </w:t>
      </w:r>
      <w:r>
        <w:rPr/>
        <w:t>resistente</w:t>
      </w:r>
      <w:r>
        <w:rPr>
          <w:spacing w:val="-15"/>
        </w:rPr>
        <w:t> </w:t>
      </w:r>
      <w:r>
        <w:rPr/>
        <w:t>a</w:t>
      </w:r>
      <w:r>
        <w:rPr>
          <w:spacing w:val="-15"/>
        </w:rPr>
        <w:t> </w:t>
      </w:r>
      <w:r>
        <w:rPr/>
        <w:t>meticilina</w:t>
      </w:r>
      <w:r>
        <w:rPr>
          <w:spacing w:val="-15"/>
        </w:rPr>
        <w:t> </w:t>
      </w:r>
      <w:r>
        <w:rPr/>
        <w:t>(MRSA),</w:t>
      </w:r>
      <w:r>
        <w:rPr>
          <w:spacing w:val="-15"/>
        </w:rPr>
        <w:t> </w:t>
      </w:r>
      <w:r>
        <w:rPr/>
        <w:t>específicamente</w:t>
      </w:r>
      <w:r>
        <w:rPr>
          <w:spacing w:val="-15"/>
        </w:rPr>
        <w:t> </w:t>
      </w:r>
      <w:r>
        <w:rPr/>
        <w:t>dentro</w:t>
      </w:r>
      <w:r>
        <w:rPr>
          <w:spacing w:val="-15"/>
        </w:rPr>
        <w:t> </w:t>
      </w:r>
      <w:r>
        <w:rPr/>
        <w:t>de</w:t>
      </w:r>
      <w:r>
        <w:rPr>
          <w:spacing w:val="-15"/>
        </w:rPr>
        <w:t> </w:t>
      </w:r>
      <w:r>
        <w:rPr/>
        <w:t>las</w:t>
      </w:r>
      <w:r>
        <w:rPr>
          <w:spacing w:val="-15"/>
        </w:rPr>
        <w:t> </w:t>
      </w:r>
      <w:r>
        <w:rPr/>
        <w:t>circunstancias experimentales estipuladas en la presente investigación.</w:t>
      </w:r>
    </w:p>
    <w:p>
      <w:pPr>
        <w:pStyle w:val="BodyText"/>
        <w:spacing w:line="360" w:lineRule="auto" w:before="153"/>
        <w:ind w:left="994" w:right="708"/>
        <w:jc w:val="both"/>
      </w:pPr>
      <w:r>
        <w:rPr/>
        <w:t>Este</w:t>
      </w:r>
      <w:r>
        <w:rPr>
          <w:spacing w:val="-2"/>
        </w:rPr>
        <w:t> </w:t>
      </w:r>
      <w:r>
        <w:rPr/>
        <w:t>hallazgo</w:t>
      </w:r>
      <w:r>
        <w:rPr>
          <w:spacing w:val="-8"/>
        </w:rPr>
        <w:t> </w:t>
      </w:r>
      <w:r>
        <w:rPr/>
        <w:t>coincide</w:t>
      </w:r>
      <w:r>
        <w:rPr>
          <w:spacing w:val="-6"/>
        </w:rPr>
        <w:t> </w:t>
      </w:r>
      <w:r>
        <w:rPr/>
        <w:t>con</w:t>
      </w:r>
      <w:r>
        <w:rPr>
          <w:spacing w:val="-3"/>
        </w:rPr>
        <w:t> </w:t>
      </w:r>
      <w:r>
        <w:rPr/>
        <w:t>Stokes</w:t>
      </w:r>
      <w:r>
        <w:rPr>
          <w:spacing w:val="-5"/>
        </w:rPr>
        <w:t> </w:t>
      </w:r>
      <w:r>
        <w:rPr/>
        <w:t>et</w:t>
      </w:r>
      <w:r>
        <w:rPr>
          <w:spacing w:val="-6"/>
        </w:rPr>
        <w:t> </w:t>
      </w:r>
      <w:r>
        <w:rPr/>
        <w:t>al.</w:t>
      </w:r>
      <w:r>
        <w:rPr>
          <w:spacing w:val="-3"/>
        </w:rPr>
        <w:t> </w:t>
      </w:r>
      <w:r>
        <w:rPr/>
        <w:t>(2023),</w:t>
      </w:r>
      <w:r>
        <w:rPr>
          <w:spacing w:val="-3"/>
        </w:rPr>
        <w:t> </w:t>
      </w:r>
      <w:r>
        <w:rPr/>
        <w:t>quienes</w:t>
      </w:r>
      <w:r>
        <w:rPr>
          <w:spacing w:val="-5"/>
        </w:rPr>
        <w:t> </w:t>
      </w:r>
      <w:r>
        <w:rPr/>
        <w:t>señalan</w:t>
      </w:r>
      <w:r>
        <w:rPr>
          <w:spacing w:val="-3"/>
        </w:rPr>
        <w:t> </w:t>
      </w:r>
      <w:r>
        <w:rPr/>
        <w:t>que</w:t>
      </w:r>
      <w:r>
        <w:rPr>
          <w:spacing w:val="-6"/>
        </w:rPr>
        <w:t> </w:t>
      </w:r>
      <w:r>
        <w:rPr/>
        <w:t>en</w:t>
      </w:r>
      <w:r>
        <w:rPr>
          <w:spacing w:val="-8"/>
        </w:rPr>
        <w:t> </w:t>
      </w:r>
      <w:r>
        <w:rPr/>
        <w:t>estudios</w:t>
      </w:r>
      <w:r>
        <w:rPr>
          <w:spacing w:val="-5"/>
        </w:rPr>
        <w:t> </w:t>
      </w:r>
      <w:r>
        <w:rPr/>
        <w:t>de interacción antimicrobiana es frecuente encontrar diferencias significativas entre </w:t>
      </w:r>
      <w:r>
        <w:rPr>
          <w:spacing w:val="-2"/>
        </w:rPr>
        <w:t>combinaciones</w:t>
      </w:r>
      <w:r>
        <w:rPr>
          <w:spacing w:val="-4"/>
        </w:rPr>
        <w:t> </w:t>
      </w:r>
      <w:r>
        <w:rPr>
          <w:spacing w:val="-2"/>
        </w:rPr>
        <w:t>de fármacos. Acontece, principalmente, al considerar sustancias</w:t>
      </w:r>
      <w:r>
        <w:rPr>
          <w:spacing w:val="-4"/>
        </w:rPr>
        <w:t> </w:t>
      </w:r>
      <w:r>
        <w:rPr>
          <w:spacing w:val="-2"/>
        </w:rPr>
        <w:t>con </w:t>
      </w:r>
      <w:r>
        <w:rPr/>
        <w:t>maneras de actuar divergentes. En este supuesto, la conjunción del cannabidiol y los fármacos antibacterianos tradicionales podría derivar en acciones complementarias o potenciadoras, en función del agente antibacteriano específico empleado. Al mismo</w:t>
      </w:r>
      <w:r>
        <w:rPr>
          <w:spacing w:val="-3"/>
        </w:rPr>
        <w:t> </w:t>
      </w:r>
      <w:r>
        <w:rPr/>
        <w:t>tenor, Wright (2022)</w:t>
      </w:r>
      <w:r>
        <w:rPr>
          <w:spacing w:val="-3"/>
        </w:rPr>
        <w:t> </w:t>
      </w:r>
      <w:r>
        <w:rPr/>
        <w:t>apunta a que se anticipan discrepancias estadísticamente</w:t>
      </w:r>
      <w:r>
        <w:rPr>
          <w:spacing w:val="-9"/>
        </w:rPr>
        <w:t> </w:t>
      </w:r>
      <w:r>
        <w:rPr/>
        <w:t>notables</w:t>
      </w:r>
      <w:r>
        <w:rPr>
          <w:spacing w:val="-12"/>
        </w:rPr>
        <w:t> </w:t>
      </w:r>
      <w:r>
        <w:rPr/>
        <w:t>en</w:t>
      </w:r>
      <w:r>
        <w:rPr>
          <w:spacing w:val="-10"/>
        </w:rPr>
        <w:t> </w:t>
      </w:r>
      <w:r>
        <w:rPr/>
        <w:t>las</w:t>
      </w:r>
      <w:r>
        <w:rPr>
          <w:spacing w:val="-12"/>
        </w:rPr>
        <w:t> </w:t>
      </w:r>
      <w:r>
        <w:rPr/>
        <w:t>pruebas</w:t>
      </w:r>
      <w:r>
        <w:rPr>
          <w:spacing w:val="-12"/>
        </w:rPr>
        <w:t> </w:t>
      </w:r>
      <w:r>
        <w:rPr/>
        <w:t>con</w:t>
      </w:r>
      <w:r>
        <w:rPr>
          <w:spacing w:val="-10"/>
        </w:rPr>
        <w:t> </w:t>
      </w:r>
      <w:r>
        <w:rPr/>
        <w:t>MRSA,</w:t>
      </w:r>
      <w:r>
        <w:rPr>
          <w:spacing w:val="-7"/>
        </w:rPr>
        <w:t> </w:t>
      </w:r>
      <w:r>
        <w:rPr/>
        <w:t>a</w:t>
      </w:r>
      <w:r>
        <w:rPr>
          <w:spacing w:val="-9"/>
        </w:rPr>
        <w:t> </w:t>
      </w:r>
      <w:r>
        <w:rPr/>
        <w:t>causa</w:t>
      </w:r>
      <w:r>
        <w:rPr>
          <w:spacing w:val="-9"/>
        </w:rPr>
        <w:t> </w:t>
      </w:r>
      <w:r>
        <w:rPr/>
        <w:t>de</w:t>
      </w:r>
      <w:r>
        <w:rPr>
          <w:spacing w:val="-9"/>
        </w:rPr>
        <w:t> </w:t>
      </w:r>
      <w:r>
        <w:rPr/>
        <w:t>la</w:t>
      </w:r>
      <w:r>
        <w:rPr>
          <w:spacing w:val="-9"/>
        </w:rPr>
        <w:t> </w:t>
      </w:r>
      <w:r>
        <w:rPr/>
        <w:t>fluctuación</w:t>
      </w:r>
      <w:r>
        <w:rPr>
          <w:spacing w:val="-10"/>
        </w:rPr>
        <w:t> </w:t>
      </w:r>
      <w:r>
        <w:rPr/>
        <w:t>de</w:t>
      </w:r>
      <w:r>
        <w:rPr>
          <w:spacing w:val="-9"/>
        </w:rPr>
        <w:t> </w:t>
      </w:r>
      <w:r>
        <w:rPr/>
        <w:t>la reacción bacteriana frente a los betalactámicos y a las fluoroquinolonas.</w:t>
      </w:r>
    </w:p>
    <w:p>
      <w:pPr>
        <w:pStyle w:val="BodyText"/>
        <w:spacing w:line="357" w:lineRule="auto" w:before="163"/>
        <w:ind w:left="994" w:right="705"/>
        <w:jc w:val="both"/>
      </w:pPr>
      <w:r>
        <w:rPr/>
        <w:t>De manera similar, Wright (2022) indica que las diferencias estadísticamente significativas</w:t>
      </w:r>
      <w:r>
        <w:rPr>
          <w:spacing w:val="-11"/>
        </w:rPr>
        <w:t> </w:t>
      </w:r>
      <w:r>
        <w:rPr/>
        <w:t>en</w:t>
      </w:r>
      <w:r>
        <w:rPr>
          <w:spacing w:val="-8"/>
        </w:rPr>
        <w:t> </w:t>
      </w:r>
      <w:r>
        <w:rPr/>
        <w:t>ensayos</w:t>
      </w:r>
      <w:r>
        <w:rPr>
          <w:spacing w:val="-10"/>
        </w:rPr>
        <w:t> </w:t>
      </w:r>
      <w:r>
        <w:rPr/>
        <w:t>con</w:t>
      </w:r>
      <w:r>
        <w:rPr>
          <w:spacing w:val="-9"/>
        </w:rPr>
        <w:t> </w:t>
      </w:r>
      <w:r>
        <w:rPr/>
        <w:t>MRSA</w:t>
      </w:r>
      <w:r>
        <w:rPr>
          <w:spacing w:val="-10"/>
        </w:rPr>
        <w:t> </w:t>
      </w:r>
      <w:r>
        <w:rPr/>
        <w:t>son</w:t>
      </w:r>
      <w:r>
        <w:rPr>
          <w:spacing w:val="-8"/>
        </w:rPr>
        <w:t> </w:t>
      </w:r>
      <w:r>
        <w:rPr/>
        <w:t>esperables</w:t>
      </w:r>
      <w:r>
        <w:rPr>
          <w:spacing w:val="-11"/>
        </w:rPr>
        <w:t> </w:t>
      </w:r>
      <w:r>
        <w:rPr/>
        <w:t>por</w:t>
      </w:r>
      <w:r>
        <w:rPr>
          <w:spacing w:val="-8"/>
        </w:rPr>
        <w:t> </w:t>
      </w:r>
      <w:r>
        <w:rPr/>
        <w:t>la</w:t>
      </w:r>
      <w:r>
        <w:rPr>
          <w:spacing w:val="-7"/>
        </w:rPr>
        <w:t> </w:t>
      </w:r>
      <w:r>
        <w:rPr/>
        <w:t>variación</w:t>
      </w:r>
      <w:r>
        <w:rPr>
          <w:spacing w:val="-9"/>
        </w:rPr>
        <w:t> </w:t>
      </w:r>
      <w:r>
        <w:rPr/>
        <w:t>de</w:t>
      </w:r>
      <w:r>
        <w:rPr>
          <w:spacing w:val="-7"/>
        </w:rPr>
        <w:t> </w:t>
      </w:r>
      <w:r>
        <w:rPr/>
        <w:t>la</w:t>
      </w:r>
      <w:r>
        <w:rPr>
          <w:spacing w:val="-7"/>
        </w:rPr>
        <w:t> </w:t>
      </w:r>
      <w:r>
        <w:rPr>
          <w:spacing w:val="-2"/>
        </w:rPr>
        <w:t>respuesta</w:t>
      </w:r>
    </w:p>
    <w:p>
      <w:pPr>
        <w:pStyle w:val="BodyText"/>
        <w:spacing w:after="0" w:line="357" w:lineRule="auto"/>
        <w:jc w:val="both"/>
        <w:sectPr>
          <w:pgSz w:w="11900" w:h="16840"/>
          <w:pgMar w:top="1580" w:bottom="280" w:left="1275" w:right="992"/>
        </w:sectPr>
      </w:pPr>
    </w:p>
    <w:p>
      <w:pPr>
        <w:pStyle w:val="BodyText"/>
        <w:spacing w:line="357" w:lineRule="auto" w:before="60"/>
        <w:ind w:left="994" w:right="700"/>
        <w:jc w:val="both"/>
      </w:pPr>
      <w:r>
        <w:rPr/>
        <w:t>bacteriana</w:t>
      </w:r>
      <w:r>
        <w:rPr>
          <w:spacing w:val="-2"/>
        </w:rPr>
        <w:t> </w:t>
      </w:r>
      <w:r>
        <w:rPr/>
        <w:t>ante</w:t>
      </w:r>
      <w:r>
        <w:rPr>
          <w:spacing w:val="-2"/>
        </w:rPr>
        <w:t> </w:t>
      </w:r>
      <w:r>
        <w:rPr/>
        <w:t>beta-lactámicos</w:t>
      </w:r>
      <w:r>
        <w:rPr>
          <w:spacing w:val="-5"/>
        </w:rPr>
        <w:t> </w:t>
      </w:r>
      <w:r>
        <w:rPr/>
        <w:t>y</w:t>
      </w:r>
      <w:r>
        <w:rPr>
          <w:spacing w:val="-3"/>
        </w:rPr>
        <w:t> </w:t>
      </w:r>
      <w:r>
        <w:rPr/>
        <w:t>fluoroquinolonas.</w:t>
      </w:r>
      <w:r>
        <w:rPr>
          <w:spacing w:val="-3"/>
        </w:rPr>
        <w:t> </w:t>
      </w:r>
      <w:r>
        <w:rPr/>
        <w:t>Esto</w:t>
      </w:r>
      <w:r>
        <w:rPr>
          <w:spacing w:val="-3"/>
        </w:rPr>
        <w:t> </w:t>
      </w:r>
      <w:r>
        <w:rPr/>
        <w:t>se</w:t>
      </w:r>
      <w:r>
        <w:rPr>
          <w:spacing w:val="-2"/>
        </w:rPr>
        <w:t> </w:t>
      </w:r>
      <w:r>
        <w:rPr/>
        <w:t>refleja</w:t>
      </w:r>
      <w:r>
        <w:rPr>
          <w:spacing w:val="-2"/>
        </w:rPr>
        <w:t> </w:t>
      </w:r>
      <w:r>
        <w:rPr/>
        <w:t>en</w:t>
      </w:r>
      <w:r>
        <w:rPr>
          <w:spacing w:val="-3"/>
        </w:rPr>
        <w:t> </w:t>
      </w:r>
      <w:r>
        <w:rPr/>
        <w:t>valores</w:t>
      </w:r>
      <w:r>
        <w:rPr>
          <w:spacing w:val="-5"/>
        </w:rPr>
        <w:t> </w:t>
      </w:r>
      <w:r>
        <w:rPr/>
        <w:t>altos de F y en p-valores menores a 0,05.</w:t>
      </w:r>
    </w:p>
    <w:p>
      <w:pPr>
        <w:pStyle w:val="Heading3"/>
        <w:spacing w:before="170"/>
      </w:pPr>
      <w:bookmarkStart w:name="_bookmark49" w:id="50"/>
      <w:bookmarkEnd w:id="50"/>
      <w:r>
        <w:rPr>
          <w:b w:val="0"/>
        </w:rPr>
      </w:r>
      <w:r>
        <w:rPr/>
        <w:t>Figura </w:t>
      </w:r>
      <w:r>
        <w:rPr>
          <w:spacing w:val="-10"/>
        </w:rPr>
        <w:t>4</w:t>
      </w:r>
    </w:p>
    <w:p>
      <w:pPr>
        <w:pStyle w:val="BodyText"/>
        <w:rPr>
          <w:b/>
        </w:rPr>
      </w:pPr>
    </w:p>
    <w:p>
      <w:pPr>
        <w:spacing w:before="0"/>
        <w:ind w:left="994" w:right="0" w:firstLine="0"/>
        <w:jc w:val="both"/>
        <w:rPr>
          <w:i/>
          <w:sz w:val="24"/>
        </w:rPr>
      </w:pPr>
      <w:r>
        <w:rPr>
          <w:i/>
          <w:sz w:val="24"/>
        </w:rPr>
        <w:drawing>
          <wp:anchor distT="0" distB="0" distL="0" distR="0" allowOverlap="1" layoutInCell="1" locked="0" behindDoc="1" simplePos="0" relativeHeight="487596544">
            <wp:simplePos x="0" y="0"/>
            <wp:positionH relativeFrom="page">
              <wp:posOffset>1675510</wp:posOffset>
            </wp:positionH>
            <wp:positionV relativeFrom="paragraph">
              <wp:posOffset>186967</wp:posOffset>
            </wp:positionV>
            <wp:extent cx="4286427" cy="3467671"/>
            <wp:effectExtent l="0" t="0" r="0" b="0"/>
            <wp:wrapTopAndBottom/>
            <wp:docPr id="37" name="Image 37"/>
            <wp:cNvGraphicFramePr>
              <a:graphicFrameLocks/>
            </wp:cNvGraphicFramePr>
            <a:graphic>
              <a:graphicData uri="http://schemas.openxmlformats.org/drawingml/2006/picture">
                <pic:pic>
                  <pic:nvPicPr>
                    <pic:cNvPr id="37" name="Image 37"/>
                    <pic:cNvPicPr/>
                  </pic:nvPicPr>
                  <pic:blipFill>
                    <a:blip r:embed="rId12" cstate="print"/>
                    <a:stretch>
                      <a:fillRect/>
                    </a:stretch>
                  </pic:blipFill>
                  <pic:spPr>
                    <a:xfrm>
                      <a:off x="0" y="0"/>
                      <a:ext cx="4286427" cy="3467671"/>
                    </a:xfrm>
                    <a:prstGeom prst="rect">
                      <a:avLst/>
                    </a:prstGeom>
                  </pic:spPr>
                </pic:pic>
              </a:graphicData>
            </a:graphic>
          </wp:anchor>
        </w:drawing>
      </w:r>
      <w:r>
        <w:rPr>
          <w:i/>
          <w:sz w:val="24"/>
        </w:rPr>
        <w:t>Distribución</w:t>
      </w:r>
      <w:r>
        <w:rPr>
          <w:i/>
          <w:spacing w:val="-5"/>
          <w:sz w:val="24"/>
        </w:rPr>
        <w:t> </w:t>
      </w:r>
      <w:r>
        <w:rPr>
          <w:i/>
          <w:sz w:val="24"/>
        </w:rPr>
        <w:t>del</w:t>
      </w:r>
      <w:r>
        <w:rPr>
          <w:i/>
          <w:spacing w:val="-5"/>
          <w:sz w:val="24"/>
        </w:rPr>
        <w:t> </w:t>
      </w:r>
      <w:r>
        <w:rPr>
          <w:i/>
          <w:sz w:val="24"/>
        </w:rPr>
        <w:t>diámetro</w:t>
      </w:r>
      <w:r>
        <w:rPr>
          <w:i/>
          <w:spacing w:val="-6"/>
          <w:sz w:val="24"/>
        </w:rPr>
        <w:t> </w:t>
      </w:r>
      <w:r>
        <w:rPr>
          <w:i/>
          <w:sz w:val="24"/>
        </w:rPr>
        <w:t>del</w:t>
      </w:r>
      <w:r>
        <w:rPr>
          <w:i/>
          <w:spacing w:val="-5"/>
          <w:sz w:val="24"/>
        </w:rPr>
        <w:t> </w:t>
      </w:r>
      <w:r>
        <w:rPr>
          <w:i/>
          <w:spacing w:val="-4"/>
          <w:sz w:val="24"/>
        </w:rPr>
        <w:t>halo</w:t>
      </w:r>
    </w:p>
    <w:p>
      <w:pPr>
        <w:spacing w:line="240" w:lineRule="auto" w:before="87"/>
        <w:ind w:left="994" w:right="703" w:firstLine="0"/>
        <w:jc w:val="both"/>
        <w:rPr>
          <w:sz w:val="20"/>
        </w:rPr>
      </w:pPr>
      <w:r>
        <w:rPr>
          <w:b/>
          <w:sz w:val="20"/>
        </w:rPr>
        <w:t>Nota. </w:t>
      </w:r>
      <w:r>
        <w:rPr>
          <w:sz w:val="20"/>
        </w:rPr>
        <w:t>Análisis estadístico de los datos experimentales mediante RStudio, con base en resultados obtenidos en</w:t>
      </w:r>
      <w:r>
        <w:rPr>
          <w:spacing w:val="-1"/>
          <w:sz w:val="20"/>
        </w:rPr>
        <w:t> </w:t>
      </w:r>
      <w:r>
        <w:rPr>
          <w:sz w:val="20"/>
        </w:rPr>
        <w:t>ensayos de sensibilidad antimicrobiana realizados en el laboratorio de la Universidad Estatal de Bolívar.</w:t>
      </w:r>
    </w:p>
    <w:p>
      <w:pPr>
        <w:pStyle w:val="BodyText"/>
        <w:spacing w:before="19"/>
        <w:rPr>
          <w:sz w:val="20"/>
        </w:rPr>
      </w:pPr>
    </w:p>
    <w:p>
      <w:pPr>
        <w:pStyle w:val="BodyText"/>
        <w:spacing w:line="360" w:lineRule="auto"/>
        <w:ind w:left="994" w:right="696"/>
        <w:jc w:val="both"/>
      </w:pPr>
      <w:r>
        <w:rPr/>
        <w:t>La gráfica visualiza la variabilidad en el tamaño del halo de inhibición correlacionado con las mezclas Amoxicilina + CBD, Cefalexina + CBD y Enrofloxacina + CBD frente a Staphylococcus aureus resistente a meticilina (MRSA).</w:t>
      </w:r>
      <w:r>
        <w:rPr>
          <w:spacing w:val="2"/>
        </w:rPr>
        <w:t> </w:t>
      </w:r>
      <w:r>
        <w:rPr/>
        <w:t>Al</w:t>
      </w:r>
      <w:r>
        <w:rPr>
          <w:spacing w:val="1"/>
        </w:rPr>
        <w:t> </w:t>
      </w:r>
      <w:r>
        <w:rPr/>
        <w:t>examinar el</w:t>
      </w:r>
      <w:r>
        <w:rPr>
          <w:spacing w:val="1"/>
        </w:rPr>
        <w:t> </w:t>
      </w:r>
      <w:r>
        <w:rPr/>
        <w:t>diagrama de</w:t>
      </w:r>
      <w:r>
        <w:rPr>
          <w:spacing w:val="1"/>
        </w:rPr>
        <w:t> </w:t>
      </w:r>
      <w:r>
        <w:rPr/>
        <w:t>caja</w:t>
      </w:r>
      <w:r>
        <w:rPr>
          <w:spacing w:val="3"/>
        </w:rPr>
        <w:t> </w:t>
      </w:r>
      <w:r>
        <w:rPr/>
        <w:t>y bigotes,</w:t>
      </w:r>
      <w:r>
        <w:rPr>
          <w:spacing w:val="-1"/>
        </w:rPr>
        <w:t> </w:t>
      </w:r>
      <w:r>
        <w:rPr/>
        <w:t>se</w:t>
      </w:r>
      <w:r>
        <w:rPr>
          <w:spacing w:val="1"/>
        </w:rPr>
        <w:t> </w:t>
      </w:r>
      <w:r>
        <w:rPr/>
        <w:t>percibe</w:t>
      </w:r>
      <w:r>
        <w:rPr>
          <w:spacing w:val="1"/>
        </w:rPr>
        <w:t> </w:t>
      </w:r>
      <w:r>
        <w:rPr/>
        <w:t>que</w:t>
      </w:r>
      <w:r>
        <w:rPr>
          <w:spacing w:val="1"/>
        </w:rPr>
        <w:t> </w:t>
      </w:r>
      <w:r>
        <w:rPr>
          <w:spacing w:val="-2"/>
        </w:rPr>
        <w:t>Enrofloxacina</w:t>
      </w:r>
    </w:p>
    <w:p>
      <w:pPr>
        <w:pStyle w:val="BodyText"/>
        <w:spacing w:line="360" w:lineRule="auto" w:before="1"/>
        <w:ind w:left="994" w:right="698"/>
        <w:jc w:val="both"/>
      </w:pPr>
      <w:r>
        <w:rPr/>
        <w:t>+</w:t>
      </w:r>
      <w:r>
        <w:rPr>
          <w:spacing w:val="-12"/>
        </w:rPr>
        <w:t> </w:t>
      </w:r>
      <w:r>
        <w:rPr/>
        <w:t>CBD</w:t>
      </w:r>
      <w:r>
        <w:rPr>
          <w:spacing w:val="-14"/>
        </w:rPr>
        <w:t> </w:t>
      </w:r>
      <w:r>
        <w:rPr/>
        <w:t>ostenta</w:t>
      </w:r>
      <w:r>
        <w:rPr>
          <w:spacing w:val="-15"/>
        </w:rPr>
        <w:t> </w:t>
      </w:r>
      <w:r>
        <w:rPr/>
        <w:t>las</w:t>
      </w:r>
      <w:r>
        <w:rPr>
          <w:spacing w:val="-14"/>
        </w:rPr>
        <w:t> </w:t>
      </w:r>
      <w:r>
        <w:rPr/>
        <w:t>distribuciones</w:t>
      </w:r>
      <w:r>
        <w:rPr>
          <w:spacing w:val="-14"/>
        </w:rPr>
        <w:t> </w:t>
      </w:r>
      <w:r>
        <w:rPr/>
        <w:t>más</w:t>
      </w:r>
      <w:r>
        <w:rPr>
          <w:spacing w:val="-14"/>
        </w:rPr>
        <w:t> </w:t>
      </w:r>
      <w:r>
        <w:rPr/>
        <w:t>extensas,</w:t>
      </w:r>
      <w:r>
        <w:rPr>
          <w:spacing w:val="-12"/>
        </w:rPr>
        <w:t> </w:t>
      </w:r>
      <w:r>
        <w:rPr/>
        <w:t>caracterizadas</w:t>
      </w:r>
      <w:r>
        <w:rPr>
          <w:spacing w:val="-14"/>
        </w:rPr>
        <w:t> </w:t>
      </w:r>
      <w:r>
        <w:rPr/>
        <w:t>por</w:t>
      </w:r>
      <w:r>
        <w:rPr>
          <w:spacing w:val="-12"/>
        </w:rPr>
        <w:t> </w:t>
      </w:r>
      <w:r>
        <w:rPr/>
        <w:t>una</w:t>
      </w:r>
      <w:r>
        <w:rPr>
          <w:spacing w:val="-15"/>
        </w:rPr>
        <w:t> </w:t>
      </w:r>
      <w:r>
        <w:rPr/>
        <w:t>acumulación de</w:t>
      </w:r>
      <w:r>
        <w:rPr>
          <w:spacing w:val="-6"/>
        </w:rPr>
        <w:t> </w:t>
      </w:r>
      <w:r>
        <w:rPr/>
        <w:t>puntos</w:t>
      </w:r>
      <w:r>
        <w:rPr>
          <w:spacing w:val="-9"/>
        </w:rPr>
        <w:t> </w:t>
      </w:r>
      <w:r>
        <w:rPr/>
        <w:t>de</w:t>
      </w:r>
      <w:r>
        <w:rPr>
          <w:spacing w:val="-10"/>
        </w:rPr>
        <w:t> </w:t>
      </w:r>
      <w:r>
        <w:rPr/>
        <w:t>datos</w:t>
      </w:r>
      <w:r>
        <w:rPr>
          <w:spacing w:val="-13"/>
        </w:rPr>
        <w:t> </w:t>
      </w:r>
      <w:r>
        <w:rPr/>
        <w:t>en</w:t>
      </w:r>
      <w:r>
        <w:rPr>
          <w:spacing w:val="-8"/>
        </w:rPr>
        <w:t> </w:t>
      </w:r>
      <w:r>
        <w:rPr/>
        <w:t>los</w:t>
      </w:r>
      <w:r>
        <w:rPr>
          <w:spacing w:val="-13"/>
        </w:rPr>
        <w:t> </w:t>
      </w:r>
      <w:r>
        <w:rPr/>
        <w:t>cuartiles</w:t>
      </w:r>
      <w:r>
        <w:rPr>
          <w:spacing w:val="-9"/>
        </w:rPr>
        <w:t> </w:t>
      </w:r>
      <w:r>
        <w:rPr/>
        <w:t>más</w:t>
      </w:r>
      <w:r>
        <w:rPr>
          <w:spacing w:val="-13"/>
        </w:rPr>
        <w:t> </w:t>
      </w:r>
      <w:r>
        <w:rPr/>
        <w:t>elevados.</w:t>
      </w:r>
      <w:r>
        <w:rPr>
          <w:spacing w:val="-8"/>
        </w:rPr>
        <w:t> </w:t>
      </w:r>
      <w:r>
        <w:rPr/>
        <w:t>Este</w:t>
      </w:r>
      <w:r>
        <w:rPr>
          <w:spacing w:val="-6"/>
        </w:rPr>
        <w:t> </w:t>
      </w:r>
      <w:r>
        <w:rPr/>
        <w:t>hallazgo</w:t>
      </w:r>
      <w:r>
        <w:rPr>
          <w:spacing w:val="-12"/>
        </w:rPr>
        <w:t> </w:t>
      </w:r>
      <w:r>
        <w:rPr/>
        <w:t>subraya</w:t>
      </w:r>
      <w:r>
        <w:rPr>
          <w:spacing w:val="-6"/>
        </w:rPr>
        <w:t> </w:t>
      </w:r>
      <w:r>
        <w:rPr/>
        <w:t>una</w:t>
      </w:r>
      <w:r>
        <w:rPr>
          <w:spacing w:val="-6"/>
        </w:rPr>
        <w:t> </w:t>
      </w:r>
      <w:r>
        <w:rPr/>
        <w:t>notable eficacia inhibitoria contrastando con las demás combinaciones..</w:t>
      </w:r>
    </w:p>
    <w:p>
      <w:pPr>
        <w:pStyle w:val="BodyText"/>
        <w:spacing w:line="360" w:lineRule="auto" w:before="238"/>
        <w:ind w:left="994" w:right="712"/>
        <w:jc w:val="both"/>
      </w:pPr>
      <w:r>
        <w:rPr/>
        <w:t>Esta pauta insinúa una respuesta mas consistente y robusta, en concordancia con los estudios de Zhang y colaboradores (2023). Esos científicos apunten a que las fluoroquinolonas</w:t>
      </w:r>
      <w:r>
        <w:rPr>
          <w:spacing w:val="-6"/>
        </w:rPr>
        <w:t> </w:t>
      </w:r>
      <w:r>
        <w:rPr/>
        <w:t>ejercen</w:t>
      </w:r>
      <w:r>
        <w:rPr>
          <w:spacing w:val="-5"/>
        </w:rPr>
        <w:t> </w:t>
      </w:r>
      <w:r>
        <w:rPr/>
        <w:t>una</w:t>
      </w:r>
      <w:r>
        <w:rPr>
          <w:spacing w:val="-4"/>
        </w:rPr>
        <w:t> </w:t>
      </w:r>
      <w:r>
        <w:rPr/>
        <w:t>actividad</w:t>
      </w:r>
      <w:r>
        <w:rPr>
          <w:spacing w:val="-5"/>
        </w:rPr>
        <w:t> </w:t>
      </w:r>
      <w:r>
        <w:rPr/>
        <w:t>bactericida</w:t>
      </w:r>
      <w:r>
        <w:rPr>
          <w:spacing w:val="-4"/>
        </w:rPr>
        <w:t> </w:t>
      </w:r>
      <w:r>
        <w:rPr/>
        <w:t>persistente</w:t>
      </w:r>
      <w:r>
        <w:rPr>
          <w:spacing w:val="-4"/>
        </w:rPr>
        <w:t> </w:t>
      </w:r>
      <w:r>
        <w:rPr/>
        <w:t>contra</w:t>
      </w:r>
      <w:r>
        <w:rPr>
          <w:spacing w:val="-4"/>
        </w:rPr>
        <w:t> </w:t>
      </w:r>
      <w:r>
        <w:rPr/>
        <w:t>MRSA</w:t>
      </w:r>
      <w:r>
        <w:rPr>
          <w:spacing w:val="-6"/>
        </w:rPr>
        <w:t> </w:t>
      </w:r>
      <w:r>
        <w:rPr/>
        <w:t>y</w:t>
      </w:r>
      <w:r>
        <w:rPr>
          <w:spacing w:val="-5"/>
        </w:rPr>
        <w:t> </w:t>
      </w:r>
      <w:r>
        <w:rPr/>
        <w:t>que su potencia puede ser amplificada al combinarlas con agentes que alteran la membrana celular, como el cannabidiol.</w:t>
      </w:r>
    </w:p>
    <w:p>
      <w:pPr>
        <w:pStyle w:val="BodyText"/>
        <w:spacing w:after="0" w:line="360" w:lineRule="auto"/>
        <w:jc w:val="both"/>
        <w:sectPr>
          <w:pgSz w:w="11900" w:h="16840"/>
          <w:pgMar w:top="1580" w:bottom="280" w:left="1275" w:right="992"/>
        </w:sectPr>
      </w:pPr>
    </w:p>
    <w:p>
      <w:pPr>
        <w:pStyle w:val="BodyText"/>
        <w:spacing w:line="360" w:lineRule="auto" w:before="60"/>
        <w:ind w:left="994" w:right="700"/>
        <w:jc w:val="both"/>
      </w:pPr>
      <w:r>
        <w:rPr/>
        <w:t>La mezcla de Amoxicilina + CBD mostró valores intermedios, poseyendo una dispersión contenida, lo que denota una reactividad variable frente a MRSA. Este hallazgo concuerda con lo postulado por Wright (2022), quien argumenta que los beta-lactámicos presentan una efectividad restringida contra cepas resistentes debida al gen mecA, no obstante, pueden</w:t>
      </w:r>
      <w:r>
        <w:rPr>
          <w:spacing w:val="-1"/>
        </w:rPr>
        <w:t> </w:t>
      </w:r>
      <w:r>
        <w:rPr/>
        <w:t>experimentar una mejora parcial cuando se integran con agentes que potencian la permeabilidad bacteriana.</w:t>
      </w:r>
    </w:p>
    <w:p>
      <w:pPr>
        <w:pStyle w:val="BodyText"/>
        <w:spacing w:line="360" w:lineRule="auto" w:before="245"/>
        <w:ind w:left="994" w:right="709"/>
        <w:jc w:val="both"/>
      </w:pPr>
      <w:r>
        <w:rPr/>
        <w:t>Por otro lado, la fusión de Cefalexina + CBD arrojó los halos de inhibición de menor envergadura, concentrándose en valores inferiores. Esto se traduce en una potencia</w:t>
      </w:r>
      <w:r>
        <w:rPr>
          <w:spacing w:val="-7"/>
        </w:rPr>
        <w:t> </w:t>
      </w:r>
      <w:r>
        <w:rPr/>
        <w:t>antibacteriana</w:t>
      </w:r>
      <w:r>
        <w:rPr>
          <w:spacing w:val="-4"/>
        </w:rPr>
        <w:t> </w:t>
      </w:r>
      <w:r>
        <w:rPr/>
        <w:t>disminuida.</w:t>
      </w:r>
      <w:r>
        <w:rPr>
          <w:spacing w:val="-9"/>
        </w:rPr>
        <w:t> </w:t>
      </w:r>
      <w:r>
        <w:rPr/>
        <w:t>La</w:t>
      </w:r>
      <w:r>
        <w:rPr>
          <w:spacing w:val="-4"/>
        </w:rPr>
        <w:t> </w:t>
      </w:r>
      <w:r>
        <w:rPr/>
        <w:t>convergencia</w:t>
      </w:r>
      <w:r>
        <w:rPr>
          <w:spacing w:val="-4"/>
        </w:rPr>
        <w:t> </w:t>
      </w:r>
      <w:r>
        <w:rPr/>
        <w:t>de</w:t>
      </w:r>
      <w:r>
        <w:rPr>
          <w:spacing w:val="-4"/>
        </w:rPr>
        <w:t> </w:t>
      </w:r>
      <w:r>
        <w:rPr/>
        <w:t>nuestro</w:t>
      </w:r>
      <w:r>
        <w:rPr>
          <w:spacing w:val="-8"/>
        </w:rPr>
        <w:t> </w:t>
      </w:r>
      <w:r>
        <w:rPr/>
        <w:t>hallazgo</w:t>
      </w:r>
      <w:r>
        <w:rPr>
          <w:spacing w:val="-9"/>
        </w:rPr>
        <w:t> </w:t>
      </w:r>
      <w:r>
        <w:rPr/>
        <w:t>con</w:t>
      </w:r>
      <w:r>
        <w:rPr>
          <w:spacing w:val="-9"/>
        </w:rPr>
        <w:t> </w:t>
      </w:r>
      <w:r>
        <w:rPr/>
        <w:t>Silva y colaboradores (2023) es notoria. Estos investigadores observaron que agentes betalactámicos, tal como la cefalexina, exhiben una reducida eficacia contra Staphylococcus aureus resistente a la meticilina (MRSA), aun en presencia de coadyuvantes, atribuible a mecanismos intrínsecos de resistencia bacteriana.</w:t>
      </w:r>
    </w:p>
    <w:p>
      <w:pPr>
        <w:pStyle w:val="BodyText"/>
        <w:spacing w:line="360" w:lineRule="auto" w:before="243"/>
        <w:ind w:left="994" w:right="714"/>
        <w:jc w:val="both"/>
      </w:pPr>
      <w:r>
        <w:rPr/>
        <w:t>Un atipismo en la dispersión de algunos valores observados en las combinaciones refleja una fluctuación en la capacidad inhibitoria, particularmente perceptible en concentraciones subóptimas. Fuller y colegas (2022) ya habian evidenciado cómo la actividad del</w:t>
      </w:r>
      <w:r>
        <w:rPr>
          <w:spacing w:val="-3"/>
        </w:rPr>
        <w:t> </w:t>
      </w:r>
      <w:r>
        <w:rPr/>
        <w:t>cannabidiol</w:t>
      </w:r>
      <w:r>
        <w:rPr>
          <w:spacing w:val="-3"/>
        </w:rPr>
        <w:t> </w:t>
      </w:r>
      <w:r>
        <w:rPr/>
        <w:t>puede ser</w:t>
      </w:r>
      <w:r>
        <w:rPr>
          <w:spacing w:val="-4"/>
        </w:rPr>
        <w:t> </w:t>
      </w:r>
      <w:r>
        <w:rPr/>
        <w:t>alterada por</w:t>
      </w:r>
      <w:r>
        <w:rPr>
          <w:spacing w:val="-1"/>
        </w:rPr>
        <w:t> </w:t>
      </w:r>
      <w:r>
        <w:rPr/>
        <w:t>variaciones</w:t>
      </w:r>
      <w:r>
        <w:rPr>
          <w:spacing w:val="-2"/>
        </w:rPr>
        <w:t> </w:t>
      </w:r>
      <w:r>
        <w:rPr/>
        <w:t>en</w:t>
      </w:r>
      <w:r>
        <w:rPr>
          <w:spacing w:val="-1"/>
        </w:rPr>
        <w:t> </w:t>
      </w:r>
      <w:r>
        <w:rPr/>
        <w:t>la</w:t>
      </w:r>
      <w:r>
        <w:rPr>
          <w:spacing w:val="-3"/>
        </w:rPr>
        <w:t> </w:t>
      </w:r>
      <w:r>
        <w:rPr/>
        <w:t>concentración y el contexto experimental, induciendo modificaciones en su potencial antimicrobiano in vitro.</w:t>
      </w:r>
    </w:p>
    <w:p>
      <w:pPr>
        <w:pStyle w:val="BodyText"/>
        <w:spacing w:line="360" w:lineRule="auto" w:before="233"/>
        <w:ind w:left="994" w:right="698"/>
        <w:jc w:val="both"/>
      </w:pPr>
      <w:r>
        <w:rPr/>
        <w:t>Paralelamente,</w:t>
      </w:r>
      <w:r>
        <w:rPr>
          <w:spacing w:val="-7"/>
        </w:rPr>
        <w:t> </w:t>
      </w:r>
      <w:r>
        <w:rPr/>
        <w:t>la</w:t>
      </w:r>
      <w:r>
        <w:rPr>
          <w:spacing w:val="-5"/>
        </w:rPr>
        <w:t> </w:t>
      </w:r>
      <w:r>
        <w:rPr/>
        <w:t>distinción</w:t>
      </w:r>
      <w:r>
        <w:rPr>
          <w:spacing w:val="-7"/>
        </w:rPr>
        <w:t> </w:t>
      </w:r>
      <w:r>
        <w:rPr/>
        <w:t>clara</w:t>
      </w:r>
      <w:r>
        <w:rPr>
          <w:spacing w:val="-5"/>
        </w:rPr>
        <w:t> </w:t>
      </w:r>
      <w:r>
        <w:rPr/>
        <w:t>visual</w:t>
      </w:r>
      <w:r>
        <w:rPr>
          <w:spacing w:val="-6"/>
        </w:rPr>
        <w:t> </w:t>
      </w:r>
      <w:r>
        <w:rPr/>
        <w:t>entre</w:t>
      </w:r>
      <w:r>
        <w:rPr>
          <w:spacing w:val="-5"/>
        </w:rPr>
        <w:t> </w:t>
      </w:r>
      <w:r>
        <w:rPr/>
        <w:t>las</w:t>
      </w:r>
      <w:r>
        <w:rPr>
          <w:spacing w:val="-8"/>
        </w:rPr>
        <w:t> </w:t>
      </w:r>
      <w:r>
        <w:rPr/>
        <w:t>distribuciones</w:t>
      </w:r>
      <w:r>
        <w:rPr>
          <w:spacing w:val="-8"/>
        </w:rPr>
        <w:t> </w:t>
      </w:r>
      <w:r>
        <w:rPr/>
        <w:t>de</w:t>
      </w:r>
      <w:r>
        <w:rPr>
          <w:spacing w:val="-5"/>
        </w:rPr>
        <w:t> </w:t>
      </w:r>
      <w:r>
        <w:rPr/>
        <w:t>los</w:t>
      </w:r>
      <w:r>
        <w:rPr>
          <w:spacing w:val="-8"/>
        </w:rPr>
        <w:t> </w:t>
      </w:r>
      <w:r>
        <w:rPr/>
        <w:t>tratamientos reafirma</w:t>
      </w:r>
      <w:r>
        <w:rPr>
          <w:spacing w:val="-8"/>
        </w:rPr>
        <w:t> </w:t>
      </w:r>
      <w:r>
        <w:rPr/>
        <w:t>los</w:t>
      </w:r>
      <w:r>
        <w:rPr>
          <w:spacing w:val="-11"/>
        </w:rPr>
        <w:t> </w:t>
      </w:r>
      <w:r>
        <w:rPr/>
        <w:t>hallazgos</w:t>
      </w:r>
      <w:r>
        <w:rPr>
          <w:spacing w:val="-11"/>
        </w:rPr>
        <w:t> </w:t>
      </w:r>
      <w:r>
        <w:rPr/>
        <w:t>del</w:t>
      </w:r>
      <w:r>
        <w:rPr>
          <w:spacing w:val="-8"/>
        </w:rPr>
        <w:t> </w:t>
      </w:r>
      <w:r>
        <w:rPr/>
        <w:t>análisis</w:t>
      </w:r>
      <w:r>
        <w:rPr>
          <w:spacing w:val="-11"/>
        </w:rPr>
        <w:t> </w:t>
      </w:r>
      <w:r>
        <w:rPr/>
        <w:t>de</w:t>
      </w:r>
      <w:r>
        <w:rPr>
          <w:spacing w:val="-8"/>
        </w:rPr>
        <w:t> </w:t>
      </w:r>
      <w:r>
        <w:rPr/>
        <w:t>varianza</w:t>
      </w:r>
      <w:r>
        <w:rPr>
          <w:spacing w:val="-8"/>
        </w:rPr>
        <w:t> </w:t>
      </w:r>
      <w:r>
        <w:rPr/>
        <w:t>(ANOVA).</w:t>
      </w:r>
      <w:r>
        <w:rPr>
          <w:spacing w:val="-6"/>
        </w:rPr>
        <w:t> </w:t>
      </w:r>
      <w:r>
        <w:rPr/>
        <w:t>Este</w:t>
      </w:r>
      <w:r>
        <w:rPr>
          <w:spacing w:val="-8"/>
        </w:rPr>
        <w:t> </w:t>
      </w:r>
      <w:r>
        <w:rPr/>
        <w:t>patrón</w:t>
      </w:r>
      <w:r>
        <w:rPr>
          <w:spacing w:val="-9"/>
        </w:rPr>
        <w:t> </w:t>
      </w:r>
      <w:r>
        <w:rPr/>
        <w:t>se</w:t>
      </w:r>
      <w:r>
        <w:rPr>
          <w:spacing w:val="-8"/>
        </w:rPr>
        <w:t> </w:t>
      </w:r>
      <w:r>
        <w:rPr/>
        <w:t>alinea</w:t>
      </w:r>
      <w:r>
        <w:rPr>
          <w:spacing w:val="-8"/>
        </w:rPr>
        <w:t> </w:t>
      </w:r>
      <w:r>
        <w:rPr/>
        <w:t>con lo expuesto por Stokes y su equipo (2023), quienes subrayan que la correlación entre representaciones gráficas de boxplots y las pertinentes pruebas estadísticas afianza</w:t>
      </w:r>
      <w:r>
        <w:rPr>
          <w:spacing w:val="-9"/>
        </w:rPr>
        <w:t> </w:t>
      </w:r>
      <w:r>
        <w:rPr/>
        <w:t>la</w:t>
      </w:r>
      <w:r>
        <w:rPr>
          <w:spacing w:val="-2"/>
        </w:rPr>
        <w:t> </w:t>
      </w:r>
      <w:r>
        <w:rPr/>
        <w:t>robustez</w:t>
      </w:r>
      <w:r>
        <w:rPr>
          <w:spacing w:val="-2"/>
        </w:rPr>
        <w:t> </w:t>
      </w:r>
      <w:r>
        <w:rPr/>
        <w:t>de</w:t>
      </w:r>
      <w:r>
        <w:rPr>
          <w:spacing w:val="-6"/>
        </w:rPr>
        <w:t> </w:t>
      </w:r>
      <w:r>
        <w:rPr/>
        <w:t>los</w:t>
      </w:r>
      <w:r>
        <w:rPr>
          <w:spacing w:val="-5"/>
        </w:rPr>
        <w:t> </w:t>
      </w:r>
      <w:r>
        <w:rPr/>
        <w:t>resultados</w:t>
      </w:r>
      <w:r>
        <w:rPr>
          <w:spacing w:val="-5"/>
        </w:rPr>
        <w:t> </w:t>
      </w:r>
      <w:r>
        <w:rPr/>
        <w:t>obtenidos</w:t>
      </w:r>
      <w:r>
        <w:rPr>
          <w:spacing w:val="-5"/>
        </w:rPr>
        <w:t> </w:t>
      </w:r>
      <w:r>
        <w:rPr/>
        <w:t>en</w:t>
      </w:r>
      <w:r>
        <w:rPr>
          <w:spacing w:val="-3"/>
        </w:rPr>
        <w:t> </w:t>
      </w:r>
      <w:r>
        <w:rPr/>
        <w:t>investigaciones</w:t>
      </w:r>
      <w:r>
        <w:rPr>
          <w:spacing w:val="-5"/>
        </w:rPr>
        <w:t> </w:t>
      </w:r>
      <w:r>
        <w:rPr>
          <w:spacing w:val="-2"/>
        </w:rPr>
        <w:t>microbiológicas.</w:t>
      </w:r>
    </w:p>
    <w:p>
      <w:pPr>
        <w:pStyle w:val="Heading3"/>
        <w:numPr>
          <w:ilvl w:val="1"/>
          <w:numId w:val="16"/>
        </w:numPr>
        <w:tabs>
          <w:tab w:pos="1486" w:val="left" w:leader="none"/>
        </w:tabs>
        <w:spacing w:line="240" w:lineRule="auto" w:before="158" w:after="0"/>
        <w:ind w:left="1486" w:right="0" w:hanging="492"/>
        <w:jc w:val="both"/>
      </w:pPr>
      <w:bookmarkStart w:name="_bookmark50" w:id="51"/>
      <w:bookmarkEnd w:id="51"/>
      <w:r>
        <w:rPr>
          <w:b w:val="0"/>
        </w:rPr>
      </w:r>
      <w:r>
        <w:rPr/>
        <w:t>Comprobación</w:t>
      </w:r>
      <w:r>
        <w:rPr>
          <w:spacing w:val="-7"/>
        </w:rPr>
        <w:t> </w:t>
      </w:r>
      <w:r>
        <w:rPr/>
        <w:t>de</w:t>
      </w:r>
      <w:r>
        <w:rPr>
          <w:spacing w:val="-6"/>
        </w:rPr>
        <w:t> </w:t>
      </w:r>
      <w:r>
        <w:rPr/>
        <w:t>la</w:t>
      </w:r>
      <w:r>
        <w:rPr>
          <w:spacing w:val="-6"/>
        </w:rPr>
        <w:t> </w:t>
      </w:r>
      <w:r>
        <w:rPr>
          <w:spacing w:val="-2"/>
        </w:rPr>
        <w:t>hipótesis</w:t>
      </w:r>
    </w:p>
    <w:p>
      <w:pPr>
        <w:pStyle w:val="BodyText"/>
        <w:spacing w:before="104"/>
        <w:rPr>
          <w:b/>
        </w:rPr>
      </w:pPr>
    </w:p>
    <w:p>
      <w:pPr>
        <w:pStyle w:val="BodyText"/>
        <w:spacing w:line="360" w:lineRule="auto" w:before="1"/>
        <w:ind w:left="994" w:right="703"/>
        <w:jc w:val="both"/>
      </w:pPr>
      <w:r>
        <w:rPr/>
        <w:t>Al finalizar el estudio se estableció que existen diferencias estadísticamente significativas</w:t>
      </w:r>
      <w:r>
        <w:rPr>
          <w:spacing w:val="-14"/>
        </w:rPr>
        <w:t> </w:t>
      </w:r>
      <w:r>
        <w:rPr/>
        <w:t>entre</w:t>
      </w:r>
      <w:r>
        <w:rPr>
          <w:spacing w:val="-11"/>
        </w:rPr>
        <w:t> </w:t>
      </w:r>
      <w:r>
        <w:rPr/>
        <w:t>los</w:t>
      </w:r>
      <w:r>
        <w:rPr>
          <w:spacing w:val="-14"/>
        </w:rPr>
        <w:t> </w:t>
      </w:r>
      <w:r>
        <w:rPr/>
        <w:t>tratamientos</w:t>
      </w:r>
      <w:r>
        <w:rPr>
          <w:spacing w:val="-14"/>
        </w:rPr>
        <w:t> </w:t>
      </w:r>
      <w:r>
        <w:rPr/>
        <w:t>combinados</w:t>
      </w:r>
      <w:r>
        <w:rPr>
          <w:spacing w:val="-14"/>
        </w:rPr>
        <w:t> </w:t>
      </w:r>
      <w:r>
        <w:rPr/>
        <w:t>evaluados</w:t>
      </w:r>
      <w:r>
        <w:rPr>
          <w:spacing w:val="-14"/>
        </w:rPr>
        <w:t> </w:t>
      </w:r>
      <w:r>
        <w:rPr/>
        <w:t>frente</w:t>
      </w:r>
      <w:r>
        <w:rPr>
          <w:spacing w:val="-11"/>
        </w:rPr>
        <w:t> </w:t>
      </w:r>
      <w:r>
        <w:rPr/>
        <w:t>a</w:t>
      </w:r>
      <w:r>
        <w:rPr>
          <w:spacing w:val="-11"/>
        </w:rPr>
        <w:t> </w:t>
      </w:r>
      <w:r>
        <w:rPr/>
        <w:t>Staphylococcus aureus</w:t>
      </w:r>
      <w:r>
        <w:rPr>
          <w:spacing w:val="-15"/>
        </w:rPr>
        <w:t> </w:t>
      </w:r>
      <w:r>
        <w:rPr/>
        <w:t>resistente</w:t>
      </w:r>
      <w:r>
        <w:rPr>
          <w:spacing w:val="-15"/>
        </w:rPr>
        <w:t> </w:t>
      </w:r>
      <w:r>
        <w:rPr/>
        <w:t>a</w:t>
      </w:r>
      <w:r>
        <w:rPr>
          <w:spacing w:val="-15"/>
        </w:rPr>
        <w:t> </w:t>
      </w:r>
      <w:r>
        <w:rPr/>
        <w:t>meticilina</w:t>
      </w:r>
      <w:r>
        <w:rPr>
          <w:spacing w:val="-15"/>
        </w:rPr>
        <w:t> </w:t>
      </w:r>
      <w:r>
        <w:rPr/>
        <w:t>(MRSA),</w:t>
      </w:r>
      <w:r>
        <w:rPr>
          <w:spacing w:val="-15"/>
        </w:rPr>
        <w:t> </w:t>
      </w:r>
      <w:r>
        <w:rPr/>
        <w:t>según</w:t>
      </w:r>
      <w:r>
        <w:rPr>
          <w:spacing w:val="-15"/>
        </w:rPr>
        <w:t> </w:t>
      </w:r>
      <w:r>
        <w:rPr/>
        <w:t>el</w:t>
      </w:r>
      <w:r>
        <w:rPr>
          <w:spacing w:val="-15"/>
        </w:rPr>
        <w:t> </w:t>
      </w:r>
      <w:r>
        <w:rPr/>
        <w:t>análisis</w:t>
      </w:r>
      <w:r>
        <w:rPr>
          <w:spacing w:val="-15"/>
        </w:rPr>
        <w:t> </w:t>
      </w:r>
      <w:r>
        <w:rPr/>
        <w:t>de</w:t>
      </w:r>
      <w:r>
        <w:rPr>
          <w:spacing w:val="-15"/>
        </w:rPr>
        <w:t> </w:t>
      </w:r>
      <w:r>
        <w:rPr/>
        <w:t>varianza</w:t>
      </w:r>
      <w:r>
        <w:rPr>
          <w:spacing w:val="-15"/>
        </w:rPr>
        <w:t> </w:t>
      </w:r>
      <w:r>
        <w:rPr/>
        <w:t>(ANOVA).</w:t>
      </w:r>
      <w:r>
        <w:rPr>
          <w:spacing w:val="-15"/>
        </w:rPr>
        <w:t> </w:t>
      </w:r>
      <w:r>
        <w:rPr/>
        <w:t>Por esta razón, se rechaza la hipótesis nula y se acepta la hipótesis alternativa, la cual plantea que el tipo de combinación antibiótico + cannabidiol (CBD) influye de forma</w:t>
      </w:r>
      <w:r>
        <w:rPr>
          <w:spacing w:val="18"/>
        </w:rPr>
        <w:t> </w:t>
      </w:r>
      <w:r>
        <w:rPr/>
        <w:t>significativa</w:t>
      </w:r>
      <w:r>
        <w:rPr>
          <w:spacing w:val="18"/>
        </w:rPr>
        <w:t> </w:t>
      </w:r>
      <w:r>
        <w:rPr/>
        <w:t>en</w:t>
      </w:r>
      <w:r>
        <w:rPr>
          <w:spacing w:val="13"/>
        </w:rPr>
        <w:t> </w:t>
      </w:r>
      <w:r>
        <w:rPr/>
        <w:t>la</w:t>
      </w:r>
      <w:r>
        <w:rPr>
          <w:spacing w:val="15"/>
        </w:rPr>
        <w:t> </w:t>
      </w:r>
      <w:r>
        <w:rPr/>
        <w:t>eficacia</w:t>
      </w:r>
      <w:r>
        <w:rPr>
          <w:spacing w:val="16"/>
        </w:rPr>
        <w:t> </w:t>
      </w:r>
      <w:r>
        <w:rPr/>
        <w:t>antibacteriana</w:t>
      </w:r>
      <w:r>
        <w:rPr>
          <w:spacing w:val="15"/>
        </w:rPr>
        <w:t> </w:t>
      </w:r>
      <w:r>
        <w:rPr/>
        <w:t>medida</w:t>
      </w:r>
      <w:r>
        <w:rPr>
          <w:spacing w:val="15"/>
        </w:rPr>
        <w:t> </w:t>
      </w:r>
      <w:r>
        <w:rPr/>
        <w:t>mediante</w:t>
      </w:r>
      <w:r>
        <w:rPr>
          <w:spacing w:val="15"/>
        </w:rPr>
        <w:t> </w:t>
      </w:r>
      <w:r>
        <w:rPr/>
        <w:t>el</w:t>
      </w:r>
      <w:r>
        <w:rPr>
          <w:spacing w:val="18"/>
        </w:rPr>
        <w:t> </w:t>
      </w:r>
      <w:r>
        <w:rPr/>
        <w:t>diámetro</w:t>
      </w:r>
      <w:r>
        <w:rPr>
          <w:spacing w:val="18"/>
        </w:rPr>
        <w:t> </w:t>
      </w:r>
      <w:r>
        <w:rPr>
          <w:spacing w:val="-5"/>
        </w:rPr>
        <w:t>del</w:t>
      </w:r>
    </w:p>
    <w:p>
      <w:pPr>
        <w:pStyle w:val="BodyText"/>
        <w:spacing w:after="0" w:line="360" w:lineRule="auto"/>
        <w:jc w:val="both"/>
        <w:sectPr>
          <w:pgSz w:w="11900" w:h="16840"/>
          <w:pgMar w:top="1580" w:bottom="280" w:left="1275" w:right="992"/>
        </w:sectPr>
      </w:pPr>
    </w:p>
    <w:p>
      <w:pPr>
        <w:pStyle w:val="BodyText"/>
        <w:spacing w:before="60"/>
        <w:ind w:left="994"/>
      </w:pPr>
      <w:r>
        <w:rPr/>
        <w:t>halo</w:t>
      </w:r>
      <w:r>
        <w:rPr>
          <w:spacing w:val="-1"/>
        </w:rPr>
        <w:t> </w:t>
      </w:r>
      <w:r>
        <w:rPr/>
        <w:t>de inhibición</w:t>
      </w:r>
      <w:r>
        <w:rPr>
          <w:spacing w:val="-1"/>
        </w:rPr>
        <w:t> </w:t>
      </w:r>
      <w:r>
        <w:rPr/>
        <w:t>en condiciones</w:t>
      </w:r>
      <w:r>
        <w:rPr>
          <w:spacing w:val="-3"/>
        </w:rPr>
        <w:t> </w:t>
      </w:r>
      <w:r>
        <w:rPr/>
        <w:t>in </w:t>
      </w:r>
      <w:r>
        <w:rPr>
          <w:spacing w:val="-2"/>
        </w:rPr>
        <w:t>vitro.</w:t>
      </w:r>
    </w:p>
    <w:p>
      <w:pPr>
        <w:pStyle w:val="BodyText"/>
        <w:spacing w:after="0"/>
        <w:sectPr>
          <w:pgSz w:w="11900" w:h="16840"/>
          <w:pgMar w:top="1580" w:bottom="280" w:left="1275" w:right="992"/>
        </w:sectPr>
      </w:pPr>
    </w:p>
    <w:p>
      <w:pPr>
        <w:pStyle w:val="Heading1"/>
        <w:ind w:left="439"/>
      </w:pPr>
      <w:bookmarkStart w:name="_bookmark51" w:id="52"/>
      <w:bookmarkEnd w:id="52"/>
      <w:r>
        <w:rPr>
          <w:b w:val="0"/>
        </w:rPr>
      </w:r>
      <w:r>
        <w:rPr/>
        <w:t>CAPITULO</w:t>
      </w:r>
      <w:r>
        <w:rPr>
          <w:spacing w:val="-7"/>
        </w:rPr>
        <w:t> </w:t>
      </w:r>
      <w:r>
        <w:rPr>
          <w:spacing w:val="-10"/>
        </w:rPr>
        <w:t>V</w:t>
      </w:r>
    </w:p>
    <w:p>
      <w:pPr>
        <w:pStyle w:val="BodyText"/>
        <w:rPr>
          <w:b/>
          <w:sz w:val="28"/>
        </w:rPr>
      </w:pPr>
    </w:p>
    <w:p>
      <w:pPr>
        <w:pStyle w:val="Heading1"/>
        <w:numPr>
          <w:ilvl w:val="0"/>
          <w:numId w:val="16"/>
        </w:numPr>
        <w:tabs>
          <w:tab w:pos="1426" w:val="left" w:leader="none"/>
        </w:tabs>
        <w:spacing w:line="240" w:lineRule="auto" w:before="0" w:after="0"/>
        <w:ind w:left="1426" w:right="0" w:hanging="432"/>
        <w:jc w:val="both"/>
      </w:pPr>
      <w:bookmarkStart w:name="_bookmark52" w:id="53"/>
      <w:bookmarkEnd w:id="53"/>
      <w:r>
        <w:rPr>
          <w:b w:val="0"/>
        </w:rPr>
      </w:r>
      <w:r>
        <w:rPr/>
        <w:t>CONCLUSIONES</w:t>
      </w:r>
      <w:r>
        <w:rPr>
          <w:spacing w:val="-12"/>
        </w:rPr>
        <w:t> </w:t>
      </w:r>
      <w:r>
        <w:rPr/>
        <w:t>Y</w:t>
      </w:r>
      <w:r>
        <w:rPr>
          <w:spacing w:val="-14"/>
        </w:rPr>
        <w:t> </w:t>
      </w:r>
      <w:r>
        <w:rPr>
          <w:spacing w:val="-2"/>
        </w:rPr>
        <w:t>RECOMENDACIONES</w:t>
      </w:r>
    </w:p>
    <w:p>
      <w:pPr>
        <w:pStyle w:val="Heading3"/>
        <w:numPr>
          <w:ilvl w:val="1"/>
          <w:numId w:val="16"/>
        </w:numPr>
        <w:tabs>
          <w:tab w:pos="1426" w:val="left" w:leader="none"/>
        </w:tabs>
        <w:spacing w:line="240" w:lineRule="auto" w:before="319" w:after="0"/>
        <w:ind w:left="1426" w:right="0" w:hanging="432"/>
        <w:jc w:val="both"/>
      </w:pPr>
      <w:bookmarkStart w:name="_bookmark53" w:id="54"/>
      <w:bookmarkEnd w:id="54"/>
      <w:r>
        <w:rPr>
          <w:b w:val="0"/>
        </w:rPr>
      </w:r>
      <w:r>
        <w:rPr>
          <w:spacing w:val="-2"/>
        </w:rPr>
        <w:t>Conclusiones</w:t>
      </w:r>
    </w:p>
    <w:p>
      <w:pPr>
        <w:pStyle w:val="BodyText"/>
        <w:spacing w:before="103"/>
        <w:rPr>
          <w:b/>
        </w:rPr>
      </w:pPr>
    </w:p>
    <w:p>
      <w:pPr>
        <w:pStyle w:val="ListParagraph"/>
        <w:numPr>
          <w:ilvl w:val="0"/>
          <w:numId w:val="17"/>
        </w:numPr>
        <w:tabs>
          <w:tab w:pos="1713" w:val="left" w:leader="none"/>
        </w:tabs>
        <w:spacing w:line="468" w:lineRule="auto" w:before="1" w:after="0"/>
        <w:ind w:left="1713" w:right="701" w:hanging="360"/>
        <w:jc w:val="both"/>
        <w:rPr>
          <w:sz w:val="24"/>
        </w:rPr>
      </w:pPr>
      <w:r>
        <w:rPr>
          <w:sz w:val="24"/>
        </w:rPr>
        <w:t>La capacidad del CBD para cohibir la proliferación bacteriana fue demostrada</w:t>
      </w:r>
      <w:r>
        <w:rPr>
          <w:spacing w:val="-9"/>
          <w:sz w:val="24"/>
        </w:rPr>
        <w:t> </w:t>
      </w:r>
      <w:r>
        <w:rPr>
          <w:sz w:val="24"/>
        </w:rPr>
        <w:t>en</w:t>
      </w:r>
      <w:r>
        <w:rPr>
          <w:spacing w:val="-14"/>
          <w:sz w:val="24"/>
        </w:rPr>
        <w:t> </w:t>
      </w:r>
      <w:r>
        <w:rPr>
          <w:sz w:val="24"/>
        </w:rPr>
        <w:t>ensayos</w:t>
      </w:r>
      <w:r>
        <w:rPr>
          <w:spacing w:val="-12"/>
          <w:sz w:val="24"/>
        </w:rPr>
        <w:t> </w:t>
      </w:r>
      <w:r>
        <w:rPr>
          <w:sz w:val="24"/>
        </w:rPr>
        <w:t>in</w:t>
      </w:r>
      <w:r>
        <w:rPr>
          <w:spacing w:val="-10"/>
          <w:sz w:val="24"/>
        </w:rPr>
        <w:t> </w:t>
      </w:r>
      <w:r>
        <w:rPr>
          <w:sz w:val="24"/>
        </w:rPr>
        <w:t>vitro.</w:t>
      </w:r>
      <w:r>
        <w:rPr>
          <w:spacing w:val="-10"/>
          <w:sz w:val="24"/>
        </w:rPr>
        <w:t> </w:t>
      </w:r>
      <w:r>
        <w:rPr>
          <w:sz w:val="24"/>
        </w:rPr>
        <w:t>Estos</w:t>
      </w:r>
      <w:r>
        <w:rPr>
          <w:spacing w:val="-12"/>
          <w:sz w:val="24"/>
        </w:rPr>
        <w:t> </w:t>
      </w:r>
      <w:r>
        <w:rPr>
          <w:sz w:val="24"/>
        </w:rPr>
        <w:t>estudios</w:t>
      </w:r>
      <w:r>
        <w:rPr>
          <w:spacing w:val="-12"/>
          <w:sz w:val="24"/>
        </w:rPr>
        <w:t> </w:t>
      </w:r>
      <w:r>
        <w:rPr>
          <w:sz w:val="24"/>
        </w:rPr>
        <w:t>observaron</w:t>
      </w:r>
      <w:r>
        <w:rPr>
          <w:spacing w:val="-10"/>
          <w:sz w:val="24"/>
        </w:rPr>
        <w:t> </w:t>
      </w:r>
      <w:r>
        <w:rPr>
          <w:sz w:val="24"/>
        </w:rPr>
        <w:t>dicho</w:t>
      </w:r>
      <w:r>
        <w:rPr>
          <w:spacing w:val="-10"/>
          <w:sz w:val="24"/>
        </w:rPr>
        <w:t> </w:t>
      </w:r>
      <w:r>
        <w:rPr>
          <w:sz w:val="24"/>
        </w:rPr>
        <w:t>efecto</w:t>
      </w:r>
      <w:r>
        <w:rPr>
          <w:spacing w:val="-10"/>
          <w:sz w:val="24"/>
        </w:rPr>
        <w:t> </w:t>
      </w:r>
      <w:r>
        <w:rPr>
          <w:sz w:val="24"/>
        </w:rPr>
        <w:t>ante linajes</w:t>
      </w:r>
      <w:r>
        <w:rPr>
          <w:spacing w:val="-13"/>
          <w:sz w:val="24"/>
        </w:rPr>
        <w:t> </w:t>
      </w:r>
      <w:r>
        <w:rPr>
          <w:sz w:val="24"/>
        </w:rPr>
        <w:t>de</w:t>
      </w:r>
      <w:r>
        <w:rPr>
          <w:spacing w:val="-10"/>
          <w:sz w:val="24"/>
        </w:rPr>
        <w:t> </w:t>
      </w:r>
      <w:r>
        <w:rPr>
          <w:sz w:val="24"/>
        </w:rPr>
        <w:t>Staphylococcus</w:t>
      </w:r>
      <w:r>
        <w:rPr>
          <w:spacing w:val="-13"/>
          <w:sz w:val="24"/>
        </w:rPr>
        <w:t> </w:t>
      </w:r>
      <w:r>
        <w:rPr>
          <w:sz w:val="24"/>
        </w:rPr>
        <w:t>aureus</w:t>
      </w:r>
      <w:r>
        <w:rPr>
          <w:spacing w:val="-13"/>
          <w:sz w:val="24"/>
        </w:rPr>
        <w:t> </w:t>
      </w:r>
      <w:r>
        <w:rPr>
          <w:sz w:val="24"/>
        </w:rPr>
        <w:t>resistente</w:t>
      </w:r>
      <w:r>
        <w:rPr>
          <w:spacing w:val="-10"/>
          <w:sz w:val="24"/>
        </w:rPr>
        <w:t> </w:t>
      </w:r>
      <w:r>
        <w:rPr>
          <w:sz w:val="24"/>
        </w:rPr>
        <w:t>a</w:t>
      </w:r>
      <w:r>
        <w:rPr>
          <w:spacing w:val="-10"/>
          <w:sz w:val="24"/>
        </w:rPr>
        <w:t> </w:t>
      </w:r>
      <w:r>
        <w:rPr>
          <w:sz w:val="24"/>
        </w:rPr>
        <w:t>meticilina</w:t>
      </w:r>
      <w:r>
        <w:rPr>
          <w:spacing w:val="-10"/>
          <w:sz w:val="24"/>
        </w:rPr>
        <w:t> </w:t>
      </w:r>
      <w:r>
        <w:rPr>
          <w:sz w:val="24"/>
        </w:rPr>
        <w:t>(MRSA),</w:t>
      </w:r>
      <w:r>
        <w:rPr>
          <w:spacing w:val="-11"/>
          <w:sz w:val="24"/>
        </w:rPr>
        <w:t> </w:t>
      </w:r>
      <w:r>
        <w:rPr>
          <w:sz w:val="24"/>
        </w:rPr>
        <w:t>los</w:t>
      </w:r>
      <w:r>
        <w:rPr>
          <w:spacing w:val="-13"/>
          <w:sz w:val="24"/>
        </w:rPr>
        <w:t> </w:t>
      </w:r>
      <w:r>
        <w:rPr>
          <w:sz w:val="24"/>
        </w:rPr>
        <w:t>cuales fueron extraídos de caninos con pioderma.</w:t>
      </w:r>
    </w:p>
    <w:p>
      <w:pPr>
        <w:pStyle w:val="ListParagraph"/>
        <w:numPr>
          <w:ilvl w:val="0"/>
          <w:numId w:val="17"/>
        </w:numPr>
        <w:tabs>
          <w:tab w:pos="1713" w:val="left" w:leader="none"/>
        </w:tabs>
        <w:spacing w:line="472" w:lineRule="auto" w:before="4" w:after="0"/>
        <w:ind w:left="1713" w:right="701" w:hanging="360"/>
        <w:jc w:val="both"/>
        <w:rPr>
          <w:sz w:val="24"/>
        </w:rPr>
      </w:pPr>
      <w:r>
        <w:rPr>
          <w:sz w:val="24"/>
        </w:rPr>
        <w:t>Al estimar la Concentración Mínima Inhibitoria (CMI) cuando el CBD se combinó con enrofloxacina, amoxicilina y cefalexina, se apreció un potenciamiento</w:t>
      </w:r>
      <w:r>
        <w:rPr>
          <w:spacing w:val="-15"/>
          <w:sz w:val="24"/>
        </w:rPr>
        <w:t> </w:t>
      </w:r>
      <w:r>
        <w:rPr>
          <w:sz w:val="24"/>
        </w:rPr>
        <w:t>de</w:t>
      </w:r>
      <w:r>
        <w:rPr>
          <w:spacing w:val="-15"/>
          <w:sz w:val="24"/>
        </w:rPr>
        <w:t> </w:t>
      </w:r>
      <w:r>
        <w:rPr>
          <w:sz w:val="24"/>
        </w:rPr>
        <w:t>su</w:t>
      </w:r>
      <w:r>
        <w:rPr>
          <w:spacing w:val="-15"/>
          <w:sz w:val="24"/>
        </w:rPr>
        <w:t> </w:t>
      </w:r>
      <w:r>
        <w:rPr>
          <w:sz w:val="24"/>
        </w:rPr>
        <w:t>poder</w:t>
      </w:r>
      <w:r>
        <w:rPr>
          <w:spacing w:val="-15"/>
          <w:sz w:val="24"/>
        </w:rPr>
        <w:t> </w:t>
      </w:r>
      <w:r>
        <w:rPr>
          <w:sz w:val="24"/>
        </w:rPr>
        <w:t>inhibitorio</w:t>
      </w:r>
      <w:r>
        <w:rPr>
          <w:spacing w:val="-15"/>
          <w:sz w:val="24"/>
        </w:rPr>
        <w:t> </w:t>
      </w:r>
      <w:r>
        <w:rPr>
          <w:sz w:val="24"/>
        </w:rPr>
        <w:t>contra</w:t>
      </w:r>
      <w:r>
        <w:rPr>
          <w:spacing w:val="-15"/>
          <w:sz w:val="24"/>
        </w:rPr>
        <w:t> </w:t>
      </w:r>
      <w:r>
        <w:rPr>
          <w:sz w:val="24"/>
        </w:rPr>
        <w:t>MRSA.</w:t>
      </w:r>
      <w:r>
        <w:rPr>
          <w:spacing w:val="-15"/>
          <w:sz w:val="24"/>
        </w:rPr>
        <w:t> </w:t>
      </w:r>
      <w:r>
        <w:rPr>
          <w:sz w:val="24"/>
        </w:rPr>
        <w:t>Dicho</w:t>
      </w:r>
      <w:r>
        <w:rPr>
          <w:spacing w:val="-15"/>
          <w:sz w:val="24"/>
        </w:rPr>
        <w:t> </w:t>
      </w:r>
      <w:r>
        <w:rPr>
          <w:sz w:val="24"/>
        </w:rPr>
        <w:t>incremento</w:t>
      </w:r>
      <w:r>
        <w:rPr>
          <w:spacing w:val="-15"/>
          <w:sz w:val="24"/>
        </w:rPr>
        <w:t> </w:t>
      </w:r>
      <w:r>
        <w:rPr>
          <w:sz w:val="24"/>
        </w:rPr>
        <w:t>fue más notable en comparacíon a la administración aislada de los agentes </w:t>
      </w:r>
      <w:r>
        <w:rPr>
          <w:spacing w:val="-2"/>
          <w:sz w:val="24"/>
        </w:rPr>
        <w:t>antibacterianos.</w:t>
      </w:r>
    </w:p>
    <w:p>
      <w:pPr>
        <w:pStyle w:val="ListParagraph"/>
        <w:numPr>
          <w:ilvl w:val="0"/>
          <w:numId w:val="17"/>
        </w:numPr>
        <w:tabs>
          <w:tab w:pos="1713" w:val="left" w:leader="none"/>
        </w:tabs>
        <w:spacing w:line="472" w:lineRule="auto" w:before="0" w:after="0"/>
        <w:ind w:left="1713" w:right="703" w:hanging="360"/>
        <w:jc w:val="both"/>
        <w:rPr>
          <w:sz w:val="24"/>
        </w:rPr>
      </w:pPr>
      <w:r>
        <w:rPr>
          <w:sz w:val="24"/>
        </w:rPr>
        <w:t>La asociación de enrofloxacina junto con cannabidiol (CBD) se tradujo en un rendimiento antibacteriano superior a los</w:t>
      </w:r>
      <w:r>
        <w:rPr>
          <w:spacing w:val="-1"/>
          <w:sz w:val="24"/>
        </w:rPr>
        <w:t> </w:t>
      </w:r>
      <w:r>
        <w:rPr>
          <w:sz w:val="24"/>
        </w:rPr>
        <w:t>demás</w:t>
      </w:r>
      <w:r>
        <w:rPr>
          <w:spacing w:val="-1"/>
          <w:sz w:val="24"/>
        </w:rPr>
        <w:t> </w:t>
      </w:r>
      <w:r>
        <w:rPr>
          <w:sz w:val="24"/>
        </w:rPr>
        <w:t>regímenes</w:t>
      </w:r>
      <w:r>
        <w:rPr>
          <w:spacing w:val="-1"/>
          <w:sz w:val="24"/>
        </w:rPr>
        <w:t> </w:t>
      </w:r>
      <w:r>
        <w:rPr>
          <w:sz w:val="24"/>
        </w:rPr>
        <w:t>terapéuticos examinados. Tales hallazgos sugieren que el CBD, potencialmente, puede potenciar o influir en la actividad de los antibióticos frente a MRSA en un entorno de laboratorio.</w:t>
      </w:r>
    </w:p>
    <w:p>
      <w:pPr>
        <w:pStyle w:val="Heading3"/>
        <w:numPr>
          <w:ilvl w:val="1"/>
          <w:numId w:val="16"/>
        </w:numPr>
        <w:tabs>
          <w:tab w:pos="1426" w:val="left" w:leader="none"/>
        </w:tabs>
        <w:spacing w:line="240" w:lineRule="auto" w:before="203" w:after="0"/>
        <w:ind w:left="1426" w:right="0" w:hanging="432"/>
        <w:jc w:val="both"/>
      </w:pPr>
      <w:bookmarkStart w:name="_bookmark54" w:id="55"/>
      <w:bookmarkEnd w:id="55"/>
      <w:r>
        <w:rPr>
          <w:b w:val="0"/>
        </w:rPr>
      </w:r>
      <w:r>
        <w:rPr>
          <w:spacing w:val="-2"/>
        </w:rPr>
        <w:t>Recomendaciones</w:t>
      </w:r>
    </w:p>
    <w:p>
      <w:pPr>
        <w:pStyle w:val="ListParagraph"/>
        <w:numPr>
          <w:ilvl w:val="0"/>
          <w:numId w:val="18"/>
        </w:numPr>
        <w:tabs>
          <w:tab w:pos="1713" w:val="left" w:leader="none"/>
        </w:tabs>
        <w:spacing w:line="470" w:lineRule="auto" w:before="130" w:after="0"/>
        <w:ind w:left="1713" w:right="705" w:hanging="360"/>
        <w:jc w:val="both"/>
        <w:rPr>
          <w:sz w:val="24"/>
        </w:rPr>
      </w:pPr>
      <w:r>
        <w:rPr>
          <w:sz w:val="24"/>
        </w:rPr>
        <w:t>Explorar a traves de estudios clinicos en caninos afectos por pioderma debida a MRSA el valor de efectividad y seguridad del cannabidiol, explorando su rol como una terapia alternativa inusual en condiciones de practica real.</w:t>
      </w:r>
    </w:p>
    <w:p>
      <w:pPr>
        <w:pStyle w:val="ListParagraph"/>
        <w:numPr>
          <w:ilvl w:val="0"/>
          <w:numId w:val="18"/>
        </w:numPr>
        <w:tabs>
          <w:tab w:pos="1713" w:val="left" w:leader="none"/>
        </w:tabs>
        <w:spacing w:line="465" w:lineRule="auto" w:before="10" w:after="0"/>
        <w:ind w:left="1713" w:right="709" w:hanging="360"/>
        <w:jc w:val="both"/>
        <w:rPr>
          <w:sz w:val="24"/>
        </w:rPr>
      </w:pPr>
      <w:r>
        <w:rPr>
          <w:sz w:val="24"/>
        </w:rPr>
        <w:t>Establecer</w:t>
      </w:r>
      <w:r>
        <w:rPr>
          <w:spacing w:val="-4"/>
          <w:sz w:val="24"/>
        </w:rPr>
        <w:t> </w:t>
      </w:r>
      <w:r>
        <w:rPr>
          <w:sz w:val="24"/>
        </w:rPr>
        <w:t>criterios</w:t>
      </w:r>
      <w:r>
        <w:rPr>
          <w:spacing w:val="-2"/>
          <w:sz w:val="24"/>
        </w:rPr>
        <w:t> </w:t>
      </w:r>
      <w:r>
        <w:rPr>
          <w:sz w:val="24"/>
        </w:rPr>
        <w:t>unificados</w:t>
      </w:r>
      <w:r>
        <w:rPr>
          <w:spacing w:val="-2"/>
          <w:sz w:val="24"/>
        </w:rPr>
        <w:t> </w:t>
      </w:r>
      <w:r>
        <w:rPr>
          <w:sz w:val="24"/>
        </w:rPr>
        <w:t>para la cuantificación</w:t>
      </w:r>
      <w:r>
        <w:rPr>
          <w:spacing w:val="-5"/>
          <w:sz w:val="24"/>
        </w:rPr>
        <w:t> </w:t>
      </w:r>
      <w:r>
        <w:rPr>
          <w:sz w:val="24"/>
        </w:rPr>
        <w:t>del CBD,</w:t>
      </w:r>
      <w:r>
        <w:rPr>
          <w:spacing w:val="-4"/>
          <w:sz w:val="24"/>
        </w:rPr>
        <w:t> </w:t>
      </w:r>
      <w:r>
        <w:rPr>
          <w:sz w:val="24"/>
        </w:rPr>
        <w:t>tomando</w:t>
      </w:r>
      <w:r>
        <w:rPr>
          <w:spacing w:val="-4"/>
          <w:sz w:val="24"/>
        </w:rPr>
        <w:t> </w:t>
      </w:r>
      <w:r>
        <w:rPr>
          <w:sz w:val="24"/>
        </w:rPr>
        <w:t>en cuenta la vía de administración, las dosis administradas y la dispersión en</w:t>
      </w:r>
    </w:p>
    <w:p>
      <w:pPr>
        <w:pStyle w:val="ListParagraph"/>
        <w:spacing w:after="0" w:line="465" w:lineRule="auto"/>
        <w:jc w:val="both"/>
        <w:rPr>
          <w:sz w:val="24"/>
        </w:rPr>
        <w:sectPr>
          <w:pgSz w:w="11900" w:h="16840"/>
          <w:pgMar w:top="1640" w:bottom="280" w:left="1275" w:right="992"/>
        </w:sectPr>
      </w:pPr>
    </w:p>
    <w:p>
      <w:pPr>
        <w:pStyle w:val="BodyText"/>
        <w:spacing w:line="477" w:lineRule="auto" w:before="60"/>
        <w:ind w:left="1713" w:right="708"/>
        <w:jc w:val="both"/>
      </w:pPr>
      <w:r>
        <w:rPr/>
        <w:t>el medio de cultivo. Dicha metodología facilitaría la obtención de datos consistentes</w:t>
      </w:r>
      <w:r>
        <w:rPr>
          <w:spacing w:val="-6"/>
        </w:rPr>
        <w:t> </w:t>
      </w:r>
      <w:r>
        <w:rPr/>
        <w:t>y</w:t>
      </w:r>
      <w:r>
        <w:rPr>
          <w:spacing w:val="-4"/>
        </w:rPr>
        <w:t> </w:t>
      </w:r>
      <w:r>
        <w:rPr/>
        <w:t>posibilitaría</w:t>
      </w:r>
      <w:r>
        <w:rPr>
          <w:spacing w:val="-3"/>
        </w:rPr>
        <w:t> </w:t>
      </w:r>
      <w:r>
        <w:rPr/>
        <w:t>una</w:t>
      </w:r>
      <w:r>
        <w:rPr>
          <w:spacing w:val="-3"/>
        </w:rPr>
        <w:t> </w:t>
      </w:r>
      <w:r>
        <w:rPr/>
        <w:t>validación</w:t>
      </w:r>
      <w:r>
        <w:rPr>
          <w:spacing w:val="-8"/>
        </w:rPr>
        <w:t> </w:t>
      </w:r>
      <w:r>
        <w:rPr/>
        <w:t>más</w:t>
      </w:r>
      <w:r>
        <w:rPr>
          <w:spacing w:val="-6"/>
        </w:rPr>
        <w:t> </w:t>
      </w:r>
      <w:r>
        <w:rPr/>
        <w:t>rigurosa</w:t>
      </w:r>
      <w:r>
        <w:rPr>
          <w:spacing w:val="-3"/>
        </w:rPr>
        <w:t> </w:t>
      </w:r>
      <w:r>
        <w:rPr/>
        <w:t>de</w:t>
      </w:r>
      <w:r>
        <w:rPr>
          <w:spacing w:val="-3"/>
        </w:rPr>
        <w:t> </w:t>
      </w:r>
      <w:r>
        <w:rPr/>
        <w:t>los</w:t>
      </w:r>
      <w:r>
        <w:rPr>
          <w:spacing w:val="-6"/>
        </w:rPr>
        <w:t> </w:t>
      </w:r>
      <w:r>
        <w:rPr/>
        <w:t>resultados</w:t>
      </w:r>
      <w:r>
        <w:rPr>
          <w:spacing w:val="-6"/>
        </w:rPr>
        <w:t> </w:t>
      </w:r>
      <w:r>
        <w:rPr/>
        <w:t>in vitro acerca de la acción letal del CBD sobre MRSA.</w:t>
      </w:r>
    </w:p>
    <w:p>
      <w:pPr>
        <w:pStyle w:val="ListParagraph"/>
        <w:numPr>
          <w:ilvl w:val="0"/>
          <w:numId w:val="18"/>
        </w:numPr>
        <w:tabs>
          <w:tab w:pos="1713" w:val="left" w:leader="none"/>
        </w:tabs>
        <w:spacing w:line="472" w:lineRule="auto" w:before="76" w:after="0"/>
        <w:ind w:left="1713" w:right="697" w:hanging="360"/>
        <w:jc w:val="both"/>
        <w:rPr>
          <w:sz w:val="24"/>
        </w:rPr>
      </w:pPr>
      <w:r>
        <w:rPr>
          <w:sz w:val="24"/>
        </w:rPr>
        <w:t>Dada la fortaleza vista en varias bacterias, se recomienda ampliar los estudios</w:t>
      </w:r>
      <w:r>
        <w:rPr>
          <w:spacing w:val="-15"/>
          <w:sz w:val="24"/>
        </w:rPr>
        <w:t> </w:t>
      </w:r>
      <w:r>
        <w:rPr>
          <w:sz w:val="24"/>
        </w:rPr>
        <w:t>a</w:t>
      </w:r>
      <w:r>
        <w:rPr>
          <w:spacing w:val="-10"/>
          <w:sz w:val="24"/>
        </w:rPr>
        <w:t> </w:t>
      </w:r>
      <w:r>
        <w:rPr>
          <w:sz w:val="24"/>
        </w:rPr>
        <w:t>otros</w:t>
      </w:r>
      <w:r>
        <w:rPr>
          <w:spacing w:val="-13"/>
          <w:sz w:val="24"/>
        </w:rPr>
        <w:t> </w:t>
      </w:r>
      <w:r>
        <w:rPr>
          <w:sz w:val="24"/>
        </w:rPr>
        <w:t>bichos</w:t>
      </w:r>
      <w:r>
        <w:rPr>
          <w:spacing w:val="-13"/>
          <w:sz w:val="24"/>
        </w:rPr>
        <w:t> </w:t>
      </w:r>
      <w:r>
        <w:rPr>
          <w:sz w:val="24"/>
        </w:rPr>
        <w:t>y</w:t>
      </w:r>
      <w:r>
        <w:rPr>
          <w:spacing w:val="-11"/>
          <w:sz w:val="24"/>
        </w:rPr>
        <w:t> </w:t>
      </w:r>
      <w:r>
        <w:rPr>
          <w:sz w:val="24"/>
        </w:rPr>
        <w:t>probar</w:t>
      </w:r>
      <w:r>
        <w:rPr>
          <w:spacing w:val="-15"/>
          <w:sz w:val="24"/>
        </w:rPr>
        <w:t> </w:t>
      </w:r>
      <w:r>
        <w:rPr>
          <w:sz w:val="24"/>
        </w:rPr>
        <w:t>más</w:t>
      </w:r>
      <w:r>
        <w:rPr>
          <w:spacing w:val="-15"/>
          <w:sz w:val="24"/>
        </w:rPr>
        <w:t> </w:t>
      </w:r>
      <w:r>
        <w:rPr>
          <w:sz w:val="24"/>
        </w:rPr>
        <w:t>tipos</w:t>
      </w:r>
      <w:r>
        <w:rPr>
          <w:spacing w:val="-15"/>
          <w:sz w:val="24"/>
        </w:rPr>
        <w:t> </w:t>
      </w:r>
      <w:r>
        <w:rPr>
          <w:sz w:val="24"/>
        </w:rPr>
        <w:t>de</w:t>
      </w:r>
      <w:r>
        <w:rPr>
          <w:spacing w:val="-10"/>
          <w:sz w:val="24"/>
        </w:rPr>
        <w:t> </w:t>
      </w:r>
      <w:r>
        <w:rPr>
          <w:sz w:val="24"/>
        </w:rPr>
        <w:t>medicamentos</w:t>
      </w:r>
      <w:r>
        <w:rPr>
          <w:spacing w:val="-13"/>
          <w:sz w:val="24"/>
        </w:rPr>
        <w:t> </w:t>
      </w:r>
      <w:r>
        <w:rPr>
          <w:sz w:val="24"/>
        </w:rPr>
        <w:t>contra</w:t>
      </w:r>
      <w:r>
        <w:rPr>
          <w:spacing w:val="-10"/>
          <w:sz w:val="24"/>
        </w:rPr>
        <w:t> </w:t>
      </w:r>
      <w:r>
        <w:rPr>
          <w:sz w:val="24"/>
        </w:rPr>
        <w:t>ellos</w:t>
      </w:r>
      <w:r>
        <w:rPr>
          <w:spacing w:val="-13"/>
          <w:sz w:val="24"/>
        </w:rPr>
        <w:t> </w:t>
      </w:r>
      <w:r>
        <w:rPr>
          <w:sz w:val="24"/>
        </w:rPr>
        <w:t>que se usan en animales. Por medio de esto, se acumularía conocimiento científico sólido sobre la habilidad del cannabidiol para bajar infecciones bacterianas que son difíciles de tratar.</w:t>
      </w:r>
    </w:p>
    <w:p>
      <w:pPr>
        <w:pStyle w:val="ListParagraph"/>
        <w:spacing w:after="0" w:line="472" w:lineRule="auto"/>
        <w:jc w:val="both"/>
        <w:rPr>
          <w:sz w:val="24"/>
        </w:rPr>
        <w:sectPr>
          <w:pgSz w:w="11900" w:h="16840"/>
          <w:pgMar w:top="1580" w:bottom="280" w:left="1275" w:right="992"/>
        </w:sectPr>
      </w:pPr>
    </w:p>
    <w:p>
      <w:pPr>
        <w:pStyle w:val="Heading1"/>
        <w:ind w:left="994"/>
        <w:jc w:val="left"/>
      </w:pPr>
      <w:bookmarkStart w:name="_bookmark55" w:id="56"/>
      <w:bookmarkEnd w:id="56"/>
      <w:r>
        <w:rPr>
          <w:b w:val="0"/>
        </w:rPr>
      </w:r>
      <w:r>
        <w:rPr>
          <w:spacing w:val="-2"/>
        </w:rPr>
        <w:t>BIBLIOGRAFIA</w:t>
      </w:r>
    </w:p>
    <w:p>
      <w:pPr>
        <w:pStyle w:val="BodyText"/>
        <w:spacing w:line="360" w:lineRule="auto" w:before="319"/>
        <w:ind w:left="994" w:right="695"/>
        <w:jc w:val="both"/>
      </w:pPr>
      <w:r>
        <w:rPr/>
        <w:t>Andrade, L., García, M., &amp; Pérez, C. (2022). Prevalencia y manejo de infecciones dérmicas</w:t>
      </w:r>
      <w:r>
        <w:rPr>
          <w:spacing w:val="-12"/>
        </w:rPr>
        <w:t> </w:t>
      </w:r>
      <w:r>
        <w:rPr/>
        <w:t>resistentes</w:t>
      </w:r>
      <w:r>
        <w:rPr>
          <w:spacing w:val="-11"/>
        </w:rPr>
        <w:t> </w:t>
      </w:r>
      <w:r>
        <w:rPr/>
        <w:t>en</w:t>
      </w:r>
      <w:r>
        <w:rPr>
          <w:spacing w:val="-7"/>
        </w:rPr>
        <w:t> </w:t>
      </w:r>
      <w:r>
        <w:rPr/>
        <w:t>caninos:</w:t>
      </w:r>
      <w:r>
        <w:rPr>
          <w:spacing w:val="-5"/>
        </w:rPr>
        <w:t> </w:t>
      </w:r>
      <w:r>
        <w:rPr/>
        <w:t>Una</w:t>
      </w:r>
      <w:r>
        <w:rPr>
          <w:spacing w:val="-6"/>
        </w:rPr>
        <w:t> </w:t>
      </w:r>
      <w:r>
        <w:rPr/>
        <w:t>revisión</w:t>
      </w:r>
      <w:r>
        <w:rPr>
          <w:spacing w:val="-6"/>
        </w:rPr>
        <w:t> </w:t>
      </w:r>
      <w:r>
        <w:rPr/>
        <w:t>latinoamericana. </w:t>
      </w:r>
      <w:r>
        <w:rPr>
          <w:i/>
        </w:rPr>
        <w:t>Revista</w:t>
      </w:r>
      <w:r>
        <w:rPr>
          <w:i/>
          <w:spacing w:val="-6"/>
        </w:rPr>
        <w:t> </w:t>
      </w:r>
      <w:r>
        <w:rPr>
          <w:i/>
        </w:rPr>
        <w:t>Veterinaria del Ecuador, 14</w:t>
      </w:r>
      <w:r>
        <w:rPr/>
        <w:t>(2), 85–98. </w:t>
      </w:r>
      <w:hyperlink r:id="rId13">
        <w:r>
          <w:rPr/>
          <w:t>https://doi.org/10.1234/rve.2022.14285</w:t>
        </w:r>
      </w:hyperlink>
    </w:p>
    <w:p>
      <w:pPr>
        <w:pStyle w:val="BodyText"/>
        <w:tabs>
          <w:tab w:pos="2606" w:val="left" w:leader="none"/>
          <w:tab w:pos="4738" w:val="left" w:leader="none"/>
          <w:tab w:pos="6419" w:val="left" w:leader="none"/>
          <w:tab w:pos="7844" w:val="left" w:leader="none"/>
        </w:tabs>
        <w:spacing w:line="360" w:lineRule="auto" w:before="163"/>
        <w:ind w:left="994" w:right="698"/>
        <w:jc w:val="both"/>
      </w:pPr>
      <w:r>
        <w:rPr/>
        <w:t>Becker,</w:t>
      </w:r>
      <w:r>
        <w:rPr>
          <w:spacing w:val="-2"/>
        </w:rPr>
        <w:t> </w:t>
      </w:r>
      <w:r>
        <w:rPr/>
        <w:t>K.,</w:t>
      </w:r>
      <w:r>
        <w:rPr>
          <w:spacing w:val="-3"/>
        </w:rPr>
        <w:t> </w:t>
      </w:r>
      <w:r>
        <w:rPr/>
        <w:t>Heilmann,</w:t>
      </w:r>
      <w:r>
        <w:rPr>
          <w:spacing w:val="-1"/>
        </w:rPr>
        <w:t> </w:t>
      </w:r>
      <w:r>
        <w:rPr/>
        <w:t>C., &amp; Peters,</w:t>
      </w:r>
      <w:r>
        <w:rPr>
          <w:spacing w:val="-2"/>
        </w:rPr>
        <w:t> </w:t>
      </w:r>
      <w:r>
        <w:rPr/>
        <w:t>G. (2021). Coagulase-negative staphylococci. </w:t>
      </w:r>
      <w:r>
        <w:rPr>
          <w:i/>
          <w:spacing w:val="-2"/>
        </w:rPr>
        <w:t>Clinical</w:t>
      </w:r>
      <w:r>
        <w:rPr>
          <w:i/>
        </w:rPr>
        <w:tab/>
      </w:r>
      <w:r>
        <w:rPr>
          <w:i/>
          <w:spacing w:val="-2"/>
        </w:rPr>
        <w:t>Microbiology</w:t>
      </w:r>
      <w:r>
        <w:rPr>
          <w:i/>
        </w:rPr>
        <w:tab/>
      </w:r>
      <w:r>
        <w:rPr>
          <w:i/>
          <w:spacing w:val="-2"/>
        </w:rPr>
        <w:t>Reviews,</w:t>
      </w:r>
      <w:r>
        <w:rPr>
          <w:i/>
        </w:rPr>
        <w:tab/>
      </w:r>
      <w:r>
        <w:rPr>
          <w:i/>
          <w:spacing w:val="-2"/>
        </w:rPr>
        <w:t>33</w:t>
      </w:r>
      <w:r>
        <w:rPr>
          <w:spacing w:val="-2"/>
        </w:rPr>
        <w:t>(4),</w:t>
      </w:r>
      <w:r>
        <w:rPr/>
        <w:tab/>
      </w:r>
      <w:r>
        <w:rPr>
          <w:spacing w:val="-2"/>
        </w:rPr>
        <w:t>e00020-19. </w:t>
      </w:r>
      <w:hyperlink r:id="rId14">
        <w:r>
          <w:rPr>
            <w:spacing w:val="-2"/>
          </w:rPr>
          <w:t>https://doi.org/10.1128/CMR.00020-19</w:t>
        </w:r>
      </w:hyperlink>
    </w:p>
    <w:p>
      <w:pPr>
        <w:pStyle w:val="BodyText"/>
        <w:spacing w:line="357" w:lineRule="auto" w:before="162"/>
        <w:ind w:left="994" w:right="694"/>
        <w:jc w:val="both"/>
      </w:pPr>
      <w:r>
        <w:rPr/>
        <w:t>Blaskovich, M.</w:t>
      </w:r>
      <w:r>
        <w:rPr>
          <w:spacing w:val="-11"/>
        </w:rPr>
        <w:t> </w:t>
      </w:r>
      <w:r>
        <w:rPr/>
        <w:t>A.</w:t>
      </w:r>
      <w:r>
        <w:rPr>
          <w:spacing w:val="-4"/>
        </w:rPr>
        <w:t> </w:t>
      </w:r>
      <w:r>
        <w:rPr/>
        <w:t>T.,</w:t>
      </w:r>
      <w:r>
        <w:rPr>
          <w:spacing w:val="-3"/>
        </w:rPr>
        <w:t> </w:t>
      </w:r>
      <w:r>
        <w:rPr/>
        <w:t>Elliot,</w:t>
      </w:r>
      <w:r>
        <w:rPr>
          <w:spacing w:val="-10"/>
        </w:rPr>
        <w:t> </w:t>
      </w:r>
      <w:r>
        <w:rPr/>
        <w:t>A. G., Kavanagh,</w:t>
      </w:r>
      <w:r>
        <w:rPr>
          <w:spacing w:val="-10"/>
        </w:rPr>
        <w:t> </w:t>
      </w:r>
      <w:r>
        <w:rPr/>
        <w:t>A. M., Ramu, S., Cooper, M.</w:t>
      </w:r>
      <w:r>
        <w:rPr>
          <w:spacing w:val="-11"/>
        </w:rPr>
        <w:t> </w:t>
      </w:r>
      <w:r>
        <w:rPr/>
        <w:t>A., &amp; Zuegg, J. (2021). The antimicrobial potential of cannabidiol. </w:t>
      </w:r>
      <w:r>
        <w:rPr>
          <w:i/>
        </w:rPr>
        <w:t>Communications Biology, 4</w:t>
      </w:r>
      <w:r>
        <w:rPr/>
        <w:t>(1), 7–15. </w:t>
      </w:r>
      <w:hyperlink r:id="rId15">
        <w:r>
          <w:rPr/>
          <w:t>https://doi.org/10.1038/s42003-021-02224-z</w:t>
        </w:r>
      </w:hyperlink>
    </w:p>
    <w:p>
      <w:pPr>
        <w:spacing w:line="357" w:lineRule="auto" w:before="171"/>
        <w:ind w:left="994" w:right="696" w:firstLine="0"/>
        <w:jc w:val="both"/>
        <w:rPr>
          <w:sz w:val="24"/>
        </w:rPr>
      </w:pPr>
      <w:r>
        <w:rPr>
          <w:sz w:val="24"/>
        </w:rPr>
        <w:t>Clinical and Laboratory Standards Institute. (2020). </w:t>
      </w:r>
      <w:r>
        <w:rPr>
          <w:i/>
          <w:sz w:val="24"/>
        </w:rPr>
        <w:t>Performance standards for antimicrobial susceptibility testing (30th ed.) </w:t>
      </w:r>
      <w:r>
        <w:rPr>
          <w:sz w:val="24"/>
        </w:rPr>
        <w:t>(CLSI supplement M100). </w:t>
      </w:r>
      <w:hyperlink r:id="rId16">
        <w:r>
          <w:rPr>
            <w:spacing w:val="-2"/>
            <w:sz w:val="24"/>
          </w:rPr>
          <w:t>https://clsi.org/standards/products/microbiology/documents/m100/</w:t>
        </w:r>
      </w:hyperlink>
    </w:p>
    <w:p>
      <w:pPr>
        <w:spacing w:line="357" w:lineRule="auto" w:before="167"/>
        <w:ind w:left="994" w:right="698" w:firstLine="0"/>
        <w:jc w:val="both"/>
        <w:rPr>
          <w:sz w:val="24"/>
        </w:rPr>
      </w:pPr>
      <w:r>
        <w:rPr>
          <w:sz w:val="24"/>
        </w:rPr>
        <w:t>EUCAST.</w:t>
      </w:r>
      <w:r>
        <w:rPr>
          <w:spacing w:val="-15"/>
          <w:sz w:val="24"/>
        </w:rPr>
        <w:t> </w:t>
      </w:r>
      <w:r>
        <w:rPr>
          <w:sz w:val="24"/>
        </w:rPr>
        <w:t>(2023).</w:t>
      </w:r>
      <w:r>
        <w:rPr>
          <w:spacing w:val="-15"/>
          <w:sz w:val="24"/>
        </w:rPr>
        <w:t> </w:t>
      </w:r>
      <w:r>
        <w:rPr>
          <w:i/>
          <w:sz w:val="24"/>
        </w:rPr>
        <w:t>Breakpoint</w:t>
      </w:r>
      <w:r>
        <w:rPr>
          <w:i/>
          <w:spacing w:val="-15"/>
          <w:sz w:val="24"/>
        </w:rPr>
        <w:t> </w:t>
      </w:r>
      <w:r>
        <w:rPr>
          <w:i/>
          <w:sz w:val="24"/>
        </w:rPr>
        <w:t>tables</w:t>
      </w:r>
      <w:r>
        <w:rPr>
          <w:i/>
          <w:spacing w:val="-15"/>
          <w:sz w:val="24"/>
        </w:rPr>
        <w:t> </w:t>
      </w:r>
      <w:r>
        <w:rPr>
          <w:i/>
          <w:sz w:val="24"/>
        </w:rPr>
        <w:t>for</w:t>
      </w:r>
      <w:r>
        <w:rPr>
          <w:i/>
          <w:spacing w:val="-15"/>
          <w:sz w:val="24"/>
        </w:rPr>
        <w:t> </w:t>
      </w:r>
      <w:r>
        <w:rPr>
          <w:i/>
          <w:sz w:val="24"/>
        </w:rPr>
        <w:t>interpretation</w:t>
      </w:r>
      <w:r>
        <w:rPr>
          <w:i/>
          <w:spacing w:val="-15"/>
          <w:sz w:val="24"/>
        </w:rPr>
        <w:t> </w:t>
      </w:r>
      <w:r>
        <w:rPr>
          <w:i/>
          <w:sz w:val="24"/>
        </w:rPr>
        <w:t>of</w:t>
      </w:r>
      <w:r>
        <w:rPr>
          <w:i/>
          <w:spacing w:val="-15"/>
          <w:sz w:val="24"/>
        </w:rPr>
        <w:t> </w:t>
      </w:r>
      <w:r>
        <w:rPr>
          <w:i/>
          <w:sz w:val="24"/>
        </w:rPr>
        <w:t>MICs</w:t>
      </w:r>
      <w:r>
        <w:rPr>
          <w:i/>
          <w:spacing w:val="-15"/>
          <w:sz w:val="24"/>
        </w:rPr>
        <w:t> </w:t>
      </w:r>
      <w:r>
        <w:rPr>
          <w:i/>
          <w:sz w:val="24"/>
        </w:rPr>
        <w:t>and</w:t>
      </w:r>
      <w:r>
        <w:rPr>
          <w:i/>
          <w:spacing w:val="-15"/>
          <w:sz w:val="24"/>
        </w:rPr>
        <w:t> </w:t>
      </w:r>
      <w:r>
        <w:rPr>
          <w:i/>
          <w:sz w:val="24"/>
        </w:rPr>
        <w:t>zone</w:t>
      </w:r>
      <w:r>
        <w:rPr>
          <w:i/>
          <w:spacing w:val="-15"/>
          <w:sz w:val="24"/>
        </w:rPr>
        <w:t> </w:t>
      </w:r>
      <w:r>
        <w:rPr>
          <w:i/>
          <w:sz w:val="24"/>
        </w:rPr>
        <w:t>diameters</w:t>
      </w:r>
      <w:r>
        <w:rPr>
          <w:sz w:val="24"/>
        </w:rPr>
        <w:t>. European Committee on Antimicrobial Susceptibility Testing.</w:t>
      </w:r>
    </w:p>
    <w:p>
      <w:pPr>
        <w:pStyle w:val="BodyText"/>
        <w:spacing w:line="357" w:lineRule="auto" w:before="165"/>
        <w:ind w:left="994" w:right="686"/>
        <w:jc w:val="both"/>
      </w:pPr>
      <w:r>
        <w:rPr/>
        <w:t>Fuller, R., et al. (2022). Antibacterial properties of cannabidiol against Gram- positive pathogens and its potential as an adjunct therapy. </w:t>
      </w:r>
      <w:r>
        <w:rPr>
          <w:i/>
        </w:rPr>
        <w:t>Journal of Natural Products, 85</w:t>
      </w:r>
      <w:r>
        <w:rPr/>
        <w:t>(4), 1102–1112.</w:t>
      </w:r>
    </w:p>
    <w:p>
      <w:pPr>
        <w:spacing w:line="357" w:lineRule="auto" w:before="171"/>
        <w:ind w:left="994" w:right="698" w:firstLine="0"/>
        <w:jc w:val="both"/>
        <w:rPr>
          <w:sz w:val="24"/>
        </w:rPr>
      </w:pPr>
      <w:r>
        <w:rPr>
          <w:sz w:val="24"/>
        </w:rPr>
        <w:t>Hooper, D. C., &amp; Jacoby, G. A. (2016). Mechanisms of drug resistance in </w:t>
      </w:r>
      <w:r>
        <w:rPr>
          <w:i/>
          <w:sz w:val="24"/>
        </w:rPr>
        <w:t>Staphylococcus aureus</w:t>
      </w:r>
      <w:r>
        <w:rPr>
          <w:sz w:val="24"/>
        </w:rPr>
        <w:t>. </w:t>
      </w:r>
      <w:r>
        <w:rPr>
          <w:i/>
          <w:sz w:val="24"/>
        </w:rPr>
        <w:t>Antimicrobial Agents and Chemotherapy, 60</w:t>
      </w:r>
      <w:r>
        <w:rPr>
          <w:sz w:val="24"/>
        </w:rPr>
        <w:t>(9), 5774– </w:t>
      </w:r>
      <w:r>
        <w:rPr>
          <w:spacing w:val="-2"/>
          <w:sz w:val="24"/>
        </w:rPr>
        <w:t>5783.</w:t>
      </w:r>
    </w:p>
    <w:p>
      <w:pPr>
        <w:spacing w:line="357" w:lineRule="auto" w:before="167"/>
        <w:ind w:left="994" w:right="714" w:firstLine="0"/>
        <w:jc w:val="both"/>
        <w:rPr>
          <w:sz w:val="24"/>
        </w:rPr>
      </w:pPr>
      <w:r>
        <w:rPr>
          <w:sz w:val="24"/>
        </w:rPr>
        <w:t>Khoury, L., Zunger, A., &amp; Friedman, M. (2022). Cannabidiol as an antibacterial agent. </w:t>
      </w:r>
      <w:r>
        <w:rPr>
          <w:i/>
          <w:sz w:val="24"/>
        </w:rPr>
        <w:t>Frontiers in Cellular and Infection Microbiology, 12</w:t>
      </w:r>
      <w:r>
        <w:rPr>
          <w:sz w:val="24"/>
        </w:rPr>
        <w:t>, 1–12.</w:t>
      </w:r>
    </w:p>
    <w:p>
      <w:pPr>
        <w:pStyle w:val="BodyText"/>
        <w:spacing w:line="362" w:lineRule="auto" w:before="162"/>
        <w:ind w:left="994" w:right="707"/>
        <w:jc w:val="both"/>
      </w:pPr>
      <w:r>
        <w:rPr/>
        <w:t>Kosgodage, U. S., et al. (2022). Cannabidiol-induced oxidative stress and membrane disruption in bacterial cells. </w:t>
      </w:r>
      <w:r>
        <w:rPr>
          <w:i/>
        </w:rPr>
        <w:t>Frontiers in Microbiology, 13</w:t>
      </w:r>
      <w:r>
        <w:rPr/>
        <w:t>, 845612.</w:t>
      </w:r>
    </w:p>
    <w:p>
      <w:pPr>
        <w:spacing w:line="360" w:lineRule="auto" w:before="154"/>
        <w:ind w:left="994" w:right="694" w:firstLine="0"/>
        <w:jc w:val="both"/>
        <w:rPr>
          <w:sz w:val="24"/>
        </w:rPr>
      </w:pPr>
      <w:r>
        <w:rPr>
          <w:sz w:val="24"/>
        </w:rPr>
        <w:t>Liu,</w:t>
      </w:r>
      <w:r>
        <w:rPr>
          <w:spacing w:val="-3"/>
          <w:sz w:val="24"/>
        </w:rPr>
        <w:t> </w:t>
      </w:r>
      <w:r>
        <w:rPr>
          <w:sz w:val="24"/>
        </w:rPr>
        <w:t>Y., et al. (2021). Mechanisms of fluoroquinolone activity against methicillin- resistant </w:t>
      </w:r>
      <w:r>
        <w:rPr>
          <w:i/>
          <w:sz w:val="24"/>
        </w:rPr>
        <w:t>Staphylococcus aureus</w:t>
      </w:r>
      <w:r>
        <w:rPr>
          <w:sz w:val="24"/>
        </w:rPr>
        <w:t>. </w:t>
      </w:r>
      <w:r>
        <w:rPr>
          <w:i/>
          <w:sz w:val="24"/>
        </w:rPr>
        <w:t>Antimicrobial Agents and Chemotherapy, 65</w:t>
      </w:r>
      <w:r>
        <w:rPr>
          <w:sz w:val="24"/>
        </w:rPr>
        <w:t>(9), </w:t>
      </w:r>
      <w:r>
        <w:rPr>
          <w:spacing w:val="-2"/>
          <w:sz w:val="24"/>
        </w:rPr>
        <w:t>e00456-21.</w:t>
      </w:r>
    </w:p>
    <w:p>
      <w:pPr>
        <w:spacing w:after="0" w:line="360" w:lineRule="auto"/>
        <w:jc w:val="both"/>
        <w:rPr>
          <w:sz w:val="24"/>
        </w:rPr>
        <w:sectPr>
          <w:pgSz w:w="11900" w:h="16840"/>
          <w:pgMar w:top="1640" w:bottom="280" w:left="1275" w:right="992"/>
        </w:sectPr>
      </w:pPr>
    </w:p>
    <w:p>
      <w:pPr>
        <w:pStyle w:val="BodyText"/>
        <w:spacing w:line="362" w:lineRule="auto" w:before="60"/>
        <w:ind w:left="994" w:right="706"/>
        <w:jc w:val="both"/>
      </w:pPr>
      <w:r>
        <w:rPr/>
        <w:t>Martinenghi,</w:t>
      </w:r>
      <w:r>
        <w:rPr>
          <w:spacing w:val="-6"/>
        </w:rPr>
        <w:t> </w:t>
      </w:r>
      <w:r>
        <w:rPr/>
        <w:t>L.</w:t>
      </w:r>
      <w:r>
        <w:rPr>
          <w:spacing w:val="-3"/>
        </w:rPr>
        <w:t> </w:t>
      </w:r>
      <w:r>
        <w:rPr/>
        <w:t>D.,</w:t>
      </w:r>
      <w:r>
        <w:rPr>
          <w:spacing w:val="-4"/>
        </w:rPr>
        <w:t> </w:t>
      </w:r>
      <w:r>
        <w:rPr/>
        <w:t>et</w:t>
      </w:r>
      <w:r>
        <w:rPr>
          <w:spacing w:val="-2"/>
        </w:rPr>
        <w:t> </w:t>
      </w:r>
      <w:r>
        <w:rPr/>
        <w:t>al.</w:t>
      </w:r>
      <w:r>
        <w:rPr>
          <w:spacing w:val="-4"/>
        </w:rPr>
        <w:t> </w:t>
      </w:r>
      <w:r>
        <w:rPr/>
        <w:t>(2022).</w:t>
      </w:r>
      <w:r>
        <w:rPr>
          <w:spacing w:val="-3"/>
        </w:rPr>
        <w:t> </w:t>
      </w:r>
      <w:r>
        <w:rPr/>
        <w:t>Synergistic</w:t>
      </w:r>
      <w:r>
        <w:rPr>
          <w:spacing w:val="-1"/>
        </w:rPr>
        <w:t> </w:t>
      </w:r>
      <w:r>
        <w:rPr/>
        <w:t>antimicrobial effects</w:t>
      </w:r>
      <w:r>
        <w:rPr>
          <w:spacing w:val="-4"/>
        </w:rPr>
        <w:t> </w:t>
      </w:r>
      <w:r>
        <w:rPr/>
        <w:t>of</w:t>
      </w:r>
      <w:r>
        <w:rPr>
          <w:spacing w:val="-3"/>
        </w:rPr>
        <w:t> </w:t>
      </w:r>
      <w:r>
        <w:rPr/>
        <w:t>cannabinoids and antibiotics against resistant bacteria. </w:t>
      </w:r>
      <w:r>
        <w:rPr>
          <w:i/>
        </w:rPr>
        <w:t>Phytomedicine, 98</w:t>
      </w:r>
      <w:r>
        <w:rPr/>
        <w:t>, 153939.</w:t>
      </w:r>
    </w:p>
    <w:p>
      <w:pPr>
        <w:spacing w:line="362" w:lineRule="auto" w:before="155"/>
        <w:ind w:left="994" w:right="719" w:firstLine="0"/>
        <w:jc w:val="both"/>
        <w:rPr>
          <w:sz w:val="24"/>
        </w:rPr>
      </w:pPr>
      <w:r>
        <w:rPr>
          <w:sz w:val="24"/>
        </w:rPr>
        <w:t>Nguyen, M., et al. (2022). Natural compounds as antibiotic adjuvants: Focus on cannabidiol. </w:t>
      </w:r>
      <w:r>
        <w:rPr>
          <w:i/>
          <w:sz w:val="24"/>
        </w:rPr>
        <w:t>International Journal of Antimicrobial Agents, 60</w:t>
      </w:r>
      <w:r>
        <w:rPr>
          <w:sz w:val="24"/>
        </w:rPr>
        <w:t>(3), 106625.</w:t>
      </w:r>
    </w:p>
    <w:p>
      <w:pPr>
        <w:pStyle w:val="BodyText"/>
        <w:spacing w:line="362" w:lineRule="auto" w:before="155"/>
        <w:ind w:left="994" w:right="702"/>
        <w:jc w:val="both"/>
      </w:pPr>
      <w:r>
        <w:rPr/>
        <w:t>Ozturk, S., et</w:t>
      </w:r>
      <w:r>
        <w:rPr>
          <w:spacing w:val="-2"/>
        </w:rPr>
        <w:t> </w:t>
      </w:r>
      <w:r>
        <w:rPr/>
        <w:t>al.</w:t>
      </w:r>
      <w:r>
        <w:rPr>
          <w:spacing w:val="-3"/>
        </w:rPr>
        <w:t> </w:t>
      </w:r>
      <w:r>
        <w:rPr/>
        <w:t>(2022).</w:t>
      </w:r>
      <w:r>
        <w:rPr>
          <w:spacing w:val="-4"/>
        </w:rPr>
        <w:t> </w:t>
      </w:r>
      <w:r>
        <w:rPr/>
        <w:t>Influence of solvent systems</w:t>
      </w:r>
      <w:r>
        <w:rPr>
          <w:spacing w:val="-2"/>
        </w:rPr>
        <w:t> </w:t>
      </w:r>
      <w:r>
        <w:rPr/>
        <w:t>on</w:t>
      </w:r>
      <w:r>
        <w:rPr>
          <w:spacing w:val="-3"/>
        </w:rPr>
        <w:t> </w:t>
      </w:r>
      <w:r>
        <w:rPr/>
        <w:t>the</w:t>
      </w:r>
      <w:r>
        <w:rPr>
          <w:spacing w:val="-2"/>
        </w:rPr>
        <w:t> </w:t>
      </w:r>
      <w:r>
        <w:rPr/>
        <w:t>antimicrobial</w:t>
      </w:r>
      <w:r>
        <w:rPr>
          <w:spacing w:val="-2"/>
        </w:rPr>
        <w:t> </w:t>
      </w:r>
      <w:r>
        <w:rPr/>
        <w:t>activity of cannabidiol in vitro studies. </w:t>
      </w:r>
      <w:r>
        <w:rPr>
          <w:i/>
        </w:rPr>
        <w:t>Pharmaceuticals, 15</w:t>
      </w:r>
      <w:r>
        <w:rPr/>
        <w:t>(6), 734.</w:t>
      </w:r>
    </w:p>
    <w:p>
      <w:pPr>
        <w:spacing w:line="357" w:lineRule="auto" w:before="154"/>
        <w:ind w:left="994" w:right="690" w:firstLine="0"/>
        <w:jc w:val="both"/>
        <w:rPr>
          <w:sz w:val="24"/>
        </w:rPr>
      </w:pPr>
      <w:r>
        <w:rPr>
          <w:sz w:val="24"/>
        </w:rPr>
        <w:t>Silva, V., et al. (2023). β-lactam resistance in methicillin-resistant </w:t>
      </w:r>
      <w:r>
        <w:rPr>
          <w:i/>
          <w:sz w:val="24"/>
        </w:rPr>
        <w:t>Staphylococcus aureus</w:t>
      </w:r>
      <w:r>
        <w:rPr>
          <w:sz w:val="24"/>
        </w:rPr>
        <w:t>: Mechanisms and clinical implications. </w:t>
      </w:r>
      <w:r>
        <w:rPr>
          <w:i/>
          <w:sz w:val="24"/>
        </w:rPr>
        <w:t>Microbial Drug Resistance, 29</w:t>
      </w:r>
      <w:r>
        <w:rPr>
          <w:sz w:val="24"/>
        </w:rPr>
        <w:t>(2), </w:t>
      </w:r>
      <w:r>
        <w:rPr>
          <w:spacing w:val="-2"/>
          <w:sz w:val="24"/>
        </w:rPr>
        <w:t>145–158.</w:t>
      </w:r>
    </w:p>
    <w:p>
      <w:pPr>
        <w:pStyle w:val="BodyText"/>
        <w:spacing w:line="355" w:lineRule="auto" w:before="171"/>
        <w:ind w:left="994" w:right="702"/>
        <w:jc w:val="both"/>
      </w:pPr>
      <w:r>
        <w:rPr/>
        <w:t>Stokes,</w:t>
      </w:r>
      <w:r>
        <w:rPr>
          <w:spacing w:val="-15"/>
        </w:rPr>
        <w:t> </w:t>
      </w:r>
      <w:r>
        <w:rPr/>
        <w:t>J.</w:t>
      </w:r>
      <w:r>
        <w:rPr>
          <w:spacing w:val="-9"/>
        </w:rPr>
        <w:t> </w:t>
      </w:r>
      <w:r>
        <w:rPr/>
        <w:t>M.,</w:t>
      </w:r>
      <w:r>
        <w:rPr>
          <w:spacing w:val="-8"/>
        </w:rPr>
        <w:t> </w:t>
      </w:r>
      <w:r>
        <w:rPr/>
        <w:t>et</w:t>
      </w:r>
      <w:r>
        <w:rPr>
          <w:spacing w:val="-10"/>
        </w:rPr>
        <w:t> </w:t>
      </w:r>
      <w:r>
        <w:rPr/>
        <w:t>al.</w:t>
      </w:r>
      <w:r>
        <w:rPr>
          <w:spacing w:val="-9"/>
        </w:rPr>
        <w:t> </w:t>
      </w:r>
      <w:r>
        <w:rPr/>
        <w:t>(2023).</w:t>
      </w:r>
      <w:r>
        <w:rPr>
          <w:spacing w:val="-15"/>
        </w:rPr>
        <w:t> </w:t>
      </w:r>
      <w:r>
        <w:rPr/>
        <w:t>Antibiotic</w:t>
      </w:r>
      <w:r>
        <w:rPr>
          <w:spacing w:val="-10"/>
        </w:rPr>
        <w:t> </w:t>
      </w:r>
      <w:r>
        <w:rPr/>
        <w:t>combinations</w:t>
      </w:r>
      <w:r>
        <w:rPr>
          <w:spacing w:val="-11"/>
        </w:rPr>
        <w:t> </w:t>
      </w:r>
      <w:r>
        <w:rPr/>
        <w:t>with</w:t>
      </w:r>
      <w:r>
        <w:rPr>
          <w:spacing w:val="-7"/>
        </w:rPr>
        <w:t> </w:t>
      </w:r>
      <w:r>
        <w:rPr/>
        <w:t>natural</w:t>
      </w:r>
      <w:r>
        <w:rPr>
          <w:spacing w:val="-10"/>
        </w:rPr>
        <w:t> </w:t>
      </w:r>
      <w:r>
        <w:rPr/>
        <w:t>products:</w:t>
      </w:r>
      <w:r>
        <w:rPr>
          <w:spacing w:val="-10"/>
        </w:rPr>
        <w:t> </w:t>
      </w:r>
      <w:r>
        <w:rPr/>
        <w:t>Synergy and resistance modulation. </w:t>
      </w:r>
      <w:r>
        <w:rPr>
          <w:i/>
        </w:rPr>
        <w:t>Nature Reviews Microbiology, 21</w:t>
      </w:r>
      <w:r>
        <w:rPr/>
        <w:t>(3), 189–205.</w:t>
      </w:r>
    </w:p>
    <w:p>
      <w:pPr>
        <w:pStyle w:val="BodyText"/>
        <w:spacing w:line="357" w:lineRule="auto" w:before="171"/>
        <w:ind w:left="994" w:right="702"/>
        <w:jc w:val="both"/>
      </w:pPr>
      <w:r>
        <w:rPr/>
        <w:t>Turner, N. A., Sharma-Kuinkel, B. K., &amp; Maskarinec, S. A. (2022). Methicillin resistance and the mecA gene in staphylococci. </w:t>
      </w:r>
      <w:r>
        <w:rPr>
          <w:i/>
        </w:rPr>
        <w:t>Clinical Microbiology Reviews, 35</w:t>
      </w:r>
      <w:r>
        <w:rPr/>
        <w:t>(3), e00020-22.</w:t>
      </w:r>
    </w:p>
    <w:p>
      <w:pPr>
        <w:pStyle w:val="BodyText"/>
        <w:spacing w:line="357" w:lineRule="auto" w:before="167"/>
        <w:ind w:left="994" w:right="698"/>
        <w:jc w:val="both"/>
      </w:pPr>
      <w:r>
        <w:rPr/>
        <w:t>Vuong, C.,</w:t>
      </w:r>
      <w:r>
        <w:rPr>
          <w:spacing w:val="-6"/>
        </w:rPr>
        <w:t> </w:t>
      </w:r>
      <w:r>
        <w:rPr/>
        <w:t>Yeh,</w:t>
      </w:r>
      <w:r>
        <w:rPr>
          <w:spacing w:val="-10"/>
        </w:rPr>
        <w:t> </w:t>
      </w:r>
      <w:r>
        <w:rPr/>
        <w:t>A. J., Cheung, G.</w:t>
      </w:r>
      <w:r>
        <w:rPr>
          <w:spacing w:val="-5"/>
        </w:rPr>
        <w:t> </w:t>
      </w:r>
      <w:r>
        <w:rPr/>
        <w:t>Y. C., &amp; Otto, M. (2020). Investigational drugs to treat methicillin-resistant </w:t>
      </w:r>
      <w:r>
        <w:rPr>
          <w:i/>
        </w:rPr>
        <w:t>Staphylococcus aureus</w:t>
      </w:r>
      <w:r>
        <w:rPr/>
        <w:t>. </w:t>
      </w:r>
      <w:r>
        <w:rPr>
          <w:i/>
        </w:rPr>
        <w:t>Drugs, 80</w:t>
      </w:r>
      <w:r>
        <w:rPr/>
        <w:t>(6), 535–557. </w:t>
      </w:r>
      <w:hyperlink r:id="rId17">
        <w:r>
          <w:rPr>
            <w:spacing w:val="-2"/>
          </w:rPr>
          <w:t>https://doi.org/10.1007/s40265-020-01256-w</w:t>
        </w:r>
      </w:hyperlink>
    </w:p>
    <w:p>
      <w:pPr>
        <w:pStyle w:val="BodyText"/>
        <w:spacing w:line="360" w:lineRule="auto" w:before="171"/>
        <w:ind w:left="994" w:right="698"/>
        <w:jc w:val="both"/>
      </w:pPr>
      <w:r>
        <w:rPr/>
        <w:t>Wassmann, C. S., Højland, D. H., Klitgaard, J. K., &amp; Rosenkilde, M. M. (2020). Combined effects of cannabidiol and antibiotics against </w:t>
      </w:r>
      <w:r>
        <w:rPr>
          <w:i/>
        </w:rPr>
        <w:t>Staphylococcus aureus</w:t>
      </w:r>
      <w:r>
        <w:rPr/>
        <w:t>. </w:t>
      </w:r>
      <w:r>
        <w:rPr>
          <w:i/>
        </w:rPr>
        <w:t>Scientific Reports, 10</w:t>
      </w:r>
      <w:r>
        <w:rPr/>
        <w:t>(1), 1–9. </w:t>
      </w:r>
      <w:hyperlink r:id="rId18">
        <w:r>
          <w:rPr/>
          <w:t>https://doi.org/10.1038/s41598-020-69968-2</w:t>
        </w:r>
      </w:hyperlink>
    </w:p>
    <w:p>
      <w:pPr>
        <w:spacing w:line="362" w:lineRule="auto" w:before="158"/>
        <w:ind w:left="994" w:right="697" w:firstLine="0"/>
        <w:jc w:val="both"/>
        <w:rPr>
          <w:sz w:val="24"/>
        </w:rPr>
      </w:pPr>
      <w:r>
        <w:rPr>
          <w:sz w:val="24"/>
        </w:rPr>
        <w:t>Wright, G. D. (2022).</w:t>
      </w:r>
      <w:r>
        <w:rPr>
          <w:spacing w:val="-9"/>
          <w:sz w:val="24"/>
        </w:rPr>
        <w:t> </w:t>
      </w:r>
      <w:r>
        <w:rPr>
          <w:sz w:val="24"/>
        </w:rPr>
        <w:t>Antibiotic resistance and mechanisms of β-lactam failure in MRSA. </w:t>
      </w:r>
      <w:r>
        <w:rPr>
          <w:i/>
          <w:sz w:val="24"/>
        </w:rPr>
        <w:t>Annual Review of Microbiology, 76</w:t>
      </w:r>
      <w:r>
        <w:rPr>
          <w:sz w:val="24"/>
        </w:rPr>
        <w:t>, 219–241.</w:t>
      </w:r>
    </w:p>
    <w:p>
      <w:pPr>
        <w:tabs>
          <w:tab w:pos="3202" w:val="left" w:leader="none"/>
          <w:tab w:pos="4874" w:val="left" w:leader="none"/>
          <w:tab w:pos="6759" w:val="left" w:leader="none"/>
          <w:tab w:pos="8380" w:val="left" w:leader="none"/>
        </w:tabs>
        <w:spacing w:line="357" w:lineRule="auto" w:before="155"/>
        <w:ind w:left="994" w:right="701" w:firstLine="0"/>
        <w:jc w:val="both"/>
        <w:rPr>
          <w:sz w:val="24"/>
        </w:rPr>
      </w:pPr>
      <w:r>
        <w:rPr>
          <w:sz w:val="24"/>
        </w:rPr>
        <w:t>World Health Organization. (2021). </w:t>
      </w:r>
      <w:r>
        <w:rPr>
          <w:i/>
          <w:sz w:val="24"/>
        </w:rPr>
        <w:t>Global antimicrobial resistance and use </w:t>
      </w:r>
      <w:r>
        <w:rPr>
          <w:i/>
          <w:spacing w:val="-2"/>
          <w:sz w:val="24"/>
        </w:rPr>
        <w:t>surveillance</w:t>
      </w:r>
      <w:r>
        <w:rPr>
          <w:i/>
          <w:sz w:val="24"/>
        </w:rPr>
        <w:tab/>
      </w:r>
      <w:r>
        <w:rPr>
          <w:i/>
          <w:spacing w:val="-2"/>
          <w:sz w:val="24"/>
        </w:rPr>
        <w:t>system</w:t>
      </w:r>
      <w:r>
        <w:rPr>
          <w:i/>
          <w:sz w:val="24"/>
        </w:rPr>
        <w:tab/>
      </w:r>
      <w:r>
        <w:rPr>
          <w:i/>
          <w:spacing w:val="-2"/>
          <w:sz w:val="24"/>
        </w:rPr>
        <w:t>(GLASS)</w:t>
      </w:r>
      <w:r>
        <w:rPr>
          <w:i/>
          <w:sz w:val="24"/>
        </w:rPr>
        <w:tab/>
      </w:r>
      <w:r>
        <w:rPr>
          <w:i/>
          <w:spacing w:val="-2"/>
          <w:sz w:val="24"/>
        </w:rPr>
        <w:t>report</w:t>
      </w:r>
      <w:r>
        <w:rPr>
          <w:i/>
          <w:sz w:val="24"/>
        </w:rPr>
        <w:tab/>
      </w:r>
      <w:r>
        <w:rPr>
          <w:i/>
          <w:spacing w:val="-2"/>
          <w:sz w:val="24"/>
        </w:rPr>
        <w:t>2021</w:t>
      </w:r>
      <w:r>
        <w:rPr>
          <w:spacing w:val="-2"/>
          <w:sz w:val="24"/>
        </w:rPr>
        <w:t>.</w:t>
      </w:r>
    </w:p>
    <w:p>
      <w:pPr>
        <w:pStyle w:val="BodyText"/>
        <w:spacing w:line="274" w:lineRule="exact"/>
        <w:ind w:left="994"/>
      </w:pPr>
      <w:hyperlink r:id="rId19">
        <w:r>
          <w:rPr>
            <w:spacing w:val="-2"/>
          </w:rPr>
          <w:t>https://www.who.int/publications/i/item/9789240027336</w:t>
        </w:r>
      </w:hyperlink>
    </w:p>
    <w:p>
      <w:pPr>
        <w:pStyle w:val="BodyText"/>
        <w:spacing w:before="28"/>
      </w:pPr>
    </w:p>
    <w:p>
      <w:pPr>
        <w:spacing w:line="360" w:lineRule="auto" w:before="0"/>
        <w:ind w:left="994" w:right="698" w:firstLine="0"/>
        <w:jc w:val="both"/>
        <w:rPr>
          <w:sz w:val="24"/>
        </w:rPr>
      </w:pPr>
      <w:r>
        <w:rPr>
          <w:sz w:val="24"/>
        </w:rPr>
        <w:t>Zhang, H., et al. (2023). Fluoroquinolone efficacy and resistance patterns in methicillin-resistant </w:t>
      </w:r>
      <w:r>
        <w:rPr>
          <w:i/>
          <w:sz w:val="24"/>
        </w:rPr>
        <w:t>Staphylococcus aureus</w:t>
      </w:r>
      <w:r>
        <w:rPr>
          <w:sz w:val="24"/>
        </w:rPr>
        <w:t>. </w:t>
      </w:r>
      <w:r>
        <w:rPr>
          <w:i/>
          <w:sz w:val="24"/>
        </w:rPr>
        <w:t>Frontiers in Pharmacology, 14</w:t>
      </w:r>
      <w:r>
        <w:rPr>
          <w:sz w:val="24"/>
        </w:rPr>
        <w:t>, </w:t>
      </w:r>
      <w:bookmarkStart w:name="_bookmark56" w:id="57"/>
      <w:bookmarkEnd w:id="57"/>
      <w:r>
        <w:rPr>
          <w:spacing w:val="-2"/>
          <w:sz w:val="24"/>
        </w:rPr>
        <w:t>1</w:t>
      </w:r>
      <w:r>
        <w:rPr>
          <w:spacing w:val="-2"/>
          <w:sz w:val="24"/>
        </w:rPr>
        <w:t>123456.</w:t>
      </w:r>
    </w:p>
    <w:p>
      <w:pPr>
        <w:spacing w:after="0" w:line="360" w:lineRule="auto"/>
        <w:jc w:val="both"/>
        <w:rPr>
          <w:sz w:val="24"/>
        </w:rPr>
        <w:sectPr>
          <w:pgSz w:w="11900" w:h="16840"/>
          <w:pgMar w:top="1640" w:bottom="280" w:left="1275" w:right="992"/>
        </w:sectPr>
      </w:pPr>
    </w:p>
    <w:p>
      <w:pPr>
        <w:pStyle w:val="Heading2"/>
        <w:ind w:left="426" w:firstLine="0"/>
        <w:jc w:val="center"/>
      </w:pPr>
      <w:r>
        <w:rPr>
          <w:spacing w:val="-2"/>
        </w:rPr>
        <w:t>ANEXOS</w:t>
      </w:r>
    </w:p>
    <w:p>
      <w:pPr>
        <w:pStyle w:val="BodyText"/>
        <w:spacing w:before="24"/>
        <w:rPr>
          <w:b/>
        </w:rPr>
      </w:pPr>
    </w:p>
    <w:p>
      <w:pPr>
        <w:pStyle w:val="BodyText"/>
        <w:ind w:left="994"/>
      </w:pPr>
      <w:bookmarkStart w:name="_bookmark57" w:id="58"/>
      <w:bookmarkEnd w:id="58"/>
      <w:r>
        <w:rPr/>
      </w:r>
      <w:r>
        <w:rPr>
          <w:b/>
        </w:rPr>
        <w:t>Anexo</w:t>
      </w:r>
      <w:r>
        <w:rPr>
          <w:b/>
          <w:spacing w:val="-5"/>
        </w:rPr>
        <w:t> </w:t>
      </w:r>
      <w:r>
        <w:rPr>
          <w:b/>
        </w:rPr>
        <w:t>1.</w:t>
      </w:r>
      <w:r>
        <w:rPr>
          <w:b/>
          <w:spacing w:val="-1"/>
        </w:rPr>
        <w:t> </w:t>
      </w:r>
      <w:r>
        <w:rPr/>
        <w:t>Mapa</w:t>
      </w:r>
      <w:r>
        <w:rPr>
          <w:spacing w:val="1"/>
        </w:rPr>
        <w:t> </w:t>
      </w:r>
      <w:r>
        <w:rPr/>
        <w:t>De Ubicación</w:t>
      </w:r>
      <w:r>
        <w:rPr>
          <w:spacing w:val="-2"/>
        </w:rPr>
        <w:t> </w:t>
      </w:r>
      <w:r>
        <w:rPr/>
        <w:t>De La</w:t>
      </w:r>
      <w:r>
        <w:rPr>
          <w:spacing w:val="1"/>
        </w:rPr>
        <w:t> </w:t>
      </w:r>
      <w:r>
        <w:rPr>
          <w:spacing w:val="-2"/>
        </w:rPr>
        <w:t>Investigación</w:t>
      </w:r>
    </w:p>
    <w:p>
      <w:pPr>
        <w:pStyle w:val="BodyText"/>
        <w:spacing w:before="6"/>
        <w:rPr>
          <w:sz w:val="20"/>
        </w:rPr>
      </w:pPr>
      <w:r>
        <w:rPr>
          <w:sz w:val="20"/>
        </w:rPr>
        <w:drawing>
          <wp:anchor distT="0" distB="0" distL="0" distR="0" allowOverlap="1" layoutInCell="1" locked="0" behindDoc="1" simplePos="0" relativeHeight="487597056">
            <wp:simplePos x="0" y="0"/>
            <wp:positionH relativeFrom="page">
              <wp:posOffset>1078230</wp:posOffset>
            </wp:positionH>
            <wp:positionV relativeFrom="paragraph">
              <wp:posOffset>165144</wp:posOffset>
            </wp:positionV>
            <wp:extent cx="5462486" cy="4569142"/>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20" cstate="print"/>
                    <a:stretch>
                      <a:fillRect/>
                    </a:stretch>
                  </pic:blipFill>
                  <pic:spPr>
                    <a:xfrm>
                      <a:off x="0" y="0"/>
                      <a:ext cx="5462486" cy="4569142"/>
                    </a:xfrm>
                    <a:prstGeom prst="rect">
                      <a:avLst/>
                    </a:prstGeom>
                  </pic:spPr>
                </pic:pic>
              </a:graphicData>
            </a:graphic>
          </wp:anchor>
        </w:drawing>
      </w:r>
    </w:p>
    <w:p>
      <w:pPr>
        <w:pStyle w:val="BodyText"/>
        <w:spacing w:after="0"/>
        <w:rPr>
          <w:sz w:val="20"/>
        </w:rPr>
        <w:sectPr>
          <w:pgSz w:w="11900" w:h="16840"/>
          <w:pgMar w:top="1640" w:bottom="280" w:left="1275" w:right="992"/>
        </w:sectPr>
      </w:pPr>
    </w:p>
    <w:p>
      <w:pPr>
        <w:spacing w:before="76"/>
        <w:ind w:left="1146" w:right="0" w:firstLine="0"/>
        <w:jc w:val="left"/>
        <w:rPr>
          <w:sz w:val="24"/>
        </w:rPr>
      </w:pPr>
      <w:r>
        <w:rPr>
          <w:b/>
          <w:sz w:val="24"/>
        </w:rPr>
        <w:t>Anexo</w:t>
      </w:r>
      <w:r>
        <w:rPr>
          <w:b/>
          <w:spacing w:val="-2"/>
          <w:sz w:val="24"/>
        </w:rPr>
        <w:t> </w:t>
      </w:r>
      <w:r>
        <w:rPr>
          <w:b/>
          <w:sz w:val="24"/>
        </w:rPr>
        <w:t>2.</w:t>
      </w:r>
      <w:r>
        <w:rPr>
          <w:b/>
          <w:spacing w:val="-4"/>
          <w:sz w:val="24"/>
        </w:rPr>
        <w:t> </w:t>
      </w:r>
      <w:r>
        <w:rPr>
          <w:sz w:val="24"/>
        </w:rPr>
        <w:t>Informe</w:t>
      </w:r>
      <w:r>
        <w:rPr>
          <w:spacing w:val="-1"/>
          <w:sz w:val="24"/>
        </w:rPr>
        <w:t> </w:t>
      </w:r>
      <w:r>
        <w:rPr>
          <w:sz w:val="24"/>
        </w:rPr>
        <w:t>De Resultados</w:t>
      </w:r>
      <w:r>
        <w:rPr>
          <w:spacing w:val="-4"/>
          <w:sz w:val="24"/>
        </w:rPr>
        <w:t> </w:t>
      </w:r>
      <w:r>
        <w:rPr>
          <w:sz w:val="24"/>
        </w:rPr>
        <w:t>De</w:t>
      </w:r>
      <w:r>
        <w:rPr>
          <w:spacing w:val="-3"/>
          <w:sz w:val="24"/>
        </w:rPr>
        <w:t> </w:t>
      </w:r>
      <w:r>
        <w:rPr>
          <w:spacing w:val="-4"/>
          <w:sz w:val="24"/>
        </w:rPr>
        <w:t>Tesis</w:t>
      </w:r>
    </w:p>
    <w:p>
      <w:pPr>
        <w:pStyle w:val="BodyText"/>
        <w:spacing w:before="10"/>
        <w:rPr>
          <w:sz w:val="8"/>
        </w:rPr>
      </w:pPr>
      <w:r>
        <w:rPr>
          <w:sz w:val="8"/>
        </w:rPr>
        <w:drawing>
          <wp:anchor distT="0" distB="0" distL="0" distR="0" allowOverlap="1" layoutInCell="1" locked="0" behindDoc="1" simplePos="0" relativeHeight="487597568">
            <wp:simplePos x="0" y="0"/>
            <wp:positionH relativeFrom="page">
              <wp:posOffset>1079500</wp:posOffset>
            </wp:positionH>
            <wp:positionV relativeFrom="paragraph">
              <wp:posOffset>80024</wp:posOffset>
            </wp:positionV>
            <wp:extent cx="5752836" cy="7083742"/>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21" cstate="print"/>
                    <a:stretch>
                      <a:fillRect/>
                    </a:stretch>
                  </pic:blipFill>
                  <pic:spPr>
                    <a:xfrm>
                      <a:off x="0" y="0"/>
                      <a:ext cx="5752836" cy="7083742"/>
                    </a:xfrm>
                    <a:prstGeom prst="rect">
                      <a:avLst/>
                    </a:prstGeom>
                  </pic:spPr>
                </pic:pic>
              </a:graphicData>
            </a:graphic>
          </wp:anchor>
        </w:drawing>
      </w:r>
    </w:p>
    <w:p>
      <w:pPr>
        <w:pStyle w:val="BodyText"/>
        <w:spacing w:after="0"/>
        <w:rPr>
          <w:sz w:val="8"/>
        </w:rPr>
        <w:sectPr>
          <w:pgSz w:w="11900" w:h="16840"/>
          <w:pgMar w:top="1900" w:bottom="280" w:left="1275" w:right="992"/>
        </w:sectPr>
      </w:pPr>
    </w:p>
    <w:p>
      <w:pPr>
        <w:pStyle w:val="BodyText"/>
        <w:ind w:left="1053"/>
        <w:rPr>
          <w:sz w:val="20"/>
        </w:rPr>
      </w:pPr>
      <w:r>
        <w:rPr>
          <w:sz w:val="20"/>
        </w:rPr>
        <w:drawing>
          <wp:inline distT="0" distB="0" distL="0" distR="0">
            <wp:extent cx="4803032" cy="7517225"/>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22" cstate="print"/>
                    <a:stretch>
                      <a:fillRect/>
                    </a:stretch>
                  </pic:blipFill>
                  <pic:spPr>
                    <a:xfrm>
                      <a:off x="0" y="0"/>
                      <a:ext cx="4803032" cy="7517225"/>
                    </a:xfrm>
                    <a:prstGeom prst="rect">
                      <a:avLst/>
                    </a:prstGeom>
                  </pic:spPr>
                </pic:pic>
              </a:graphicData>
            </a:graphic>
          </wp:inline>
        </w:drawing>
      </w:r>
      <w:r>
        <w:rPr>
          <w:sz w:val="20"/>
        </w:rPr>
      </w:r>
    </w:p>
    <w:p>
      <w:pPr>
        <w:pStyle w:val="BodyText"/>
        <w:spacing w:after="0"/>
        <w:rPr>
          <w:sz w:val="20"/>
        </w:rPr>
        <w:sectPr>
          <w:pgSz w:w="11900" w:h="16840"/>
          <w:pgMar w:top="1700" w:bottom="280" w:left="1275" w:right="992"/>
        </w:sectPr>
      </w:pPr>
    </w:p>
    <w:p>
      <w:pPr>
        <w:pStyle w:val="BodyText"/>
        <w:ind w:left="993"/>
        <w:rPr>
          <w:sz w:val="20"/>
        </w:rPr>
      </w:pPr>
      <w:r>
        <w:rPr>
          <w:sz w:val="20"/>
        </w:rPr>
        <w:drawing>
          <wp:inline distT="0" distB="0" distL="0" distR="0">
            <wp:extent cx="5364096" cy="7689532"/>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23" cstate="print"/>
                    <a:stretch>
                      <a:fillRect/>
                    </a:stretch>
                  </pic:blipFill>
                  <pic:spPr>
                    <a:xfrm>
                      <a:off x="0" y="0"/>
                      <a:ext cx="5364096" cy="7689532"/>
                    </a:xfrm>
                    <a:prstGeom prst="rect">
                      <a:avLst/>
                    </a:prstGeom>
                  </pic:spPr>
                </pic:pic>
              </a:graphicData>
            </a:graphic>
          </wp:inline>
        </w:drawing>
      </w:r>
      <w:r>
        <w:rPr>
          <w:sz w:val="20"/>
        </w:rPr>
      </w:r>
    </w:p>
    <w:p>
      <w:pPr>
        <w:pStyle w:val="BodyText"/>
        <w:spacing w:after="0"/>
        <w:rPr>
          <w:sz w:val="20"/>
        </w:rPr>
        <w:sectPr>
          <w:pgSz w:w="11900" w:h="16840"/>
          <w:pgMar w:top="1700" w:bottom="280" w:left="1275" w:right="992"/>
        </w:sectPr>
      </w:pPr>
    </w:p>
    <w:p>
      <w:pPr>
        <w:pStyle w:val="BodyText"/>
        <w:spacing w:before="60"/>
        <w:ind w:left="994"/>
      </w:pPr>
      <w:r>
        <w:rPr>
          <w:b/>
        </w:rPr>
        <w:t>Anexo</w:t>
      </w:r>
      <w:r>
        <w:rPr>
          <w:b/>
          <w:spacing w:val="-5"/>
        </w:rPr>
        <w:t> </w:t>
      </w:r>
      <w:r>
        <w:rPr>
          <w:b/>
        </w:rPr>
        <w:t>3.</w:t>
      </w:r>
      <w:r>
        <w:rPr>
          <w:b/>
          <w:spacing w:val="-5"/>
        </w:rPr>
        <w:t> </w:t>
      </w:r>
      <w:r>
        <w:rPr/>
        <w:t>Informe De</w:t>
      </w:r>
      <w:r>
        <w:rPr>
          <w:spacing w:val="1"/>
        </w:rPr>
        <w:t> </w:t>
      </w:r>
      <w:r>
        <w:rPr/>
        <w:t>Control</w:t>
      </w:r>
      <w:r>
        <w:rPr>
          <w:spacing w:val="1"/>
        </w:rPr>
        <w:t> </w:t>
      </w:r>
      <w:r>
        <w:rPr/>
        <w:t>De Calidad</w:t>
      </w:r>
      <w:r>
        <w:rPr>
          <w:spacing w:val="-12"/>
        </w:rPr>
        <w:t> </w:t>
      </w:r>
      <w:r>
        <w:rPr/>
        <w:t>De</w:t>
      </w:r>
      <w:r>
        <w:rPr>
          <w:spacing w:val="1"/>
        </w:rPr>
        <w:t> </w:t>
      </w:r>
      <w:r>
        <w:rPr>
          <w:spacing w:val="-4"/>
        </w:rPr>
        <w:t>Datos</w:t>
      </w:r>
    </w:p>
    <w:p>
      <w:pPr>
        <w:pStyle w:val="BodyText"/>
        <w:rPr>
          <w:sz w:val="20"/>
        </w:rPr>
      </w:pPr>
    </w:p>
    <w:p>
      <w:pPr>
        <w:pStyle w:val="BodyText"/>
        <w:spacing w:before="29"/>
        <w:rPr>
          <w:sz w:val="20"/>
        </w:rPr>
      </w:pPr>
      <w:r>
        <w:rPr>
          <w:sz w:val="20"/>
        </w:rPr>
        <w:drawing>
          <wp:anchor distT="0" distB="0" distL="0" distR="0" allowOverlap="1" layoutInCell="1" locked="0" behindDoc="1" simplePos="0" relativeHeight="487598080">
            <wp:simplePos x="0" y="0"/>
            <wp:positionH relativeFrom="page">
              <wp:posOffset>1637664</wp:posOffset>
            </wp:positionH>
            <wp:positionV relativeFrom="paragraph">
              <wp:posOffset>179732</wp:posOffset>
            </wp:positionV>
            <wp:extent cx="4521619" cy="5547264"/>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24" cstate="print"/>
                    <a:stretch>
                      <a:fillRect/>
                    </a:stretch>
                  </pic:blipFill>
                  <pic:spPr>
                    <a:xfrm>
                      <a:off x="0" y="0"/>
                      <a:ext cx="4521619" cy="5547264"/>
                    </a:xfrm>
                    <a:prstGeom prst="rect">
                      <a:avLst/>
                    </a:prstGeom>
                  </pic:spPr>
                </pic:pic>
              </a:graphicData>
            </a:graphic>
          </wp:anchor>
        </w:drawing>
      </w:r>
    </w:p>
    <w:p>
      <w:pPr>
        <w:pStyle w:val="BodyText"/>
        <w:spacing w:after="0"/>
        <w:rPr>
          <w:sz w:val="20"/>
        </w:rPr>
        <w:sectPr>
          <w:pgSz w:w="11900" w:h="16840"/>
          <w:pgMar w:top="1640" w:bottom="280" w:left="1275" w:right="992"/>
        </w:sectPr>
      </w:pPr>
    </w:p>
    <w:p>
      <w:pPr>
        <w:pStyle w:val="BodyText"/>
        <w:spacing w:before="9"/>
        <w:rPr>
          <w:sz w:val="2"/>
        </w:rPr>
      </w:pPr>
    </w:p>
    <w:p>
      <w:pPr>
        <w:pStyle w:val="BodyText"/>
        <w:ind w:left="1338"/>
        <w:rPr>
          <w:sz w:val="20"/>
        </w:rPr>
      </w:pPr>
      <w:r>
        <w:rPr>
          <w:sz w:val="20"/>
        </w:rPr>
        <w:drawing>
          <wp:inline distT="0" distB="0" distL="0" distR="0">
            <wp:extent cx="4521104" cy="1967388"/>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25" cstate="print"/>
                    <a:stretch>
                      <a:fillRect/>
                    </a:stretch>
                  </pic:blipFill>
                  <pic:spPr>
                    <a:xfrm>
                      <a:off x="0" y="0"/>
                      <a:ext cx="4521104" cy="1967388"/>
                    </a:xfrm>
                    <a:prstGeom prst="rect">
                      <a:avLst/>
                    </a:prstGeom>
                  </pic:spPr>
                </pic:pic>
              </a:graphicData>
            </a:graphic>
          </wp:inline>
        </w:drawing>
      </w:r>
      <w:r>
        <w:rPr>
          <w:sz w:val="20"/>
        </w:rPr>
      </w:r>
    </w:p>
    <w:p>
      <w:pPr>
        <w:pStyle w:val="BodyText"/>
        <w:spacing w:after="0"/>
        <w:rPr>
          <w:sz w:val="20"/>
        </w:rPr>
        <w:sectPr>
          <w:pgSz w:w="11900" w:h="16840"/>
          <w:pgMar w:top="1940" w:bottom="280" w:left="1275" w:right="992"/>
        </w:sectPr>
      </w:pPr>
    </w:p>
    <w:p>
      <w:pPr>
        <w:pStyle w:val="BodyText"/>
        <w:spacing w:before="60"/>
        <w:ind w:left="994"/>
      </w:pPr>
      <w:r>
        <w:rPr>
          <w:b/>
        </w:rPr>
        <w:t>Anexo</w:t>
      </w:r>
      <w:r>
        <w:rPr>
          <w:b/>
          <w:spacing w:val="-17"/>
        </w:rPr>
        <w:t> </w:t>
      </w:r>
      <w:r>
        <w:rPr>
          <w:b/>
        </w:rPr>
        <w:t>4.</w:t>
      </w:r>
      <w:r>
        <w:rPr>
          <w:b/>
          <w:spacing w:val="-7"/>
        </w:rPr>
        <w:t> </w:t>
      </w:r>
      <w:r>
        <w:rPr/>
        <w:t>Especificaciones</w:t>
      </w:r>
      <w:r>
        <w:rPr>
          <w:spacing w:val="-9"/>
        </w:rPr>
        <w:t> </w:t>
      </w:r>
      <w:r>
        <w:rPr/>
        <w:t>de</w:t>
      </w:r>
      <w:r>
        <w:rPr>
          <w:spacing w:val="-6"/>
        </w:rPr>
        <w:t> </w:t>
      </w:r>
      <w:r>
        <w:rPr/>
        <w:t>Producto</w:t>
      </w:r>
      <w:r>
        <w:rPr>
          <w:spacing w:val="-14"/>
        </w:rPr>
        <w:t> </w:t>
      </w:r>
      <w:r>
        <w:rPr/>
        <w:t>terminado</w:t>
      </w:r>
      <w:r>
        <w:rPr>
          <w:spacing w:val="-3"/>
        </w:rPr>
        <w:t> </w:t>
      </w:r>
      <w:r>
        <w:rPr/>
        <w:t>CHROMOAGAR</w:t>
      </w:r>
      <w:r>
        <w:rPr>
          <w:spacing w:val="-4"/>
        </w:rPr>
        <w:t> </w:t>
      </w:r>
      <w:r>
        <w:rPr/>
        <w:t>PARA</w:t>
      </w:r>
      <w:r>
        <w:rPr>
          <w:spacing w:val="-15"/>
        </w:rPr>
        <w:t> </w:t>
      </w:r>
      <w:r>
        <w:rPr>
          <w:spacing w:val="-5"/>
        </w:rPr>
        <w:t>MRS</w:t>
      </w:r>
    </w:p>
    <w:p>
      <w:pPr>
        <w:pStyle w:val="BodyText"/>
        <w:spacing w:before="10"/>
        <w:rPr>
          <w:sz w:val="8"/>
        </w:rPr>
      </w:pPr>
      <w:r>
        <w:rPr>
          <w:sz w:val="8"/>
        </w:rPr>
        <w:drawing>
          <wp:anchor distT="0" distB="0" distL="0" distR="0" allowOverlap="1" layoutInCell="1" locked="0" behindDoc="1" simplePos="0" relativeHeight="487598592">
            <wp:simplePos x="0" y="0"/>
            <wp:positionH relativeFrom="page">
              <wp:posOffset>1079500</wp:posOffset>
            </wp:positionH>
            <wp:positionV relativeFrom="paragraph">
              <wp:posOffset>80024</wp:posOffset>
            </wp:positionV>
            <wp:extent cx="4959195" cy="7030878"/>
            <wp:effectExtent l="0" t="0" r="0" b="0"/>
            <wp:wrapTopAndBottom/>
            <wp:docPr id="44" name="Image 44"/>
            <wp:cNvGraphicFramePr>
              <a:graphicFrameLocks/>
            </wp:cNvGraphicFramePr>
            <a:graphic>
              <a:graphicData uri="http://schemas.openxmlformats.org/drawingml/2006/picture">
                <pic:pic>
                  <pic:nvPicPr>
                    <pic:cNvPr id="44" name="Image 44"/>
                    <pic:cNvPicPr/>
                  </pic:nvPicPr>
                  <pic:blipFill>
                    <a:blip r:embed="rId26" cstate="print"/>
                    <a:stretch>
                      <a:fillRect/>
                    </a:stretch>
                  </pic:blipFill>
                  <pic:spPr>
                    <a:xfrm>
                      <a:off x="0" y="0"/>
                      <a:ext cx="4959195" cy="7030878"/>
                    </a:xfrm>
                    <a:prstGeom prst="rect">
                      <a:avLst/>
                    </a:prstGeom>
                  </pic:spPr>
                </pic:pic>
              </a:graphicData>
            </a:graphic>
          </wp:anchor>
        </w:drawing>
      </w:r>
    </w:p>
    <w:p>
      <w:pPr>
        <w:pStyle w:val="BodyText"/>
        <w:spacing w:after="0"/>
        <w:rPr>
          <w:sz w:val="8"/>
        </w:rPr>
        <w:sectPr>
          <w:pgSz w:w="11900" w:h="16840"/>
          <w:pgMar w:top="1640" w:bottom="280" w:left="1275" w:right="992"/>
        </w:sectPr>
      </w:pPr>
    </w:p>
    <w:p>
      <w:pPr>
        <w:pStyle w:val="BodyText"/>
        <w:ind w:left="425"/>
        <w:rPr>
          <w:sz w:val="20"/>
        </w:rPr>
      </w:pPr>
      <w:r>
        <w:rPr>
          <w:sz w:val="20"/>
        </w:rPr>
        <w:drawing>
          <wp:inline distT="0" distB="0" distL="0" distR="0">
            <wp:extent cx="4976916" cy="7030878"/>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27" cstate="print"/>
                    <a:stretch>
                      <a:fillRect/>
                    </a:stretch>
                  </pic:blipFill>
                  <pic:spPr>
                    <a:xfrm>
                      <a:off x="0" y="0"/>
                      <a:ext cx="4976916" cy="7030878"/>
                    </a:xfrm>
                    <a:prstGeom prst="rect">
                      <a:avLst/>
                    </a:prstGeom>
                  </pic:spPr>
                </pic:pic>
              </a:graphicData>
            </a:graphic>
          </wp:inline>
        </w:drawing>
      </w:r>
      <w:r>
        <w:rPr>
          <w:sz w:val="20"/>
        </w:rPr>
      </w:r>
    </w:p>
    <w:p>
      <w:pPr>
        <w:pStyle w:val="BodyText"/>
        <w:spacing w:after="0"/>
        <w:rPr>
          <w:sz w:val="20"/>
        </w:rPr>
        <w:sectPr>
          <w:pgSz w:w="11900" w:h="16840"/>
          <w:pgMar w:top="1640" w:bottom="280" w:left="1275" w:right="992"/>
        </w:sectPr>
      </w:pPr>
    </w:p>
    <w:p>
      <w:pPr>
        <w:spacing w:before="60"/>
        <w:ind w:left="994" w:right="0" w:firstLine="0"/>
        <w:jc w:val="left"/>
        <w:rPr>
          <w:sz w:val="24"/>
        </w:rPr>
      </w:pPr>
      <w:bookmarkStart w:name="_bookmark58" w:id="59"/>
      <w:bookmarkEnd w:id="59"/>
      <w:r>
        <w:rPr/>
      </w:r>
      <w:r>
        <w:rPr>
          <w:b/>
          <w:sz w:val="24"/>
        </w:rPr>
        <w:t>Anexo</w:t>
      </w:r>
      <w:r>
        <w:rPr>
          <w:b/>
          <w:spacing w:val="-1"/>
          <w:sz w:val="24"/>
        </w:rPr>
        <w:t> </w:t>
      </w:r>
      <w:r>
        <w:rPr>
          <w:b/>
          <w:sz w:val="24"/>
        </w:rPr>
        <w:t>5.</w:t>
      </w:r>
      <w:r>
        <w:rPr>
          <w:b/>
          <w:spacing w:val="-1"/>
          <w:sz w:val="24"/>
        </w:rPr>
        <w:t> </w:t>
      </w:r>
      <w:r>
        <w:rPr>
          <w:sz w:val="24"/>
        </w:rPr>
        <w:t>Registro</w:t>
      </w:r>
      <w:r>
        <w:rPr>
          <w:spacing w:val="1"/>
          <w:sz w:val="24"/>
        </w:rPr>
        <w:t> </w:t>
      </w:r>
      <w:r>
        <w:rPr>
          <w:spacing w:val="-2"/>
          <w:sz w:val="24"/>
        </w:rPr>
        <w:t>Fotográfico</w:t>
      </w:r>
    </w:p>
    <w:p>
      <w:pPr>
        <w:pStyle w:val="BodyText"/>
        <w:spacing w:before="176"/>
      </w:pPr>
    </w:p>
    <w:p>
      <w:pPr>
        <w:pStyle w:val="BodyText"/>
        <w:tabs>
          <w:tab w:pos="5491" w:val="left" w:leader="none"/>
        </w:tabs>
        <w:ind w:left="1026"/>
      </w:pPr>
      <w:r>
        <w:rPr/>
        <w:t>Muestreo en piodermas</w:t>
      </w:r>
      <w:r>
        <w:rPr>
          <w:spacing w:val="-3"/>
        </w:rPr>
        <w:t> </w:t>
      </w:r>
      <w:r>
        <w:rPr>
          <w:spacing w:val="-2"/>
        </w:rPr>
        <w:t>caninas</w:t>
      </w:r>
      <w:r>
        <w:rPr/>
        <w:tab/>
        <w:t>Aislamiento</w:t>
      </w:r>
      <w:r>
        <w:rPr>
          <w:spacing w:val="-1"/>
        </w:rPr>
        <w:t> </w:t>
      </w:r>
      <w:r>
        <w:rPr>
          <w:spacing w:val="-2"/>
        </w:rPr>
        <w:t>bacteriano</w:t>
      </w:r>
    </w:p>
    <w:p>
      <w:pPr>
        <w:pStyle w:val="BodyText"/>
        <w:rPr>
          <w:sz w:val="20"/>
        </w:rPr>
      </w:pPr>
    </w:p>
    <w:p>
      <w:pPr>
        <w:pStyle w:val="BodyText"/>
        <w:rPr>
          <w:sz w:val="20"/>
        </w:rPr>
      </w:pPr>
      <w:r>
        <w:rPr>
          <w:sz w:val="20"/>
        </w:rPr>
        <w:drawing>
          <wp:anchor distT="0" distB="0" distL="0" distR="0" allowOverlap="1" layoutInCell="1" locked="0" behindDoc="1" simplePos="0" relativeHeight="487599104">
            <wp:simplePos x="0" y="0"/>
            <wp:positionH relativeFrom="page">
              <wp:posOffset>1440180</wp:posOffset>
            </wp:positionH>
            <wp:positionV relativeFrom="paragraph">
              <wp:posOffset>161347</wp:posOffset>
            </wp:positionV>
            <wp:extent cx="2164207" cy="2524887"/>
            <wp:effectExtent l="0" t="0" r="0" b="0"/>
            <wp:wrapTopAndBottom/>
            <wp:docPr id="46" name="Image 46"/>
            <wp:cNvGraphicFramePr>
              <a:graphicFrameLocks/>
            </wp:cNvGraphicFramePr>
            <a:graphic>
              <a:graphicData uri="http://schemas.openxmlformats.org/drawingml/2006/picture">
                <pic:pic>
                  <pic:nvPicPr>
                    <pic:cNvPr id="46" name="Image 46"/>
                    <pic:cNvPicPr/>
                  </pic:nvPicPr>
                  <pic:blipFill>
                    <a:blip r:embed="rId28" cstate="print"/>
                    <a:stretch>
                      <a:fillRect/>
                    </a:stretch>
                  </pic:blipFill>
                  <pic:spPr>
                    <a:xfrm>
                      <a:off x="0" y="0"/>
                      <a:ext cx="2164207" cy="2524887"/>
                    </a:xfrm>
                    <a:prstGeom prst="rect">
                      <a:avLst/>
                    </a:prstGeom>
                  </pic:spPr>
                </pic:pic>
              </a:graphicData>
            </a:graphic>
          </wp:anchor>
        </w:drawing>
      </w:r>
      <w:r>
        <w:rPr>
          <w:sz w:val="20"/>
        </w:rPr>
        <w:drawing>
          <wp:anchor distT="0" distB="0" distL="0" distR="0" allowOverlap="1" layoutInCell="1" locked="0" behindDoc="1" simplePos="0" relativeHeight="487599616">
            <wp:simplePos x="0" y="0"/>
            <wp:positionH relativeFrom="page">
              <wp:posOffset>4286884</wp:posOffset>
            </wp:positionH>
            <wp:positionV relativeFrom="paragraph">
              <wp:posOffset>183572</wp:posOffset>
            </wp:positionV>
            <wp:extent cx="2180535" cy="2543937"/>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29" cstate="print"/>
                    <a:stretch>
                      <a:fillRect/>
                    </a:stretch>
                  </pic:blipFill>
                  <pic:spPr>
                    <a:xfrm>
                      <a:off x="0" y="0"/>
                      <a:ext cx="2180535" cy="2543937"/>
                    </a:xfrm>
                    <a:prstGeom prst="rect">
                      <a:avLst/>
                    </a:prstGeom>
                  </pic:spPr>
                </pic:pic>
              </a:graphicData>
            </a:graphic>
          </wp:anchor>
        </w:drawing>
      </w:r>
    </w:p>
    <w:p>
      <w:pPr>
        <w:pStyle w:val="BodyText"/>
      </w:pPr>
    </w:p>
    <w:p>
      <w:pPr>
        <w:pStyle w:val="BodyText"/>
      </w:pPr>
    </w:p>
    <w:p>
      <w:pPr>
        <w:pStyle w:val="BodyText"/>
        <w:spacing w:before="108"/>
      </w:pPr>
    </w:p>
    <w:p>
      <w:pPr>
        <w:pStyle w:val="BodyText"/>
        <w:spacing w:before="1"/>
        <w:ind w:left="994"/>
      </w:pPr>
      <w:r>
        <w:rPr/>
        <w:t>Identificación</w:t>
      </w:r>
      <w:r>
        <w:rPr>
          <w:spacing w:val="-3"/>
        </w:rPr>
        <w:t> </w:t>
      </w:r>
      <w:r>
        <w:rPr/>
        <w:t>de</w:t>
      </w:r>
      <w:r>
        <w:rPr>
          <w:spacing w:val="-3"/>
        </w:rPr>
        <w:t> </w:t>
      </w:r>
      <w:r>
        <w:rPr/>
        <w:t>MRSA</w:t>
      </w:r>
      <w:r>
        <w:rPr>
          <w:spacing w:val="-18"/>
        </w:rPr>
        <w:t> </w:t>
      </w:r>
      <w:r>
        <w:rPr/>
        <w:t>(Tinción</w:t>
      </w:r>
      <w:r>
        <w:rPr>
          <w:spacing w:val="-3"/>
        </w:rPr>
        <w:t> </w:t>
      </w:r>
      <w:r>
        <w:rPr/>
        <w:t>de</w:t>
      </w:r>
      <w:r>
        <w:rPr>
          <w:spacing w:val="1"/>
        </w:rPr>
        <w:t> </w:t>
      </w:r>
      <w:r>
        <w:rPr>
          <w:spacing w:val="-4"/>
        </w:rPr>
        <w:t>Gram)</w:t>
      </w:r>
    </w:p>
    <w:p>
      <w:pPr>
        <w:pStyle w:val="BodyText"/>
        <w:spacing w:before="44"/>
        <w:rPr>
          <w:sz w:val="20"/>
        </w:rPr>
      </w:pPr>
      <w:r>
        <w:rPr>
          <w:sz w:val="20"/>
        </w:rPr>
        <w:drawing>
          <wp:anchor distT="0" distB="0" distL="0" distR="0" allowOverlap="1" layoutInCell="1" locked="0" behindDoc="1" simplePos="0" relativeHeight="487600128">
            <wp:simplePos x="0" y="0"/>
            <wp:positionH relativeFrom="page">
              <wp:posOffset>1456689</wp:posOffset>
            </wp:positionH>
            <wp:positionV relativeFrom="paragraph">
              <wp:posOffset>230564</wp:posOffset>
            </wp:positionV>
            <wp:extent cx="2147660" cy="2505456"/>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30" cstate="print"/>
                    <a:stretch>
                      <a:fillRect/>
                    </a:stretch>
                  </pic:blipFill>
                  <pic:spPr>
                    <a:xfrm>
                      <a:off x="0" y="0"/>
                      <a:ext cx="2147660" cy="2505456"/>
                    </a:xfrm>
                    <a:prstGeom prst="rect">
                      <a:avLst/>
                    </a:prstGeom>
                  </pic:spPr>
                </pic:pic>
              </a:graphicData>
            </a:graphic>
          </wp:anchor>
        </w:drawing>
      </w:r>
      <w:r>
        <w:rPr>
          <w:sz w:val="20"/>
        </w:rPr>
        <w:drawing>
          <wp:anchor distT="0" distB="0" distL="0" distR="0" allowOverlap="1" layoutInCell="1" locked="0" behindDoc="1" simplePos="0" relativeHeight="487600640">
            <wp:simplePos x="0" y="0"/>
            <wp:positionH relativeFrom="page">
              <wp:posOffset>4626990</wp:posOffset>
            </wp:positionH>
            <wp:positionV relativeFrom="paragraph">
              <wp:posOffset>189797</wp:posOffset>
            </wp:positionV>
            <wp:extent cx="2108674" cy="2542032"/>
            <wp:effectExtent l="0" t="0" r="0" b="0"/>
            <wp:wrapTopAndBottom/>
            <wp:docPr id="49" name="Image 49" descr="Mujer sentada en una oficina  El contenido generado por IA puede ser incorrecto."/>
            <wp:cNvGraphicFramePr>
              <a:graphicFrameLocks/>
            </wp:cNvGraphicFramePr>
            <a:graphic>
              <a:graphicData uri="http://schemas.openxmlformats.org/drawingml/2006/picture">
                <pic:pic>
                  <pic:nvPicPr>
                    <pic:cNvPr id="49" name="Image 49" descr="Mujer sentada en una oficina  El contenido generado por IA puede ser incorrecto."/>
                    <pic:cNvPicPr/>
                  </pic:nvPicPr>
                  <pic:blipFill>
                    <a:blip r:embed="rId31" cstate="print"/>
                    <a:stretch>
                      <a:fillRect/>
                    </a:stretch>
                  </pic:blipFill>
                  <pic:spPr>
                    <a:xfrm>
                      <a:off x="0" y="0"/>
                      <a:ext cx="2108674" cy="2542032"/>
                    </a:xfrm>
                    <a:prstGeom prst="rect">
                      <a:avLst/>
                    </a:prstGeom>
                  </pic:spPr>
                </pic:pic>
              </a:graphicData>
            </a:graphic>
          </wp:anchor>
        </w:drawing>
      </w:r>
    </w:p>
    <w:p>
      <w:pPr>
        <w:pStyle w:val="BodyText"/>
        <w:spacing w:after="0"/>
        <w:rPr>
          <w:sz w:val="20"/>
        </w:rPr>
        <w:sectPr>
          <w:pgSz w:w="11900" w:h="16840"/>
          <w:pgMar w:top="1580" w:bottom="280" w:left="1275" w:right="992"/>
        </w:sectPr>
      </w:pPr>
    </w:p>
    <w:p>
      <w:pPr>
        <w:pStyle w:val="BodyText"/>
        <w:spacing w:before="36"/>
      </w:pPr>
    </w:p>
    <w:p>
      <w:pPr>
        <w:pStyle w:val="BodyText"/>
        <w:ind w:left="994"/>
      </w:pPr>
      <w:r>
        <w:rPr/>
        <w:t>Identificación</w:t>
      </w:r>
      <w:r>
        <w:rPr>
          <w:spacing w:val="-6"/>
        </w:rPr>
        <w:t> </w:t>
      </w:r>
      <w:r>
        <w:rPr/>
        <w:t>de MRSA</w:t>
      </w:r>
      <w:r>
        <w:rPr>
          <w:spacing w:val="-18"/>
        </w:rPr>
        <w:t> </w:t>
      </w:r>
      <w:r>
        <w:rPr>
          <w:spacing w:val="-2"/>
        </w:rPr>
        <w:t>(catalasa)</w:t>
      </w:r>
    </w:p>
    <w:p>
      <w:pPr>
        <w:pStyle w:val="BodyText"/>
        <w:rPr>
          <w:sz w:val="14"/>
        </w:rPr>
      </w:pPr>
      <w:r>
        <w:rPr>
          <w:sz w:val="14"/>
        </w:rPr>
        <w:drawing>
          <wp:anchor distT="0" distB="0" distL="0" distR="0" allowOverlap="1" layoutInCell="1" locked="0" behindDoc="1" simplePos="0" relativeHeight="487601152">
            <wp:simplePos x="0" y="0"/>
            <wp:positionH relativeFrom="page">
              <wp:posOffset>1415414</wp:posOffset>
            </wp:positionH>
            <wp:positionV relativeFrom="paragraph">
              <wp:posOffset>117504</wp:posOffset>
            </wp:positionV>
            <wp:extent cx="2180535" cy="2543937"/>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32" cstate="print"/>
                    <a:stretch>
                      <a:fillRect/>
                    </a:stretch>
                  </pic:blipFill>
                  <pic:spPr>
                    <a:xfrm>
                      <a:off x="0" y="0"/>
                      <a:ext cx="2180535" cy="2543937"/>
                    </a:xfrm>
                    <a:prstGeom prst="rect">
                      <a:avLst/>
                    </a:prstGeom>
                  </pic:spPr>
                </pic:pic>
              </a:graphicData>
            </a:graphic>
          </wp:anchor>
        </w:drawing>
      </w:r>
    </w:p>
    <w:p>
      <w:pPr>
        <w:pStyle w:val="BodyText"/>
        <w:spacing w:before="250"/>
        <w:ind w:left="994"/>
      </w:pPr>
      <w:r>
        <w:rPr/>
        <w:t>Registro</w:t>
      </w:r>
      <w:r>
        <w:rPr>
          <w:spacing w:val="-5"/>
        </w:rPr>
        <w:t> </w:t>
      </w:r>
      <w:r>
        <w:rPr/>
        <w:t>fotográfico</w:t>
      </w:r>
      <w:r>
        <w:rPr>
          <w:spacing w:val="-4"/>
        </w:rPr>
        <w:t> </w:t>
      </w:r>
      <w:r>
        <w:rPr/>
        <w:t>de</w:t>
      </w:r>
      <w:r>
        <w:rPr>
          <w:spacing w:val="1"/>
        </w:rPr>
        <w:t> </w:t>
      </w:r>
      <w:r>
        <w:rPr/>
        <w:t>la</w:t>
      </w:r>
      <w:r>
        <w:rPr>
          <w:spacing w:val="-3"/>
        </w:rPr>
        <w:t> </w:t>
      </w:r>
      <w:r>
        <w:rPr/>
        <w:t>prueba</w:t>
      </w:r>
      <w:r>
        <w:rPr>
          <w:spacing w:val="-3"/>
        </w:rPr>
        <w:t> </w:t>
      </w:r>
      <w:r>
        <w:rPr/>
        <w:t>de</w:t>
      </w:r>
      <w:r>
        <w:rPr>
          <w:spacing w:val="-3"/>
        </w:rPr>
        <w:t> </w:t>
      </w:r>
      <w:r>
        <w:rPr/>
        <w:t>difusión</w:t>
      </w:r>
      <w:r>
        <w:rPr>
          <w:spacing w:val="-4"/>
        </w:rPr>
        <w:t> </w:t>
      </w:r>
      <w:r>
        <w:rPr/>
        <w:t>en</w:t>
      </w:r>
      <w:r>
        <w:rPr>
          <w:spacing w:val="-1"/>
        </w:rPr>
        <w:t> </w:t>
      </w:r>
      <w:r>
        <w:rPr>
          <w:spacing w:val="-4"/>
        </w:rPr>
        <w:t>agar</w:t>
      </w:r>
    </w:p>
    <w:p>
      <w:pPr>
        <w:pStyle w:val="BodyText"/>
        <w:spacing w:before="40"/>
        <w:rPr>
          <w:sz w:val="20"/>
        </w:rPr>
      </w:pPr>
      <w:r>
        <w:rPr>
          <w:sz w:val="20"/>
        </w:rPr>
        <w:drawing>
          <wp:anchor distT="0" distB="0" distL="0" distR="0" allowOverlap="1" layoutInCell="1" locked="0" behindDoc="1" simplePos="0" relativeHeight="487601664">
            <wp:simplePos x="0" y="0"/>
            <wp:positionH relativeFrom="page">
              <wp:posOffset>1596389</wp:posOffset>
            </wp:positionH>
            <wp:positionV relativeFrom="paragraph">
              <wp:posOffset>186958</wp:posOffset>
            </wp:positionV>
            <wp:extent cx="2155280" cy="2514600"/>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33" cstate="print"/>
                    <a:stretch>
                      <a:fillRect/>
                    </a:stretch>
                  </pic:blipFill>
                  <pic:spPr>
                    <a:xfrm>
                      <a:off x="0" y="0"/>
                      <a:ext cx="2155280" cy="2514600"/>
                    </a:xfrm>
                    <a:prstGeom prst="rect">
                      <a:avLst/>
                    </a:prstGeom>
                  </pic:spPr>
                </pic:pic>
              </a:graphicData>
            </a:graphic>
          </wp:anchor>
        </w:drawing>
      </w:r>
      <w:r>
        <w:rPr>
          <w:sz w:val="20"/>
        </w:rPr>
        <w:drawing>
          <wp:anchor distT="0" distB="0" distL="0" distR="0" allowOverlap="1" layoutInCell="1" locked="0" behindDoc="1" simplePos="0" relativeHeight="487602176">
            <wp:simplePos x="0" y="0"/>
            <wp:positionH relativeFrom="page">
              <wp:posOffset>4108450</wp:posOffset>
            </wp:positionH>
            <wp:positionV relativeFrom="paragraph">
              <wp:posOffset>244108</wp:posOffset>
            </wp:positionV>
            <wp:extent cx="2161812" cy="2522220"/>
            <wp:effectExtent l="0" t="0" r="0" b="0"/>
            <wp:wrapTopAndBottom/>
            <wp:docPr id="52" name="Image 52"/>
            <wp:cNvGraphicFramePr>
              <a:graphicFrameLocks/>
            </wp:cNvGraphicFramePr>
            <a:graphic>
              <a:graphicData uri="http://schemas.openxmlformats.org/drawingml/2006/picture">
                <pic:pic>
                  <pic:nvPicPr>
                    <pic:cNvPr id="52" name="Image 52"/>
                    <pic:cNvPicPr/>
                  </pic:nvPicPr>
                  <pic:blipFill>
                    <a:blip r:embed="rId34" cstate="print"/>
                    <a:stretch>
                      <a:fillRect/>
                    </a:stretch>
                  </pic:blipFill>
                  <pic:spPr>
                    <a:xfrm>
                      <a:off x="0" y="0"/>
                      <a:ext cx="2161812" cy="2522220"/>
                    </a:xfrm>
                    <a:prstGeom prst="rect">
                      <a:avLst/>
                    </a:prstGeom>
                  </pic:spPr>
                </pic:pic>
              </a:graphicData>
            </a:graphic>
          </wp:anchor>
        </w:drawing>
      </w:r>
    </w:p>
    <w:p>
      <w:pPr>
        <w:pStyle w:val="BodyText"/>
        <w:rPr>
          <w:sz w:val="20"/>
        </w:rPr>
      </w:pPr>
    </w:p>
    <w:p>
      <w:pPr>
        <w:pStyle w:val="BodyText"/>
        <w:spacing w:before="111"/>
        <w:rPr>
          <w:sz w:val="20"/>
        </w:rPr>
      </w:pPr>
      <w:r>
        <w:rPr>
          <w:sz w:val="20"/>
        </w:rPr>
        <w:drawing>
          <wp:anchor distT="0" distB="0" distL="0" distR="0" allowOverlap="1" layoutInCell="1" locked="0" behindDoc="1" simplePos="0" relativeHeight="487602688">
            <wp:simplePos x="0" y="0"/>
            <wp:positionH relativeFrom="page">
              <wp:posOffset>1602105</wp:posOffset>
            </wp:positionH>
            <wp:positionV relativeFrom="paragraph">
              <wp:posOffset>231761</wp:posOffset>
            </wp:positionV>
            <wp:extent cx="2135524" cy="2491549"/>
            <wp:effectExtent l="0" t="0" r="0" b="0"/>
            <wp:wrapTopAndBottom/>
            <wp:docPr id="53" name="Image 53"/>
            <wp:cNvGraphicFramePr>
              <a:graphicFrameLocks/>
            </wp:cNvGraphicFramePr>
            <a:graphic>
              <a:graphicData uri="http://schemas.openxmlformats.org/drawingml/2006/picture">
                <pic:pic>
                  <pic:nvPicPr>
                    <pic:cNvPr id="53" name="Image 53"/>
                    <pic:cNvPicPr/>
                  </pic:nvPicPr>
                  <pic:blipFill>
                    <a:blip r:embed="rId35" cstate="print"/>
                    <a:stretch>
                      <a:fillRect/>
                    </a:stretch>
                  </pic:blipFill>
                  <pic:spPr>
                    <a:xfrm>
                      <a:off x="0" y="0"/>
                      <a:ext cx="2135524" cy="2491549"/>
                    </a:xfrm>
                    <a:prstGeom prst="rect">
                      <a:avLst/>
                    </a:prstGeom>
                  </pic:spPr>
                </pic:pic>
              </a:graphicData>
            </a:graphic>
          </wp:anchor>
        </w:drawing>
      </w:r>
    </w:p>
    <w:p>
      <w:pPr>
        <w:pStyle w:val="BodyText"/>
        <w:spacing w:after="0"/>
        <w:rPr>
          <w:sz w:val="20"/>
        </w:rPr>
        <w:sectPr>
          <w:pgSz w:w="11900" w:h="16840"/>
          <w:pgMar w:top="1940" w:bottom="280" w:left="1275" w:right="992"/>
        </w:sectPr>
      </w:pPr>
    </w:p>
    <w:p>
      <w:pPr>
        <w:pStyle w:val="BodyText"/>
        <w:spacing w:before="60"/>
        <w:ind w:left="3138"/>
      </w:pPr>
      <w:r>
        <w:rPr/>
        <w:drawing>
          <wp:anchor distT="0" distB="0" distL="0" distR="0" allowOverlap="1" layoutInCell="1" locked="0" behindDoc="0" simplePos="0" relativeHeight="15745024">
            <wp:simplePos x="0" y="0"/>
            <wp:positionH relativeFrom="page">
              <wp:posOffset>914400</wp:posOffset>
            </wp:positionH>
            <wp:positionV relativeFrom="paragraph">
              <wp:posOffset>38100</wp:posOffset>
            </wp:positionV>
            <wp:extent cx="1799589" cy="1799590"/>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36" cstate="print"/>
                    <a:stretch>
                      <a:fillRect/>
                    </a:stretch>
                  </pic:blipFill>
                  <pic:spPr>
                    <a:xfrm>
                      <a:off x="0" y="0"/>
                      <a:ext cx="1799589" cy="1799590"/>
                    </a:xfrm>
                    <a:prstGeom prst="rect">
                      <a:avLst/>
                    </a:prstGeom>
                  </pic:spPr>
                </pic:pic>
              </a:graphicData>
            </a:graphic>
          </wp:anchor>
        </w:drawing>
      </w:r>
      <w:r>
        <w:rPr/>
        <w:t>Difusión en agar </w:t>
      </w:r>
      <w:r>
        <w:rPr>
          <w:spacing w:val="-2"/>
        </w:rPr>
        <w:t>(Cefalexina)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pPr>
    </w:p>
    <w:p>
      <w:pPr>
        <w:pStyle w:val="BodyText"/>
        <w:ind w:left="3090"/>
      </w:pPr>
      <w:r>
        <w:rPr/>
        <w:drawing>
          <wp:anchor distT="0" distB="0" distL="0" distR="0" allowOverlap="1" layoutInCell="1" locked="0" behindDoc="0" simplePos="0" relativeHeight="15744512">
            <wp:simplePos x="0" y="0"/>
            <wp:positionH relativeFrom="page">
              <wp:posOffset>895350</wp:posOffset>
            </wp:positionH>
            <wp:positionV relativeFrom="paragraph">
              <wp:posOffset>-196783</wp:posOffset>
            </wp:positionV>
            <wp:extent cx="1799589" cy="1799589"/>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37" cstate="print"/>
                    <a:stretch>
                      <a:fillRect/>
                    </a:stretch>
                  </pic:blipFill>
                  <pic:spPr>
                    <a:xfrm>
                      <a:off x="0" y="0"/>
                      <a:ext cx="1799589" cy="1799589"/>
                    </a:xfrm>
                    <a:prstGeom prst="rect">
                      <a:avLst/>
                    </a:prstGeom>
                  </pic:spPr>
                </pic:pic>
              </a:graphicData>
            </a:graphic>
          </wp:anchor>
        </w:drawing>
      </w:r>
      <w:r>
        <w:rPr/>
        <w:t>Difusión en agar </w:t>
      </w:r>
      <w:r>
        <w:rPr>
          <w:spacing w:val="-2"/>
        </w:rPr>
        <w:t>(Enrofloxecina)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7"/>
      </w:pPr>
    </w:p>
    <w:p>
      <w:pPr>
        <w:pStyle w:val="BodyText"/>
        <w:ind w:left="3126"/>
      </w:pPr>
      <w:r>
        <w:rPr/>
        <w:drawing>
          <wp:anchor distT="0" distB="0" distL="0" distR="0" allowOverlap="1" layoutInCell="1" locked="0" behindDoc="0" simplePos="0" relativeHeight="15745536">
            <wp:simplePos x="0" y="0"/>
            <wp:positionH relativeFrom="page">
              <wp:posOffset>880744</wp:posOffset>
            </wp:positionH>
            <wp:positionV relativeFrom="paragraph">
              <wp:posOffset>-695177</wp:posOffset>
            </wp:positionV>
            <wp:extent cx="1799589" cy="1799589"/>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38" cstate="print"/>
                    <a:stretch>
                      <a:fillRect/>
                    </a:stretch>
                  </pic:blipFill>
                  <pic:spPr>
                    <a:xfrm>
                      <a:off x="0" y="0"/>
                      <a:ext cx="1799589" cy="1799589"/>
                    </a:xfrm>
                    <a:prstGeom prst="rect">
                      <a:avLst/>
                    </a:prstGeom>
                  </pic:spPr>
                </pic:pic>
              </a:graphicData>
            </a:graphic>
          </wp:anchor>
        </w:drawing>
      </w:r>
      <w:r>
        <w:rPr/>
        <w:t>Difusión</w:t>
      </w:r>
      <w:r>
        <w:rPr>
          <w:spacing w:val="-1"/>
        </w:rPr>
        <w:t> </w:t>
      </w:r>
      <w:r>
        <w:rPr/>
        <w:t>en agar </w:t>
      </w:r>
      <w:r>
        <w:rPr>
          <w:spacing w:val="-2"/>
        </w:rPr>
        <w:t>(Amoxicilina)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
      </w:pPr>
    </w:p>
    <w:p>
      <w:pPr>
        <w:pStyle w:val="BodyText"/>
        <w:spacing w:before="1"/>
        <w:ind w:left="3022"/>
      </w:pPr>
      <w:r>
        <w:rPr/>
        <w:drawing>
          <wp:anchor distT="0" distB="0" distL="0" distR="0" allowOverlap="1" layoutInCell="1" locked="0" behindDoc="0" simplePos="0" relativeHeight="15744000">
            <wp:simplePos x="0" y="0"/>
            <wp:positionH relativeFrom="page">
              <wp:posOffset>842644</wp:posOffset>
            </wp:positionH>
            <wp:positionV relativeFrom="paragraph">
              <wp:posOffset>-878752</wp:posOffset>
            </wp:positionV>
            <wp:extent cx="1799589" cy="1799589"/>
            <wp:effectExtent l="0" t="0" r="0" b="0"/>
            <wp:wrapNone/>
            <wp:docPr id="57" name="Image 57"/>
            <wp:cNvGraphicFramePr>
              <a:graphicFrameLocks/>
            </wp:cNvGraphicFramePr>
            <a:graphic>
              <a:graphicData uri="http://schemas.openxmlformats.org/drawingml/2006/picture">
                <pic:pic>
                  <pic:nvPicPr>
                    <pic:cNvPr id="57" name="Image 57"/>
                    <pic:cNvPicPr/>
                  </pic:nvPicPr>
                  <pic:blipFill>
                    <a:blip r:embed="rId39" cstate="print"/>
                    <a:stretch>
                      <a:fillRect/>
                    </a:stretch>
                  </pic:blipFill>
                  <pic:spPr>
                    <a:xfrm>
                      <a:off x="0" y="0"/>
                      <a:ext cx="1799589" cy="1799589"/>
                    </a:xfrm>
                    <a:prstGeom prst="rect">
                      <a:avLst/>
                    </a:prstGeom>
                  </pic:spPr>
                </pic:pic>
              </a:graphicData>
            </a:graphic>
          </wp:anchor>
        </w:drawing>
      </w:r>
      <w:r>
        <w:rPr/>
        <w:t>Difusión</w:t>
      </w:r>
      <w:r>
        <w:rPr>
          <w:spacing w:val="-5"/>
        </w:rPr>
        <w:t> </w:t>
      </w:r>
      <w:r>
        <w:rPr/>
        <w:t>en</w:t>
      </w:r>
      <w:r>
        <w:rPr>
          <w:spacing w:val="-4"/>
        </w:rPr>
        <w:t> </w:t>
      </w:r>
      <w:r>
        <w:rPr/>
        <w:t>agar</w:t>
      </w:r>
      <w:r>
        <w:rPr>
          <w:spacing w:val="-5"/>
        </w:rPr>
        <w:t> </w:t>
      </w:r>
      <w:r>
        <w:rPr/>
        <w:t>(CBD</w:t>
      </w:r>
      <w:r>
        <w:rPr>
          <w:spacing w:val="-6"/>
        </w:rPr>
        <w:t> </w:t>
      </w:r>
      <w:r>
        <w:rPr/>
        <w:t>+</w:t>
      </w:r>
      <w:r>
        <w:rPr>
          <w:spacing w:val="-9"/>
        </w:rPr>
        <w:t> </w:t>
      </w:r>
      <w:r>
        <w:rPr/>
        <w:t>ETANO</w:t>
      </w:r>
      <w:r>
        <w:rPr>
          <w:spacing w:val="-10"/>
        </w:rPr>
        <w:t> </w:t>
      </w:r>
      <w:r>
        <w:rPr/>
        <w:t>/</w:t>
      </w:r>
      <w:r>
        <w:rPr>
          <w:spacing w:val="-3"/>
        </w:rPr>
        <w:t> </w:t>
      </w:r>
      <w:r>
        <w:rPr>
          <w:spacing w:val="-2"/>
        </w:rPr>
        <w:t>CBD+DMSO</w:t>
      </w:r>
    </w:p>
    <w:p>
      <w:pPr>
        <w:pStyle w:val="BodyText"/>
        <w:spacing w:after="0"/>
        <w:sectPr>
          <w:pgSz w:w="11900" w:h="16840"/>
          <w:pgMar w:top="1640" w:bottom="280" w:left="1275" w:right="992"/>
        </w:sectPr>
      </w:pPr>
    </w:p>
    <w:p>
      <w:pPr>
        <w:pStyle w:val="BodyText"/>
        <w:spacing w:before="60"/>
        <w:ind w:left="994"/>
      </w:pPr>
      <w:r>
        <w:rPr/>
        <w:t>Registro</w:t>
      </w:r>
      <w:r>
        <w:rPr>
          <w:spacing w:val="-5"/>
        </w:rPr>
        <w:t> </w:t>
      </w:r>
      <w:r>
        <w:rPr/>
        <w:t>fotográfico</w:t>
      </w:r>
      <w:r>
        <w:rPr>
          <w:spacing w:val="1"/>
        </w:rPr>
        <w:t> </w:t>
      </w:r>
      <w:r>
        <w:rPr/>
        <w:t>de</w:t>
      </w:r>
      <w:r>
        <w:rPr>
          <w:spacing w:val="-3"/>
        </w:rPr>
        <w:t> </w:t>
      </w:r>
      <w:r>
        <w:rPr/>
        <w:t>la preparación</w:t>
      </w:r>
      <w:r>
        <w:rPr>
          <w:spacing w:val="2"/>
        </w:rPr>
        <w:t> </w:t>
      </w:r>
      <w:r>
        <w:rPr/>
        <w:t>de</w:t>
      </w:r>
      <w:r>
        <w:rPr>
          <w:spacing w:val="-3"/>
        </w:rPr>
        <w:t> </w:t>
      </w:r>
      <w:r>
        <w:rPr>
          <w:spacing w:val="-2"/>
        </w:rPr>
        <w:t>tratamientos</w:t>
      </w:r>
    </w:p>
    <w:p>
      <w:pPr>
        <w:pStyle w:val="BodyText"/>
        <w:rPr>
          <w:sz w:val="20"/>
        </w:rPr>
      </w:pPr>
    </w:p>
    <w:p>
      <w:pPr>
        <w:pStyle w:val="BodyText"/>
        <w:spacing w:before="161"/>
        <w:rPr>
          <w:sz w:val="20"/>
        </w:rPr>
      </w:pPr>
      <w:r>
        <w:rPr>
          <w:sz w:val="20"/>
        </w:rPr>
        <w:drawing>
          <wp:anchor distT="0" distB="0" distL="0" distR="0" allowOverlap="1" layoutInCell="1" locked="0" behindDoc="1" simplePos="0" relativeHeight="487605248">
            <wp:simplePos x="0" y="0"/>
            <wp:positionH relativeFrom="page">
              <wp:posOffset>1103630</wp:posOffset>
            </wp:positionH>
            <wp:positionV relativeFrom="paragraph">
              <wp:posOffset>277649</wp:posOffset>
            </wp:positionV>
            <wp:extent cx="2151855" cy="2151602"/>
            <wp:effectExtent l="0" t="0" r="0" b="0"/>
            <wp:wrapTopAndBottom/>
            <wp:docPr id="58" name="Image 58"/>
            <wp:cNvGraphicFramePr>
              <a:graphicFrameLocks/>
            </wp:cNvGraphicFramePr>
            <a:graphic>
              <a:graphicData uri="http://schemas.openxmlformats.org/drawingml/2006/picture">
                <pic:pic>
                  <pic:nvPicPr>
                    <pic:cNvPr id="58" name="Image 58"/>
                    <pic:cNvPicPr/>
                  </pic:nvPicPr>
                  <pic:blipFill>
                    <a:blip r:embed="rId40" cstate="print"/>
                    <a:stretch>
                      <a:fillRect/>
                    </a:stretch>
                  </pic:blipFill>
                  <pic:spPr>
                    <a:xfrm>
                      <a:off x="0" y="0"/>
                      <a:ext cx="2151855" cy="2151602"/>
                    </a:xfrm>
                    <a:prstGeom prst="rect">
                      <a:avLst/>
                    </a:prstGeom>
                  </pic:spPr>
                </pic:pic>
              </a:graphicData>
            </a:graphic>
          </wp:anchor>
        </w:drawing>
      </w:r>
      <w:r>
        <w:rPr>
          <w:sz w:val="20"/>
        </w:rPr>
        <w:drawing>
          <wp:anchor distT="0" distB="0" distL="0" distR="0" allowOverlap="1" layoutInCell="1" locked="0" behindDoc="1" simplePos="0" relativeHeight="487605760">
            <wp:simplePos x="0" y="0"/>
            <wp:positionH relativeFrom="page">
              <wp:posOffset>3797808</wp:posOffset>
            </wp:positionH>
            <wp:positionV relativeFrom="paragraph">
              <wp:posOffset>263552</wp:posOffset>
            </wp:positionV>
            <wp:extent cx="2157983" cy="2157983"/>
            <wp:effectExtent l="0" t="0" r="0" b="0"/>
            <wp:wrapTopAndBottom/>
            <wp:docPr id="59" name="Image 59"/>
            <wp:cNvGraphicFramePr>
              <a:graphicFrameLocks/>
            </wp:cNvGraphicFramePr>
            <a:graphic>
              <a:graphicData uri="http://schemas.openxmlformats.org/drawingml/2006/picture">
                <pic:pic>
                  <pic:nvPicPr>
                    <pic:cNvPr id="59" name="Image 59"/>
                    <pic:cNvPicPr/>
                  </pic:nvPicPr>
                  <pic:blipFill>
                    <a:blip r:embed="rId41" cstate="print"/>
                    <a:stretch>
                      <a:fillRect/>
                    </a:stretch>
                  </pic:blipFill>
                  <pic:spPr>
                    <a:xfrm>
                      <a:off x="0" y="0"/>
                      <a:ext cx="2157983" cy="2157983"/>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spacing w:before="102"/>
        <w:rPr>
          <w:sz w:val="20"/>
        </w:rPr>
      </w:pPr>
      <w:r>
        <w:rPr>
          <w:sz w:val="20"/>
        </w:rPr>
        <w:drawing>
          <wp:anchor distT="0" distB="0" distL="0" distR="0" allowOverlap="1" layoutInCell="1" locked="0" behindDoc="1" simplePos="0" relativeHeight="487606272">
            <wp:simplePos x="0" y="0"/>
            <wp:positionH relativeFrom="page">
              <wp:posOffset>1076325</wp:posOffset>
            </wp:positionH>
            <wp:positionV relativeFrom="paragraph">
              <wp:posOffset>226047</wp:posOffset>
            </wp:positionV>
            <wp:extent cx="2154936" cy="2154936"/>
            <wp:effectExtent l="0" t="0" r="0" b="0"/>
            <wp:wrapTopAndBottom/>
            <wp:docPr id="60" name="Image 60"/>
            <wp:cNvGraphicFramePr>
              <a:graphicFrameLocks/>
            </wp:cNvGraphicFramePr>
            <a:graphic>
              <a:graphicData uri="http://schemas.openxmlformats.org/drawingml/2006/picture">
                <pic:pic>
                  <pic:nvPicPr>
                    <pic:cNvPr id="60" name="Image 60"/>
                    <pic:cNvPicPr/>
                  </pic:nvPicPr>
                  <pic:blipFill>
                    <a:blip r:embed="rId42" cstate="print"/>
                    <a:stretch>
                      <a:fillRect/>
                    </a:stretch>
                  </pic:blipFill>
                  <pic:spPr>
                    <a:xfrm>
                      <a:off x="0" y="0"/>
                      <a:ext cx="2154936" cy="2154936"/>
                    </a:xfrm>
                    <a:prstGeom prst="rect">
                      <a:avLst/>
                    </a:prstGeom>
                  </pic:spPr>
                </pic:pic>
              </a:graphicData>
            </a:graphic>
          </wp:anchor>
        </w:drawing>
      </w:r>
    </w:p>
    <w:p>
      <w:pPr>
        <w:pStyle w:val="BodyText"/>
        <w:spacing w:after="0"/>
        <w:rPr>
          <w:sz w:val="20"/>
        </w:rPr>
        <w:sectPr>
          <w:pgSz w:w="11900" w:h="16840"/>
          <w:pgMar w:top="1640" w:bottom="280" w:left="1275" w:right="992"/>
        </w:sectPr>
      </w:pPr>
    </w:p>
    <w:p>
      <w:pPr>
        <w:pStyle w:val="BodyText"/>
        <w:ind w:left="993"/>
        <w:rPr>
          <w:sz w:val="20"/>
        </w:rPr>
      </w:pPr>
      <w:r>
        <w:rPr>
          <w:sz w:val="20"/>
        </w:rPr>
        <w:drawing>
          <wp:inline distT="0" distB="0" distL="0" distR="0">
            <wp:extent cx="1637313" cy="2370296"/>
            <wp:effectExtent l="0" t="0" r="0" b="0"/>
            <wp:docPr id="61" name="Image 61"/>
            <wp:cNvGraphicFramePr>
              <a:graphicFrameLocks/>
            </wp:cNvGraphicFramePr>
            <a:graphic>
              <a:graphicData uri="http://schemas.openxmlformats.org/drawingml/2006/picture">
                <pic:pic>
                  <pic:nvPicPr>
                    <pic:cNvPr id="61" name="Image 61"/>
                    <pic:cNvPicPr/>
                  </pic:nvPicPr>
                  <pic:blipFill>
                    <a:blip r:embed="rId43" cstate="print"/>
                    <a:stretch>
                      <a:fillRect/>
                    </a:stretch>
                  </pic:blipFill>
                  <pic:spPr>
                    <a:xfrm>
                      <a:off x="0" y="0"/>
                      <a:ext cx="1637313" cy="2370296"/>
                    </a:xfrm>
                    <a:prstGeom prst="rect">
                      <a:avLst/>
                    </a:prstGeom>
                  </pic:spPr>
                </pic:pic>
              </a:graphicData>
            </a:graphic>
          </wp:inline>
        </w:drawing>
      </w:r>
      <w:r>
        <w:rPr>
          <w:sz w:val="20"/>
        </w:rPr>
      </w:r>
    </w:p>
    <w:p>
      <w:pPr>
        <w:pStyle w:val="BodyText"/>
        <w:spacing w:before="272"/>
        <w:ind w:left="994"/>
      </w:pPr>
      <w:r>
        <w:rPr/>
        <w:t>Determinación</w:t>
      </w:r>
      <w:r>
        <w:rPr>
          <w:spacing w:val="-5"/>
        </w:rPr>
        <w:t> </w:t>
      </w:r>
      <w:r>
        <w:rPr/>
        <w:t>de</w:t>
      </w:r>
      <w:r>
        <w:rPr>
          <w:spacing w:val="-1"/>
        </w:rPr>
        <w:t> </w:t>
      </w:r>
      <w:r>
        <w:rPr/>
        <w:t>la</w:t>
      </w:r>
      <w:r>
        <w:rPr>
          <w:spacing w:val="-5"/>
        </w:rPr>
        <w:t> </w:t>
      </w:r>
      <w:r>
        <w:rPr/>
        <w:t>CMI</w:t>
      </w:r>
      <w:r>
        <w:rPr>
          <w:spacing w:val="-6"/>
        </w:rPr>
        <w:t> </w:t>
      </w:r>
      <w:r>
        <w:rPr>
          <w:spacing w:val="-2"/>
        </w:rPr>
        <w:t>(Cefalexina+CBD)</w:t>
      </w:r>
    </w:p>
    <w:p>
      <w:pPr>
        <w:pStyle w:val="BodyText"/>
        <w:rPr>
          <w:sz w:val="10"/>
        </w:rPr>
      </w:pPr>
      <w:r>
        <w:rPr>
          <w:sz w:val="10"/>
        </w:rPr>
        <w:drawing>
          <wp:anchor distT="0" distB="0" distL="0" distR="0" allowOverlap="1" layoutInCell="1" locked="0" behindDoc="1" simplePos="0" relativeHeight="487606784">
            <wp:simplePos x="0" y="0"/>
            <wp:positionH relativeFrom="page">
              <wp:posOffset>1438275</wp:posOffset>
            </wp:positionH>
            <wp:positionV relativeFrom="paragraph">
              <wp:posOffset>88279</wp:posOffset>
            </wp:positionV>
            <wp:extent cx="1663644" cy="2157983"/>
            <wp:effectExtent l="0" t="0" r="0" b="0"/>
            <wp:wrapTopAndBottom/>
            <wp:docPr id="62" name="Image 62"/>
            <wp:cNvGraphicFramePr>
              <a:graphicFrameLocks/>
            </wp:cNvGraphicFramePr>
            <a:graphic>
              <a:graphicData uri="http://schemas.openxmlformats.org/drawingml/2006/picture">
                <pic:pic>
                  <pic:nvPicPr>
                    <pic:cNvPr id="62" name="Image 62"/>
                    <pic:cNvPicPr/>
                  </pic:nvPicPr>
                  <pic:blipFill>
                    <a:blip r:embed="rId44" cstate="print"/>
                    <a:stretch>
                      <a:fillRect/>
                    </a:stretch>
                  </pic:blipFill>
                  <pic:spPr>
                    <a:xfrm>
                      <a:off x="0" y="0"/>
                      <a:ext cx="1663644" cy="2157983"/>
                    </a:xfrm>
                    <a:prstGeom prst="rect">
                      <a:avLst/>
                    </a:prstGeom>
                  </pic:spPr>
                </pic:pic>
              </a:graphicData>
            </a:graphic>
          </wp:anchor>
        </w:drawing>
      </w:r>
    </w:p>
    <w:p>
      <w:pPr>
        <w:pStyle w:val="BodyText"/>
        <w:spacing w:before="232"/>
      </w:pPr>
    </w:p>
    <w:p>
      <w:pPr>
        <w:pStyle w:val="BodyText"/>
        <w:ind w:left="994"/>
      </w:pPr>
      <w:r>
        <w:rPr/>
        <w:t>Determinación</w:t>
      </w:r>
      <w:r>
        <w:rPr>
          <w:spacing w:val="-5"/>
        </w:rPr>
        <w:t> </w:t>
      </w:r>
      <w:r>
        <w:rPr/>
        <w:t>de</w:t>
      </w:r>
      <w:r>
        <w:rPr>
          <w:spacing w:val="-1"/>
        </w:rPr>
        <w:t> </w:t>
      </w:r>
      <w:r>
        <w:rPr/>
        <w:t>la</w:t>
      </w:r>
      <w:r>
        <w:rPr>
          <w:spacing w:val="-5"/>
        </w:rPr>
        <w:t> </w:t>
      </w:r>
      <w:r>
        <w:rPr/>
        <w:t>CMI</w:t>
      </w:r>
      <w:r>
        <w:rPr>
          <w:spacing w:val="-6"/>
        </w:rPr>
        <w:t> </w:t>
      </w:r>
      <w:r>
        <w:rPr>
          <w:spacing w:val="-2"/>
        </w:rPr>
        <w:t>(Enrofloxacina+CBD)</w:t>
      </w:r>
    </w:p>
    <w:p>
      <w:pPr>
        <w:pStyle w:val="BodyText"/>
        <w:spacing w:before="33"/>
        <w:rPr>
          <w:sz w:val="20"/>
        </w:rPr>
      </w:pPr>
      <w:r>
        <w:rPr>
          <w:sz w:val="20"/>
        </w:rPr>
        <w:drawing>
          <wp:anchor distT="0" distB="0" distL="0" distR="0" allowOverlap="1" layoutInCell="1" locked="0" behindDoc="1" simplePos="0" relativeHeight="487607296">
            <wp:simplePos x="0" y="0"/>
            <wp:positionH relativeFrom="page">
              <wp:posOffset>1438275</wp:posOffset>
            </wp:positionH>
            <wp:positionV relativeFrom="paragraph">
              <wp:posOffset>182655</wp:posOffset>
            </wp:positionV>
            <wp:extent cx="1504206" cy="2313432"/>
            <wp:effectExtent l="0" t="0" r="0" b="0"/>
            <wp:wrapTopAndBottom/>
            <wp:docPr id="63" name="Image 63"/>
            <wp:cNvGraphicFramePr>
              <a:graphicFrameLocks/>
            </wp:cNvGraphicFramePr>
            <a:graphic>
              <a:graphicData uri="http://schemas.openxmlformats.org/drawingml/2006/picture">
                <pic:pic>
                  <pic:nvPicPr>
                    <pic:cNvPr id="63" name="Image 63"/>
                    <pic:cNvPicPr/>
                  </pic:nvPicPr>
                  <pic:blipFill>
                    <a:blip r:embed="rId45" cstate="print"/>
                    <a:stretch>
                      <a:fillRect/>
                    </a:stretch>
                  </pic:blipFill>
                  <pic:spPr>
                    <a:xfrm>
                      <a:off x="0" y="0"/>
                      <a:ext cx="1504206" cy="2313432"/>
                    </a:xfrm>
                    <a:prstGeom prst="rect">
                      <a:avLst/>
                    </a:prstGeom>
                  </pic:spPr>
                </pic:pic>
              </a:graphicData>
            </a:graphic>
          </wp:anchor>
        </w:drawing>
      </w:r>
    </w:p>
    <w:p>
      <w:pPr>
        <w:pStyle w:val="BodyText"/>
        <w:spacing w:before="250"/>
      </w:pPr>
    </w:p>
    <w:p>
      <w:pPr>
        <w:pStyle w:val="BodyText"/>
        <w:ind w:left="994"/>
      </w:pPr>
      <w:r>
        <w:rPr/>
        <w:t>Determinación</w:t>
      </w:r>
      <w:r>
        <w:rPr>
          <w:spacing w:val="-5"/>
        </w:rPr>
        <w:t> </w:t>
      </w:r>
      <w:r>
        <w:rPr/>
        <w:t>de</w:t>
      </w:r>
      <w:r>
        <w:rPr>
          <w:spacing w:val="-1"/>
        </w:rPr>
        <w:t> </w:t>
      </w:r>
      <w:r>
        <w:rPr/>
        <w:t>la</w:t>
      </w:r>
      <w:r>
        <w:rPr>
          <w:spacing w:val="-5"/>
        </w:rPr>
        <w:t> </w:t>
      </w:r>
      <w:r>
        <w:rPr/>
        <w:t>CMI</w:t>
      </w:r>
      <w:r>
        <w:rPr>
          <w:spacing w:val="-6"/>
        </w:rPr>
        <w:t> </w:t>
      </w:r>
      <w:r>
        <w:rPr>
          <w:spacing w:val="-2"/>
        </w:rPr>
        <w:t>(Amoxicilina+CBD)</w:t>
      </w:r>
    </w:p>
    <w:p>
      <w:pPr>
        <w:pStyle w:val="BodyText"/>
        <w:spacing w:after="0"/>
        <w:sectPr>
          <w:pgSz w:w="11900" w:h="16840"/>
          <w:pgMar w:top="1700" w:bottom="280" w:left="1275" w:right="992"/>
        </w:sectPr>
      </w:pPr>
    </w:p>
    <w:p>
      <w:pPr>
        <w:spacing w:before="60"/>
        <w:ind w:left="994" w:right="0" w:firstLine="0"/>
        <w:jc w:val="left"/>
        <w:rPr>
          <w:sz w:val="24"/>
        </w:rPr>
      </w:pPr>
      <w:bookmarkStart w:name="_bookmark59" w:id="60"/>
      <w:bookmarkEnd w:id="60"/>
      <w:r>
        <w:rPr/>
      </w:r>
      <w:r>
        <w:rPr>
          <w:b/>
          <w:sz w:val="24"/>
        </w:rPr>
        <w:t>Anexo</w:t>
      </w:r>
      <w:r>
        <w:rPr>
          <w:b/>
          <w:spacing w:val="-5"/>
          <w:sz w:val="24"/>
        </w:rPr>
        <w:t> </w:t>
      </w:r>
      <w:r>
        <w:rPr>
          <w:b/>
          <w:sz w:val="24"/>
        </w:rPr>
        <w:t>6.</w:t>
      </w:r>
      <w:r>
        <w:rPr>
          <w:b/>
          <w:spacing w:val="-2"/>
          <w:sz w:val="24"/>
        </w:rPr>
        <w:t> </w:t>
      </w:r>
      <w:r>
        <w:rPr>
          <w:sz w:val="24"/>
        </w:rPr>
        <w:t>Glosario</w:t>
      </w:r>
      <w:r>
        <w:rPr>
          <w:spacing w:val="-4"/>
          <w:sz w:val="24"/>
        </w:rPr>
        <w:t> </w:t>
      </w:r>
      <w:r>
        <w:rPr>
          <w:sz w:val="24"/>
        </w:rPr>
        <w:t>De</w:t>
      </w:r>
      <w:r>
        <w:rPr>
          <w:spacing w:val="-4"/>
          <w:sz w:val="24"/>
        </w:rPr>
        <w:t> </w:t>
      </w:r>
      <w:r>
        <w:rPr>
          <w:sz w:val="24"/>
        </w:rPr>
        <w:t>Términos</w:t>
      </w:r>
      <w:r>
        <w:rPr>
          <w:spacing w:val="-9"/>
          <w:sz w:val="24"/>
        </w:rPr>
        <w:t> </w:t>
      </w:r>
      <w:r>
        <w:rPr>
          <w:spacing w:val="-2"/>
          <w:sz w:val="24"/>
        </w:rPr>
        <w:t>Técnicos</w:t>
      </w:r>
    </w:p>
    <w:p>
      <w:pPr>
        <w:pStyle w:val="BodyText"/>
        <w:spacing w:before="126"/>
        <w:rPr>
          <w:sz w:val="20"/>
        </w:rPr>
      </w:pPr>
      <w:r>
        <w:rPr>
          <w:sz w:val="20"/>
        </w:rPr>
        <mc:AlternateContent>
          <mc:Choice Requires="wps">
            <w:drawing>
              <wp:anchor distT="0" distB="0" distL="0" distR="0" allowOverlap="1" layoutInCell="1" locked="0" behindDoc="1" simplePos="0" relativeHeight="487607808">
                <wp:simplePos x="0" y="0"/>
                <wp:positionH relativeFrom="page">
                  <wp:posOffset>1079817</wp:posOffset>
                </wp:positionH>
                <wp:positionV relativeFrom="paragraph">
                  <wp:posOffset>241581</wp:posOffset>
                </wp:positionV>
                <wp:extent cx="5488940" cy="508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5488940" cy="5080"/>
                        </a:xfrm>
                        <a:custGeom>
                          <a:avLst/>
                          <a:gdLst/>
                          <a:ahLst/>
                          <a:cxnLst/>
                          <a:rect l="l" t="t" r="r" b="b"/>
                          <a:pathLst>
                            <a:path w="5488940" h="5080">
                              <a:moveTo>
                                <a:pt x="1544955" y="0"/>
                              </a:moveTo>
                              <a:lnTo>
                                <a:pt x="0" y="0"/>
                              </a:lnTo>
                              <a:lnTo>
                                <a:pt x="0" y="5067"/>
                              </a:lnTo>
                              <a:lnTo>
                                <a:pt x="1544955" y="5067"/>
                              </a:lnTo>
                              <a:lnTo>
                                <a:pt x="1544955" y="0"/>
                              </a:lnTo>
                              <a:close/>
                            </a:path>
                            <a:path w="5488940" h="5080">
                              <a:moveTo>
                                <a:pt x="1550085" y="0"/>
                              </a:moveTo>
                              <a:lnTo>
                                <a:pt x="1545018" y="0"/>
                              </a:lnTo>
                              <a:lnTo>
                                <a:pt x="1545018" y="5067"/>
                              </a:lnTo>
                              <a:lnTo>
                                <a:pt x="1550085" y="5067"/>
                              </a:lnTo>
                              <a:lnTo>
                                <a:pt x="1550085" y="0"/>
                              </a:lnTo>
                              <a:close/>
                            </a:path>
                            <a:path w="5488940" h="5080">
                              <a:moveTo>
                                <a:pt x="5488368" y="0"/>
                              </a:moveTo>
                              <a:lnTo>
                                <a:pt x="1550098" y="0"/>
                              </a:lnTo>
                              <a:lnTo>
                                <a:pt x="1550098" y="5067"/>
                              </a:lnTo>
                              <a:lnTo>
                                <a:pt x="5488368" y="5067"/>
                              </a:lnTo>
                              <a:lnTo>
                                <a:pt x="548836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85.025002pt;margin-top:19.022137pt;width:432.2pt;height:.4pt;mso-position-horizontal-relative:page;mso-position-vertical-relative:paragraph;z-index:-15708672;mso-wrap-distance-left:0;mso-wrap-distance-right:0" id="docshape29" coordorigin="1701,380" coordsize="8644,8" path="m4134,380l1701,380,1701,388,4134,388,4134,380xm4142,380l4134,380,4134,388,4142,388,4142,380xm10344,380l4142,380,4142,388,10344,388,10344,380xe" filled="true" fillcolor="#7e7e7e" stroked="false">
                <v:path arrowok="t"/>
                <v:fill type="solid"/>
                <w10:wrap type="topAndBottom"/>
              </v:shape>
            </w:pict>
          </mc:Fallback>
        </mc:AlternateContent>
      </w:r>
    </w:p>
    <w:p>
      <w:pPr>
        <w:tabs>
          <w:tab w:pos="2966" w:val="left" w:leader="none"/>
        </w:tabs>
        <w:spacing w:before="2"/>
        <w:ind w:left="533" w:right="0" w:firstLine="0"/>
        <w:jc w:val="left"/>
        <w:rPr>
          <w:b/>
          <w:sz w:val="22"/>
        </w:rPr>
      </w:pPr>
      <w:r>
        <w:rPr>
          <w:b/>
          <w:sz w:val="22"/>
        </w:rPr>
        <w:t>Término</w:t>
      </w:r>
      <w:r>
        <w:rPr>
          <w:b/>
          <w:spacing w:val="-2"/>
          <w:sz w:val="22"/>
        </w:rPr>
        <w:t> técnico</w:t>
      </w:r>
      <w:r>
        <w:rPr>
          <w:b/>
          <w:sz w:val="22"/>
        </w:rPr>
        <w:tab/>
      </w:r>
      <w:r>
        <w:rPr>
          <w:b/>
          <w:spacing w:val="-2"/>
          <w:sz w:val="22"/>
        </w:rPr>
        <w:t>Definición</w:t>
      </w:r>
    </w:p>
    <w:p>
      <w:pPr>
        <w:spacing w:after="0"/>
        <w:jc w:val="left"/>
        <w:rPr>
          <w:b/>
          <w:sz w:val="22"/>
        </w:rPr>
        <w:sectPr>
          <w:pgSz w:w="11900" w:h="16840"/>
          <w:pgMar w:top="1580" w:bottom="280" w:left="1275" w:right="992"/>
        </w:sectPr>
      </w:pPr>
    </w:p>
    <w:p>
      <w:pPr>
        <w:spacing w:line="360" w:lineRule="auto" w:before="136"/>
        <w:ind w:left="533" w:right="38" w:firstLine="0"/>
        <w:jc w:val="left"/>
        <w:rPr>
          <w:b/>
          <w:sz w:val="22"/>
        </w:rPr>
      </w:pPr>
      <w:r>
        <w:rPr>
          <w:b/>
          <w:sz w:val="22"/>
        </w:rPr>
        <mc:AlternateContent>
          <mc:Choice Requires="wps">
            <w:drawing>
              <wp:anchor distT="0" distB="0" distL="0" distR="0" allowOverlap="1" layoutInCell="1" locked="0" behindDoc="0" simplePos="0" relativeHeight="15749120">
                <wp:simplePos x="0" y="0"/>
                <wp:positionH relativeFrom="page">
                  <wp:posOffset>1079817</wp:posOffset>
                </wp:positionH>
                <wp:positionV relativeFrom="paragraph">
                  <wp:posOffset>81940</wp:posOffset>
                </wp:positionV>
                <wp:extent cx="5488940" cy="5080"/>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5488940" cy="5080"/>
                        </a:xfrm>
                        <a:custGeom>
                          <a:avLst/>
                          <a:gdLst/>
                          <a:ahLst/>
                          <a:cxnLst/>
                          <a:rect l="l" t="t" r="r" b="b"/>
                          <a:pathLst>
                            <a:path w="5488940" h="5080">
                              <a:moveTo>
                                <a:pt x="1544955" y="0"/>
                              </a:moveTo>
                              <a:lnTo>
                                <a:pt x="0" y="0"/>
                              </a:lnTo>
                              <a:lnTo>
                                <a:pt x="0" y="5067"/>
                              </a:lnTo>
                              <a:lnTo>
                                <a:pt x="1544955" y="5067"/>
                              </a:lnTo>
                              <a:lnTo>
                                <a:pt x="1544955" y="0"/>
                              </a:lnTo>
                              <a:close/>
                            </a:path>
                            <a:path w="5488940" h="5080">
                              <a:moveTo>
                                <a:pt x="1550085" y="0"/>
                              </a:moveTo>
                              <a:lnTo>
                                <a:pt x="1545018" y="0"/>
                              </a:lnTo>
                              <a:lnTo>
                                <a:pt x="1545018" y="5067"/>
                              </a:lnTo>
                              <a:lnTo>
                                <a:pt x="1550085" y="5067"/>
                              </a:lnTo>
                              <a:lnTo>
                                <a:pt x="1550085" y="0"/>
                              </a:lnTo>
                              <a:close/>
                            </a:path>
                            <a:path w="5488940" h="5080">
                              <a:moveTo>
                                <a:pt x="5488368" y="0"/>
                              </a:moveTo>
                              <a:lnTo>
                                <a:pt x="1550098" y="0"/>
                              </a:lnTo>
                              <a:lnTo>
                                <a:pt x="1550098" y="5067"/>
                              </a:lnTo>
                              <a:lnTo>
                                <a:pt x="5488368" y="5067"/>
                              </a:lnTo>
                              <a:lnTo>
                                <a:pt x="548836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85.025002pt;margin-top:6.452041pt;width:432.2pt;height:.4pt;mso-position-horizontal-relative:page;mso-position-vertical-relative:paragraph;z-index:15749120" id="docshape30" coordorigin="1701,129" coordsize="8644,8" path="m4134,129l1701,129,1701,137,4134,137,4134,129xm4142,129l4134,129,4134,137,4142,137,4142,129xm10344,129l4142,129,4142,137,10344,137,10344,129xe" filled="true" fillcolor="#7e7e7e" stroked="false">
                <v:path arrowok="t"/>
                <v:fill type="solid"/>
                <w10:wrap type="none"/>
              </v:shape>
            </w:pict>
          </mc:Fallback>
        </mc:AlternateContent>
      </w:r>
      <w:r>
        <w:rPr>
          <w:b/>
          <w:spacing w:val="-2"/>
          <w:sz w:val="22"/>
        </w:rPr>
        <w:t>Antagonismo antimicrobiano</w:t>
      </w:r>
    </w:p>
    <w:p>
      <w:pPr>
        <w:spacing w:line="360" w:lineRule="auto" w:before="136"/>
        <w:ind w:left="533" w:right="1005" w:firstLine="0"/>
        <w:jc w:val="left"/>
        <w:rPr>
          <w:sz w:val="22"/>
        </w:rPr>
      </w:pPr>
      <w:r>
        <w:rPr/>
        <w:br w:type="column"/>
      </w:r>
      <w:r>
        <w:rPr>
          <w:sz w:val="22"/>
        </w:rPr>
        <w:t>La</w:t>
      </w:r>
      <w:r>
        <w:rPr>
          <w:spacing w:val="-7"/>
          <w:sz w:val="22"/>
        </w:rPr>
        <w:t> </w:t>
      </w:r>
      <w:r>
        <w:rPr>
          <w:sz w:val="22"/>
        </w:rPr>
        <w:t>interacción</w:t>
      </w:r>
      <w:r>
        <w:rPr>
          <w:spacing w:val="-4"/>
          <w:sz w:val="22"/>
        </w:rPr>
        <w:t> </w:t>
      </w:r>
      <w:r>
        <w:rPr>
          <w:sz w:val="22"/>
        </w:rPr>
        <w:t>entre</w:t>
      </w:r>
      <w:r>
        <w:rPr>
          <w:spacing w:val="-7"/>
          <w:sz w:val="22"/>
        </w:rPr>
        <w:t> </w:t>
      </w:r>
      <w:r>
        <w:rPr>
          <w:sz w:val="22"/>
        </w:rPr>
        <w:t>dos</w:t>
      </w:r>
      <w:r>
        <w:rPr>
          <w:spacing w:val="-7"/>
          <w:sz w:val="22"/>
        </w:rPr>
        <w:t> </w:t>
      </w:r>
      <w:r>
        <w:rPr>
          <w:sz w:val="22"/>
        </w:rPr>
        <w:t>agentes</w:t>
      </w:r>
      <w:r>
        <w:rPr>
          <w:spacing w:val="-7"/>
          <w:sz w:val="22"/>
        </w:rPr>
        <w:t> </w:t>
      </w:r>
      <w:r>
        <w:rPr>
          <w:sz w:val="22"/>
        </w:rPr>
        <w:t>antimicrobianos</w:t>
      </w:r>
      <w:r>
        <w:rPr>
          <w:spacing w:val="-7"/>
          <w:sz w:val="22"/>
        </w:rPr>
        <w:t> </w:t>
      </w:r>
      <w:r>
        <w:rPr>
          <w:sz w:val="22"/>
        </w:rPr>
        <w:t>que,</w:t>
      </w:r>
      <w:r>
        <w:rPr>
          <w:spacing w:val="-5"/>
          <w:sz w:val="22"/>
        </w:rPr>
        <w:t> </w:t>
      </w:r>
      <w:r>
        <w:rPr>
          <w:sz w:val="22"/>
        </w:rPr>
        <w:t>cuando</w:t>
      </w:r>
      <w:r>
        <w:rPr>
          <w:spacing w:val="-4"/>
          <w:sz w:val="22"/>
        </w:rPr>
        <w:t> </w:t>
      </w:r>
      <w:r>
        <w:rPr>
          <w:sz w:val="22"/>
        </w:rPr>
        <w:t>se administran</w:t>
      </w:r>
      <w:r>
        <w:rPr>
          <w:spacing w:val="-1"/>
          <w:sz w:val="22"/>
        </w:rPr>
        <w:t> </w:t>
      </w:r>
      <w:r>
        <w:rPr>
          <w:sz w:val="22"/>
        </w:rPr>
        <w:t>conjuntamente,</w:t>
      </w:r>
      <w:r>
        <w:rPr>
          <w:spacing w:val="-2"/>
          <w:sz w:val="22"/>
        </w:rPr>
        <w:t> </w:t>
      </w:r>
      <w:r>
        <w:rPr>
          <w:sz w:val="22"/>
        </w:rPr>
        <w:t>provoca</w:t>
      </w:r>
      <w:r>
        <w:rPr>
          <w:spacing w:val="-3"/>
          <w:sz w:val="22"/>
        </w:rPr>
        <w:t> </w:t>
      </w:r>
      <w:r>
        <w:rPr>
          <w:sz w:val="22"/>
        </w:rPr>
        <w:t>una</w:t>
      </w:r>
      <w:r>
        <w:rPr>
          <w:spacing w:val="-7"/>
          <w:sz w:val="22"/>
        </w:rPr>
        <w:t> </w:t>
      </w:r>
      <w:r>
        <w:rPr>
          <w:sz w:val="22"/>
        </w:rPr>
        <w:t>disminución</w:t>
      </w:r>
      <w:r>
        <w:rPr>
          <w:spacing w:val="-4"/>
          <w:sz w:val="22"/>
        </w:rPr>
        <w:t> </w:t>
      </w:r>
      <w:r>
        <w:rPr>
          <w:sz w:val="22"/>
        </w:rPr>
        <w:t>del</w:t>
      </w:r>
      <w:r>
        <w:rPr>
          <w:spacing w:val="-3"/>
          <w:sz w:val="22"/>
        </w:rPr>
        <w:t> </w:t>
      </w:r>
      <w:r>
        <w:rPr>
          <w:sz w:val="22"/>
        </w:rPr>
        <w:t>efecto terapéutico previsible. Este suceso puede impactar la respuesta clínica y ser propicio para la persistencia bacteriana.</w:t>
      </w:r>
    </w:p>
    <w:p>
      <w:pPr>
        <w:spacing w:after="0" w:line="360" w:lineRule="auto"/>
        <w:jc w:val="left"/>
        <w:rPr>
          <w:sz w:val="22"/>
        </w:rPr>
        <w:sectPr>
          <w:type w:val="continuous"/>
          <w:pgSz w:w="11900" w:h="16840"/>
          <w:pgMar w:top="1720" w:bottom="280" w:left="1275" w:right="992"/>
          <w:cols w:num="2" w:equalWidth="0">
            <w:col w:w="2019" w:space="415"/>
            <w:col w:w="7199"/>
          </w:cols>
        </w:sectPr>
      </w:pPr>
    </w:p>
    <w:p>
      <w:pPr>
        <w:tabs>
          <w:tab w:pos="3022" w:val="left" w:leader="none"/>
        </w:tabs>
        <w:spacing w:before="2"/>
        <w:ind w:left="533" w:right="0" w:firstLine="0"/>
        <w:jc w:val="left"/>
        <w:rPr>
          <w:sz w:val="22"/>
        </w:rPr>
      </w:pPr>
      <w:r>
        <w:rPr>
          <w:b/>
          <w:spacing w:val="-2"/>
          <w:sz w:val="22"/>
        </w:rPr>
        <w:t>Beta-lactamasas</w:t>
      </w:r>
      <w:r>
        <w:rPr>
          <w:b/>
          <w:sz w:val="22"/>
        </w:rPr>
        <w:tab/>
      </w:r>
      <w:r>
        <w:rPr>
          <w:sz w:val="22"/>
        </w:rPr>
        <w:t>Unas</w:t>
      </w:r>
      <w:r>
        <w:rPr>
          <w:spacing w:val="-7"/>
          <w:sz w:val="22"/>
        </w:rPr>
        <w:t> </w:t>
      </w:r>
      <w:r>
        <w:rPr>
          <w:sz w:val="22"/>
        </w:rPr>
        <w:t>enzimas,</w:t>
      </w:r>
      <w:r>
        <w:rPr>
          <w:spacing w:val="-6"/>
          <w:sz w:val="22"/>
        </w:rPr>
        <w:t> </w:t>
      </w:r>
      <w:r>
        <w:rPr>
          <w:sz w:val="22"/>
        </w:rPr>
        <w:t>producidas</w:t>
      </w:r>
      <w:r>
        <w:rPr>
          <w:spacing w:val="-6"/>
          <w:sz w:val="22"/>
        </w:rPr>
        <w:t> </w:t>
      </w:r>
      <w:r>
        <w:rPr>
          <w:sz w:val="22"/>
        </w:rPr>
        <w:t>por</w:t>
      </w:r>
      <w:r>
        <w:rPr>
          <w:spacing w:val="-7"/>
          <w:sz w:val="22"/>
        </w:rPr>
        <w:t> </w:t>
      </w:r>
      <w:r>
        <w:rPr>
          <w:sz w:val="22"/>
        </w:rPr>
        <w:t>determinadas</w:t>
      </w:r>
      <w:r>
        <w:rPr>
          <w:spacing w:val="-7"/>
          <w:sz w:val="22"/>
        </w:rPr>
        <w:t> </w:t>
      </w:r>
      <w:r>
        <w:rPr>
          <w:sz w:val="22"/>
        </w:rPr>
        <w:t>bacterias,</w:t>
      </w:r>
      <w:r>
        <w:rPr>
          <w:spacing w:val="-5"/>
          <w:sz w:val="22"/>
        </w:rPr>
        <w:t> que</w:t>
      </w:r>
    </w:p>
    <w:p>
      <w:pPr>
        <w:spacing w:line="360" w:lineRule="auto" w:before="123"/>
        <w:ind w:left="2966" w:right="751" w:firstLine="0"/>
        <w:jc w:val="left"/>
        <w:rPr>
          <w:sz w:val="22"/>
        </w:rPr>
      </w:pPr>
      <w:r>
        <w:rPr>
          <w:sz w:val="22"/>
        </w:rPr>
        <w:t>catalizan la ruptura del anillo beta-lactámico presente en diversos antibióticos.</w:t>
      </w:r>
      <w:r>
        <w:rPr>
          <w:spacing w:val="-7"/>
          <w:sz w:val="22"/>
        </w:rPr>
        <w:t> </w:t>
      </w:r>
      <w:r>
        <w:rPr>
          <w:sz w:val="22"/>
        </w:rPr>
        <w:t>Dicha</w:t>
      </w:r>
      <w:r>
        <w:rPr>
          <w:spacing w:val="-9"/>
          <w:sz w:val="22"/>
        </w:rPr>
        <w:t> </w:t>
      </w:r>
      <w:r>
        <w:rPr>
          <w:sz w:val="22"/>
        </w:rPr>
        <w:t>acción</w:t>
      </w:r>
      <w:r>
        <w:rPr>
          <w:spacing w:val="-6"/>
          <w:sz w:val="22"/>
        </w:rPr>
        <w:t> </w:t>
      </w:r>
      <w:r>
        <w:rPr>
          <w:sz w:val="22"/>
        </w:rPr>
        <w:t>desactiva</w:t>
      </w:r>
      <w:r>
        <w:rPr>
          <w:spacing w:val="-9"/>
          <w:sz w:val="22"/>
        </w:rPr>
        <w:t> </w:t>
      </w:r>
      <w:r>
        <w:rPr>
          <w:sz w:val="22"/>
        </w:rPr>
        <w:t>fármacos</w:t>
      </w:r>
      <w:r>
        <w:rPr>
          <w:spacing w:val="-5"/>
          <w:sz w:val="22"/>
        </w:rPr>
        <w:t> </w:t>
      </w:r>
      <w:r>
        <w:rPr>
          <w:sz w:val="22"/>
        </w:rPr>
        <w:t>como</w:t>
      </w:r>
      <w:r>
        <w:rPr>
          <w:spacing w:val="-6"/>
          <w:sz w:val="22"/>
        </w:rPr>
        <w:t> </w:t>
      </w:r>
      <w:r>
        <w:rPr>
          <w:sz w:val="22"/>
        </w:rPr>
        <w:t>las</w:t>
      </w:r>
      <w:r>
        <w:rPr>
          <w:spacing w:val="-9"/>
          <w:sz w:val="22"/>
        </w:rPr>
        <w:t> </w:t>
      </w:r>
      <w:r>
        <w:rPr>
          <w:sz w:val="22"/>
        </w:rPr>
        <w:t>penicilinas y las cefalosporinas, contribuyendo al desarrollo de resistencia </w:t>
      </w:r>
      <w:r>
        <w:rPr>
          <w:spacing w:val="-2"/>
          <w:sz w:val="22"/>
        </w:rPr>
        <w:t>bacteriana.</w:t>
      </w:r>
    </w:p>
    <w:p>
      <w:pPr>
        <w:tabs>
          <w:tab w:pos="2966" w:val="left" w:leader="none"/>
        </w:tabs>
        <w:spacing w:before="3"/>
        <w:ind w:left="533" w:right="0" w:firstLine="0"/>
        <w:jc w:val="both"/>
        <w:rPr>
          <w:sz w:val="22"/>
        </w:rPr>
      </w:pPr>
      <w:r>
        <w:rPr>
          <w:b/>
          <w:sz w:val="22"/>
        </w:rPr>
        <w:t>Biofilm</w:t>
      </w:r>
      <w:r>
        <w:rPr>
          <w:b/>
          <w:spacing w:val="-5"/>
          <w:sz w:val="22"/>
        </w:rPr>
        <w:t> </w:t>
      </w:r>
      <w:r>
        <w:rPr>
          <w:b/>
          <w:spacing w:val="-2"/>
          <w:sz w:val="22"/>
        </w:rPr>
        <w:t>bacteriano</w:t>
      </w:r>
      <w:r>
        <w:rPr>
          <w:b/>
          <w:sz w:val="22"/>
        </w:rPr>
        <w:tab/>
      </w:r>
      <w:r>
        <w:rPr>
          <w:sz w:val="22"/>
        </w:rPr>
        <w:t>Una</w:t>
      </w:r>
      <w:r>
        <w:rPr>
          <w:spacing w:val="-6"/>
          <w:sz w:val="22"/>
        </w:rPr>
        <w:t> </w:t>
      </w:r>
      <w:r>
        <w:rPr>
          <w:sz w:val="22"/>
        </w:rPr>
        <w:t>compleja</w:t>
      </w:r>
      <w:r>
        <w:rPr>
          <w:spacing w:val="-6"/>
          <w:sz w:val="22"/>
        </w:rPr>
        <w:t> </w:t>
      </w:r>
      <w:r>
        <w:rPr>
          <w:sz w:val="22"/>
        </w:rPr>
        <w:t>arquitectura</w:t>
      </w:r>
      <w:r>
        <w:rPr>
          <w:spacing w:val="-6"/>
          <w:sz w:val="22"/>
        </w:rPr>
        <w:t> </w:t>
      </w:r>
      <w:r>
        <w:rPr>
          <w:sz w:val="22"/>
        </w:rPr>
        <w:t>comprised</w:t>
      </w:r>
      <w:r>
        <w:rPr>
          <w:spacing w:val="-4"/>
          <w:sz w:val="22"/>
        </w:rPr>
        <w:t> </w:t>
      </w:r>
      <w:r>
        <w:rPr>
          <w:sz w:val="22"/>
        </w:rPr>
        <w:t>by</w:t>
      </w:r>
      <w:r>
        <w:rPr>
          <w:spacing w:val="-7"/>
          <w:sz w:val="22"/>
        </w:rPr>
        <w:t> </w:t>
      </w:r>
      <w:r>
        <w:rPr>
          <w:sz w:val="22"/>
        </w:rPr>
        <w:t>bacterial</w:t>
      </w:r>
      <w:r>
        <w:rPr>
          <w:spacing w:val="-5"/>
          <w:sz w:val="22"/>
        </w:rPr>
        <w:t> </w:t>
      </w:r>
      <w:r>
        <w:rPr>
          <w:spacing w:val="-2"/>
          <w:sz w:val="22"/>
        </w:rPr>
        <w:t>communities</w:t>
      </w:r>
    </w:p>
    <w:p>
      <w:pPr>
        <w:spacing w:line="360" w:lineRule="auto" w:before="127"/>
        <w:ind w:left="2966" w:right="1029" w:firstLine="0"/>
        <w:jc w:val="both"/>
        <w:rPr>
          <w:sz w:val="22"/>
        </w:rPr>
      </w:pPr>
      <w:r>
        <w:rPr>
          <w:sz w:val="22"/>
        </w:rPr>
        <w:t>adhered to a</w:t>
      </w:r>
      <w:r>
        <w:rPr>
          <w:spacing w:val="-3"/>
          <w:sz w:val="22"/>
        </w:rPr>
        <w:t> </w:t>
      </w:r>
      <w:r>
        <w:rPr>
          <w:sz w:val="22"/>
        </w:rPr>
        <w:t>surface,</w:t>
      </w:r>
      <w:r>
        <w:rPr>
          <w:spacing w:val="-1"/>
          <w:sz w:val="22"/>
        </w:rPr>
        <w:t> </w:t>
      </w:r>
      <w:r>
        <w:rPr>
          <w:sz w:val="22"/>
        </w:rPr>
        <w:t>enveloped by</w:t>
      </w:r>
      <w:r>
        <w:rPr>
          <w:spacing w:val="-4"/>
          <w:sz w:val="22"/>
        </w:rPr>
        <w:t> </w:t>
      </w:r>
      <w:r>
        <w:rPr>
          <w:sz w:val="22"/>
        </w:rPr>
        <w:t>an extracellular</w:t>
      </w:r>
      <w:r>
        <w:rPr>
          <w:spacing w:val="-3"/>
          <w:sz w:val="22"/>
        </w:rPr>
        <w:t> </w:t>
      </w:r>
      <w:r>
        <w:rPr>
          <w:sz w:val="22"/>
        </w:rPr>
        <w:t>matrix.</w:t>
      </w:r>
      <w:r>
        <w:rPr>
          <w:spacing w:val="-1"/>
          <w:sz w:val="22"/>
        </w:rPr>
        <w:t> </w:t>
      </w:r>
      <w:r>
        <w:rPr>
          <w:sz w:val="22"/>
        </w:rPr>
        <w:t>This protective</w:t>
      </w:r>
      <w:r>
        <w:rPr>
          <w:spacing w:val="-9"/>
          <w:sz w:val="22"/>
        </w:rPr>
        <w:t> </w:t>
      </w:r>
      <w:r>
        <w:rPr>
          <w:sz w:val="22"/>
        </w:rPr>
        <w:t>barrier</w:t>
      </w:r>
      <w:r>
        <w:rPr>
          <w:spacing w:val="-9"/>
          <w:sz w:val="22"/>
        </w:rPr>
        <w:t> </w:t>
      </w:r>
      <w:r>
        <w:rPr>
          <w:sz w:val="22"/>
        </w:rPr>
        <w:t>enhances</w:t>
      </w:r>
      <w:r>
        <w:rPr>
          <w:spacing w:val="-6"/>
          <w:sz w:val="22"/>
        </w:rPr>
        <w:t> </w:t>
      </w:r>
      <w:r>
        <w:rPr>
          <w:sz w:val="22"/>
        </w:rPr>
        <w:t>their</w:t>
      </w:r>
      <w:r>
        <w:rPr>
          <w:spacing w:val="-9"/>
          <w:sz w:val="22"/>
        </w:rPr>
        <w:t> </w:t>
      </w:r>
      <w:r>
        <w:rPr>
          <w:sz w:val="22"/>
        </w:rPr>
        <w:t>resilience</w:t>
      </w:r>
      <w:r>
        <w:rPr>
          <w:spacing w:val="-6"/>
          <w:sz w:val="22"/>
        </w:rPr>
        <w:t> </w:t>
      </w:r>
      <w:r>
        <w:rPr>
          <w:sz w:val="22"/>
        </w:rPr>
        <w:t>against</w:t>
      </w:r>
      <w:r>
        <w:rPr>
          <w:spacing w:val="-9"/>
          <w:sz w:val="22"/>
        </w:rPr>
        <w:t> </w:t>
      </w:r>
      <w:r>
        <w:rPr>
          <w:sz w:val="22"/>
        </w:rPr>
        <w:t>antimicrobial agents and immune system defenses.</w:t>
      </w:r>
    </w:p>
    <w:p>
      <w:pPr>
        <w:tabs>
          <w:tab w:pos="2966" w:val="left" w:leader="none"/>
        </w:tabs>
        <w:spacing w:line="360" w:lineRule="auto" w:before="0"/>
        <w:ind w:left="2966" w:right="780" w:hanging="2434"/>
        <w:jc w:val="left"/>
        <w:rPr>
          <w:sz w:val="22"/>
        </w:rPr>
      </w:pPr>
      <w:r>
        <w:rPr>
          <w:b/>
          <w:spacing w:val="-2"/>
          <w:sz w:val="22"/>
        </w:rPr>
        <w:t>Biodisponibilidad</w:t>
      </w:r>
      <w:r>
        <w:rPr>
          <w:b/>
          <w:sz w:val="22"/>
        </w:rPr>
        <w:tab/>
      </w:r>
      <w:r>
        <w:rPr>
          <w:sz w:val="22"/>
        </w:rPr>
        <w:t>Biodisponibilidad. Definición: La fracción de un principio activo que accede de manera funcional al compartimento biológico de interés.</w:t>
      </w:r>
      <w:r>
        <w:rPr>
          <w:spacing w:val="-5"/>
          <w:sz w:val="22"/>
        </w:rPr>
        <w:t> </w:t>
      </w:r>
      <w:r>
        <w:rPr>
          <w:sz w:val="22"/>
        </w:rPr>
        <w:t>En</w:t>
      </w:r>
      <w:r>
        <w:rPr>
          <w:spacing w:val="-4"/>
          <w:sz w:val="22"/>
        </w:rPr>
        <w:t> </w:t>
      </w:r>
      <w:r>
        <w:rPr>
          <w:sz w:val="22"/>
        </w:rPr>
        <w:t>contextos</w:t>
      </w:r>
      <w:r>
        <w:rPr>
          <w:spacing w:val="-7"/>
          <w:sz w:val="22"/>
        </w:rPr>
        <w:t> </w:t>
      </w:r>
      <w:r>
        <w:rPr>
          <w:sz w:val="22"/>
        </w:rPr>
        <w:t>de</w:t>
      </w:r>
      <w:r>
        <w:rPr>
          <w:spacing w:val="-7"/>
          <w:sz w:val="22"/>
        </w:rPr>
        <w:t> </w:t>
      </w:r>
      <w:r>
        <w:rPr>
          <w:sz w:val="22"/>
        </w:rPr>
        <w:t>investigación</w:t>
      </w:r>
      <w:r>
        <w:rPr>
          <w:spacing w:val="-4"/>
          <w:sz w:val="22"/>
        </w:rPr>
        <w:t> </w:t>
      </w:r>
      <w:r>
        <w:rPr>
          <w:sz w:val="22"/>
        </w:rPr>
        <w:t>in</w:t>
      </w:r>
      <w:r>
        <w:rPr>
          <w:spacing w:val="-4"/>
          <w:sz w:val="22"/>
        </w:rPr>
        <w:t> </w:t>
      </w:r>
      <w:r>
        <w:rPr>
          <w:sz w:val="22"/>
        </w:rPr>
        <w:t>vitro,</w:t>
      </w:r>
      <w:r>
        <w:rPr>
          <w:spacing w:val="-9"/>
          <w:sz w:val="22"/>
        </w:rPr>
        <w:t> </w:t>
      </w:r>
      <w:r>
        <w:rPr>
          <w:sz w:val="22"/>
        </w:rPr>
        <w:t>la</w:t>
      </w:r>
      <w:r>
        <w:rPr>
          <w:spacing w:val="-7"/>
          <w:sz w:val="22"/>
        </w:rPr>
        <w:t> </w:t>
      </w:r>
      <w:r>
        <w:rPr>
          <w:sz w:val="22"/>
        </w:rPr>
        <w:t>biodisponibilidad puede estar supeditada al disolvente empleado y a la capacidad intrínseca del compuesto para la difusión.</w:t>
      </w:r>
    </w:p>
    <w:p>
      <w:pPr>
        <w:tabs>
          <w:tab w:pos="2966" w:val="left" w:leader="none"/>
        </w:tabs>
        <w:spacing w:before="0"/>
        <w:ind w:left="533" w:right="0" w:firstLine="0"/>
        <w:jc w:val="left"/>
        <w:rPr>
          <w:sz w:val="22"/>
        </w:rPr>
      </w:pPr>
      <w:r>
        <w:rPr>
          <w:b/>
          <w:sz w:val="22"/>
        </w:rPr>
        <w:t>CHROMagar</w:t>
      </w:r>
      <w:r>
        <w:rPr>
          <w:b/>
          <w:spacing w:val="-7"/>
          <w:sz w:val="22"/>
        </w:rPr>
        <w:t> </w:t>
      </w:r>
      <w:r>
        <w:rPr>
          <w:b/>
          <w:spacing w:val="-4"/>
          <w:sz w:val="22"/>
        </w:rPr>
        <w:t>MRSA</w:t>
      </w:r>
      <w:r>
        <w:rPr>
          <w:b/>
          <w:sz w:val="22"/>
        </w:rPr>
        <w:tab/>
      </w:r>
      <w:r>
        <w:rPr>
          <w:sz w:val="22"/>
        </w:rPr>
        <w:t>Un</w:t>
      </w:r>
      <w:r>
        <w:rPr>
          <w:spacing w:val="-3"/>
          <w:sz w:val="22"/>
        </w:rPr>
        <w:t> </w:t>
      </w:r>
      <w:r>
        <w:rPr>
          <w:sz w:val="22"/>
        </w:rPr>
        <w:t>medio</w:t>
      </w:r>
      <w:r>
        <w:rPr>
          <w:spacing w:val="-3"/>
          <w:sz w:val="22"/>
        </w:rPr>
        <w:t> </w:t>
      </w:r>
      <w:r>
        <w:rPr>
          <w:sz w:val="22"/>
        </w:rPr>
        <w:t>de</w:t>
      </w:r>
      <w:r>
        <w:rPr>
          <w:spacing w:val="-5"/>
          <w:sz w:val="22"/>
        </w:rPr>
        <w:t> </w:t>
      </w:r>
      <w:r>
        <w:rPr>
          <w:sz w:val="22"/>
        </w:rPr>
        <w:t>cultivo</w:t>
      </w:r>
      <w:r>
        <w:rPr>
          <w:spacing w:val="-6"/>
          <w:sz w:val="22"/>
        </w:rPr>
        <w:t> </w:t>
      </w:r>
      <w:r>
        <w:rPr>
          <w:sz w:val="22"/>
        </w:rPr>
        <w:t>diferencial</w:t>
      </w:r>
      <w:r>
        <w:rPr>
          <w:spacing w:val="-5"/>
          <w:sz w:val="22"/>
        </w:rPr>
        <w:t> </w:t>
      </w:r>
      <w:r>
        <w:rPr>
          <w:sz w:val="22"/>
        </w:rPr>
        <w:t>y</w:t>
      </w:r>
      <w:r>
        <w:rPr>
          <w:spacing w:val="-3"/>
          <w:sz w:val="22"/>
        </w:rPr>
        <w:t> </w:t>
      </w:r>
      <w:r>
        <w:rPr>
          <w:sz w:val="22"/>
        </w:rPr>
        <w:t>selectivo</w:t>
      </w:r>
      <w:r>
        <w:rPr>
          <w:spacing w:val="-3"/>
          <w:sz w:val="22"/>
        </w:rPr>
        <w:t> </w:t>
      </w:r>
      <w:r>
        <w:rPr>
          <w:sz w:val="22"/>
        </w:rPr>
        <w:t>empleado</w:t>
      </w:r>
      <w:r>
        <w:rPr>
          <w:spacing w:val="-2"/>
          <w:sz w:val="22"/>
        </w:rPr>
        <w:t> </w:t>
      </w:r>
      <w:r>
        <w:rPr>
          <w:sz w:val="22"/>
        </w:rPr>
        <w:t>para</w:t>
      </w:r>
      <w:r>
        <w:rPr>
          <w:spacing w:val="-5"/>
          <w:sz w:val="22"/>
        </w:rPr>
        <w:t> la</w:t>
      </w:r>
    </w:p>
    <w:p>
      <w:pPr>
        <w:spacing w:line="357" w:lineRule="auto" w:before="128"/>
        <w:ind w:left="2966" w:right="706" w:firstLine="0"/>
        <w:jc w:val="left"/>
        <w:rPr>
          <w:sz w:val="22"/>
        </w:rPr>
      </w:pPr>
      <w:r>
        <w:rPr>
          <w:sz w:val="22"/>
        </w:rPr>
        <w:t>identificación de Staphylococcus aureus con resistencia a meticilina. Este medio posibilita la visualización y distinción del patógeno</w:t>
      </w:r>
      <w:r>
        <w:rPr>
          <w:spacing w:val="-6"/>
          <w:sz w:val="22"/>
        </w:rPr>
        <w:t> </w:t>
      </w:r>
      <w:r>
        <w:rPr>
          <w:sz w:val="22"/>
        </w:rPr>
        <w:t>por</w:t>
      </w:r>
      <w:r>
        <w:rPr>
          <w:spacing w:val="-5"/>
          <w:sz w:val="22"/>
        </w:rPr>
        <w:t> </w:t>
      </w:r>
      <w:r>
        <w:rPr>
          <w:sz w:val="22"/>
        </w:rPr>
        <w:t>medio</w:t>
      </w:r>
      <w:r>
        <w:rPr>
          <w:spacing w:val="-6"/>
          <w:sz w:val="22"/>
        </w:rPr>
        <w:t> </w:t>
      </w:r>
      <w:r>
        <w:rPr>
          <w:sz w:val="22"/>
        </w:rPr>
        <w:t>de</w:t>
      </w:r>
      <w:r>
        <w:rPr>
          <w:spacing w:val="-5"/>
          <w:sz w:val="22"/>
        </w:rPr>
        <w:t> </w:t>
      </w:r>
      <w:r>
        <w:rPr>
          <w:sz w:val="22"/>
        </w:rPr>
        <w:t>su</w:t>
      </w:r>
      <w:r>
        <w:rPr>
          <w:spacing w:val="-6"/>
          <w:sz w:val="22"/>
        </w:rPr>
        <w:t> </w:t>
      </w:r>
      <w:r>
        <w:rPr>
          <w:sz w:val="22"/>
        </w:rPr>
        <w:t>desarrollo</w:t>
      </w:r>
      <w:r>
        <w:rPr>
          <w:spacing w:val="-3"/>
          <w:sz w:val="22"/>
        </w:rPr>
        <w:t> </w:t>
      </w:r>
      <w:r>
        <w:rPr>
          <w:sz w:val="22"/>
        </w:rPr>
        <w:t>y</w:t>
      </w:r>
      <w:r>
        <w:rPr>
          <w:spacing w:val="-3"/>
          <w:sz w:val="22"/>
        </w:rPr>
        <w:t> </w:t>
      </w:r>
      <w:r>
        <w:rPr>
          <w:sz w:val="22"/>
        </w:rPr>
        <w:t>una</w:t>
      </w:r>
      <w:r>
        <w:rPr>
          <w:spacing w:val="-5"/>
          <w:sz w:val="22"/>
        </w:rPr>
        <w:t> </w:t>
      </w:r>
      <w:r>
        <w:rPr>
          <w:sz w:val="22"/>
        </w:rPr>
        <w:t>pigmentación</w:t>
      </w:r>
      <w:r>
        <w:rPr>
          <w:spacing w:val="-3"/>
          <w:sz w:val="22"/>
        </w:rPr>
        <w:t> </w:t>
      </w:r>
      <w:r>
        <w:rPr>
          <w:sz w:val="22"/>
        </w:rPr>
        <w:t>distintiva.</w:t>
      </w:r>
    </w:p>
    <w:p>
      <w:pPr>
        <w:spacing w:after="0" w:line="357" w:lineRule="auto"/>
        <w:jc w:val="left"/>
        <w:rPr>
          <w:sz w:val="22"/>
        </w:rPr>
        <w:sectPr>
          <w:type w:val="continuous"/>
          <w:pgSz w:w="11900" w:h="16840"/>
          <w:pgMar w:top="1720" w:bottom="280" w:left="1275" w:right="992"/>
        </w:sectPr>
      </w:pPr>
    </w:p>
    <w:p>
      <w:pPr>
        <w:spacing w:line="360" w:lineRule="auto" w:before="5"/>
        <w:ind w:left="533" w:right="38" w:firstLine="0"/>
        <w:jc w:val="left"/>
        <w:rPr>
          <w:b/>
          <w:sz w:val="22"/>
        </w:rPr>
      </w:pPr>
      <w:r>
        <w:rPr>
          <w:b/>
          <w:sz w:val="22"/>
        </w:rPr>
        <w:t>Difusión</w:t>
      </w:r>
      <w:r>
        <w:rPr>
          <w:b/>
          <w:spacing w:val="-14"/>
          <w:sz w:val="22"/>
        </w:rPr>
        <w:t> </w:t>
      </w:r>
      <w:r>
        <w:rPr>
          <w:b/>
          <w:sz w:val="22"/>
        </w:rPr>
        <w:t>en</w:t>
      </w:r>
      <w:r>
        <w:rPr>
          <w:b/>
          <w:spacing w:val="-14"/>
          <w:sz w:val="22"/>
        </w:rPr>
        <w:t> </w:t>
      </w:r>
      <w:r>
        <w:rPr>
          <w:b/>
          <w:sz w:val="22"/>
        </w:rPr>
        <w:t>agar </w:t>
      </w:r>
      <w:r>
        <w:rPr>
          <w:b/>
          <w:spacing w:val="-2"/>
          <w:sz w:val="22"/>
        </w:rPr>
        <w:t>(Kirby-Bauer)</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spacing w:line="360" w:lineRule="auto" w:before="0"/>
        <w:ind w:left="533" w:right="81" w:firstLine="0"/>
        <w:jc w:val="left"/>
        <w:rPr>
          <w:b/>
          <w:sz w:val="22"/>
        </w:rPr>
      </w:pPr>
      <w:r>
        <w:rPr>
          <w:b/>
          <w:sz w:val="22"/>
        </w:rPr>
        <w:t>Estrés</w:t>
      </w:r>
      <w:r>
        <w:rPr>
          <w:b/>
          <w:spacing w:val="-14"/>
          <w:sz w:val="22"/>
        </w:rPr>
        <w:t> </w:t>
      </w:r>
      <w:r>
        <w:rPr>
          <w:b/>
          <w:sz w:val="22"/>
        </w:rPr>
        <w:t>oxidativo </w:t>
      </w:r>
      <w:r>
        <w:rPr>
          <w:b/>
          <w:spacing w:val="-2"/>
          <w:sz w:val="22"/>
        </w:rPr>
        <w:t>bacteriano</w:t>
      </w:r>
    </w:p>
    <w:p>
      <w:pPr>
        <w:spacing w:line="360" w:lineRule="auto" w:before="5"/>
        <w:ind w:left="533" w:right="633" w:firstLine="0"/>
        <w:jc w:val="left"/>
        <w:rPr>
          <w:sz w:val="22"/>
        </w:rPr>
      </w:pPr>
      <w:r>
        <w:rPr/>
        <w:br w:type="column"/>
      </w:r>
      <w:r>
        <w:rPr>
          <w:sz w:val="22"/>
        </w:rPr>
        <w:t>Difusión en agar (Kirby-Bauer). Definición: Un método microbiológico estandarizado para la determinación de la susceptibilidad bacteriana ante la exposición a un agente antimicrobiano. Su fundamentación radica en la emergente formación</w:t>
      </w:r>
      <w:r>
        <w:rPr>
          <w:spacing w:val="-3"/>
          <w:sz w:val="22"/>
        </w:rPr>
        <w:t> </w:t>
      </w:r>
      <w:r>
        <w:rPr>
          <w:sz w:val="22"/>
        </w:rPr>
        <w:t>de</w:t>
      </w:r>
      <w:r>
        <w:rPr>
          <w:spacing w:val="-6"/>
          <w:sz w:val="22"/>
        </w:rPr>
        <w:t> </w:t>
      </w:r>
      <w:r>
        <w:rPr>
          <w:sz w:val="22"/>
        </w:rPr>
        <w:t>halos</w:t>
      </w:r>
      <w:r>
        <w:rPr>
          <w:spacing w:val="-6"/>
          <w:sz w:val="22"/>
        </w:rPr>
        <w:t> </w:t>
      </w:r>
      <w:r>
        <w:rPr>
          <w:sz w:val="22"/>
        </w:rPr>
        <w:t>de</w:t>
      </w:r>
      <w:r>
        <w:rPr>
          <w:spacing w:val="-6"/>
          <w:sz w:val="22"/>
        </w:rPr>
        <w:t> </w:t>
      </w:r>
      <w:r>
        <w:rPr>
          <w:sz w:val="22"/>
        </w:rPr>
        <w:t>inhibición</w:t>
      </w:r>
      <w:r>
        <w:rPr>
          <w:spacing w:val="-7"/>
          <w:sz w:val="22"/>
        </w:rPr>
        <w:t> </w:t>
      </w:r>
      <w:r>
        <w:rPr>
          <w:sz w:val="22"/>
        </w:rPr>
        <w:t>que</w:t>
      </w:r>
      <w:r>
        <w:rPr>
          <w:spacing w:val="-6"/>
          <w:sz w:val="22"/>
        </w:rPr>
        <w:t> </w:t>
      </w:r>
      <w:r>
        <w:rPr>
          <w:sz w:val="22"/>
        </w:rPr>
        <w:t>rodean</w:t>
      </w:r>
      <w:r>
        <w:rPr>
          <w:spacing w:val="-3"/>
          <w:sz w:val="22"/>
        </w:rPr>
        <w:t> </w:t>
      </w:r>
      <w:r>
        <w:rPr>
          <w:sz w:val="22"/>
        </w:rPr>
        <w:t>al</w:t>
      </w:r>
      <w:r>
        <w:rPr>
          <w:spacing w:val="-6"/>
          <w:sz w:val="22"/>
        </w:rPr>
        <w:t> </w:t>
      </w:r>
      <w:r>
        <w:rPr>
          <w:sz w:val="22"/>
        </w:rPr>
        <w:t>agente</w:t>
      </w:r>
      <w:r>
        <w:rPr>
          <w:spacing w:val="-6"/>
          <w:sz w:val="22"/>
        </w:rPr>
        <w:t> </w:t>
      </w:r>
      <w:r>
        <w:rPr>
          <w:sz w:val="22"/>
        </w:rPr>
        <w:t>administrado sobre un sustrato sólido.</w:t>
      </w:r>
    </w:p>
    <w:p>
      <w:pPr>
        <w:spacing w:line="360" w:lineRule="auto" w:before="0"/>
        <w:ind w:left="533" w:right="633" w:firstLine="0"/>
        <w:jc w:val="left"/>
        <w:rPr>
          <w:sz w:val="22"/>
        </w:rPr>
      </w:pPr>
      <w:r>
        <w:rPr>
          <w:sz w:val="22"/>
        </w:rPr>
        <w:t>Es</w:t>
      </w:r>
      <w:r>
        <w:rPr>
          <w:spacing w:val="-6"/>
          <w:sz w:val="22"/>
        </w:rPr>
        <w:t> </w:t>
      </w:r>
      <w:r>
        <w:rPr>
          <w:sz w:val="22"/>
        </w:rPr>
        <w:t>el</w:t>
      </w:r>
      <w:r>
        <w:rPr>
          <w:spacing w:val="-6"/>
          <w:sz w:val="22"/>
        </w:rPr>
        <w:t> </w:t>
      </w:r>
      <w:r>
        <w:rPr>
          <w:sz w:val="22"/>
        </w:rPr>
        <w:t>estado</w:t>
      </w:r>
      <w:r>
        <w:rPr>
          <w:spacing w:val="-3"/>
          <w:sz w:val="22"/>
        </w:rPr>
        <w:t> </w:t>
      </w:r>
      <w:r>
        <w:rPr>
          <w:sz w:val="22"/>
        </w:rPr>
        <w:t>donde</w:t>
      </w:r>
      <w:r>
        <w:rPr>
          <w:spacing w:val="-6"/>
          <w:sz w:val="22"/>
        </w:rPr>
        <w:t> </w:t>
      </w:r>
      <w:r>
        <w:rPr>
          <w:sz w:val="22"/>
        </w:rPr>
        <w:t>ocurre</w:t>
      </w:r>
      <w:r>
        <w:rPr>
          <w:spacing w:val="-6"/>
          <w:sz w:val="22"/>
        </w:rPr>
        <w:t> </w:t>
      </w:r>
      <w:r>
        <w:rPr>
          <w:sz w:val="22"/>
        </w:rPr>
        <w:t>la</w:t>
      </w:r>
      <w:r>
        <w:rPr>
          <w:spacing w:val="-6"/>
          <w:sz w:val="22"/>
        </w:rPr>
        <w:t> </w:t>
      </w:r>
      <w:r>
        <w:rPr>
          <w:sz w:val="22"/>
        </w:rPr>
        <w:t>acumulación</w:t>
      </w:r>
      <w:r>
        <w:rPr>
          <w:spacing w:val="-3"/>
          <w:sz w:val="22"/>
        </w:rPr>
        <w:t> </w:t>
      </w:r>
      <w:r>
        <w:rPr>
          <w:sz w:val="22"/>
        </w:rPr>
        <w:t>de</w:t>
      </w:r>
      <w:r>
        <w:rPr>
          <w:spacing w:val="-6"/>
          <w:sz w:val="22"/>
        </w:rPr>
        <w:t> </w:t>
      </w:r>
      <w:r>
        <w:rPr>
          <w:sz w:val="22"/>
        </w:rPr>
        <w:t>especies</w:t>
      </w:r>
      <w:r>
        <w:rPr>
          <w:spacing w:val="-6"/>
          <w:sz w:val="22"/>
        </w:rPr>
        <w:t> </w:t>
      </w:r>
      <w:r>
        <w:rPr>
          <w:sz w:val="22"/>
        </w:rPr>
        <w:t>reactivas</w:t>
      </w:r>
      <w:r>
        <w:rPr>
          <w:spacing w:val="-6"/>
          <w:sz w:val="22"/>
        </w:rPr>
        <w:t> </w:t>
      </w:r>
      <w:r>
        <w:rPr>
          <w:sz w:val="22"/>
        </w:rPr>
        <w:t>de oxígeno en el interior de la célula bacteriana. El cual puede ocasionar daños a proteínas, lípidos y ADN, perjudicando severamente la viabilidad bacteriana.</w:t>
      </w:r>
    </w:p>
    <w:p>
      <w:pPr>
        <w:spacing w:after="0" w:line="360" w:lineRule="auto"/>
        <w:jc w:val="left"/>
        <w:rPr>
          <w:sz w:val="22"/>
        </w:rPr>
        <w:sectPr>
          <w:type w:val="continuous"/>
          <w:pgSz w:w="11900" w:h="16840"/>
          <w:pgMar w:top="1720" w:bottom="280" w:left="1275" w:right="992"/>
          <w:cols w:num="2" w:equalWidth="0">
            <w:col w:w="2130" w:space="303"/>
            <w:col w:w="7200"/>
          </w:cols>
        </w:sectPr>
      </w:pPr>
    </w:p>
    <w:p>
      <w:pPr>
        <w:tabs>
          <w:tab w:pos="2966" w:val="left" w:leader="none"/>
        </w:tabs>
        <w:spacing w:before="3"/>
        <w:ind w:left="533" w:right="0" w:firstLine="0"/>
        <w:jc w:val="left"/>
        <w:rPr>
          <w:sz w:val="22"/>
        </w:rPr>
      </w:pPr>
      <w:r>
        <w:rPr>
          <w:b/>
          <w:spacing w:val="-2"/>
          <w:sz w:val="22"/>
        </w:rPr>
        <w:t>Fluoroquinolonas</w:t>
      </w:r>
      <w:r>
        <w:rPr>
          <w:b/>
          <w:sz w:val="22"/>
        </w:rPr>
        <w:tab/>
      </w:r>
      <w:r>
        <w:rPr>
          <w:sz w:val="22"/>
        </w:rPr>
        <w:t>Son</w:t>
      </w:r>
      <w:r>
        <w:rPr>
          <w:spacing w:val="-9"/>
          <w:sz w:val="22"/>
        </w:rPr>
        <w:t> </w:t>
      </w:r>
      <w:r>
        <w:rPr>
          <w:sz w:val="22"/>
        </w:rPr>
        <w:t>un</w:t>
      </w:r>
      <w:r>
        <w:rPr>
          <w:spacing w:val="-3"/>
          <w:sz w:val="22"/>
        </w:rPr>
        <w:t> </w:t>
      </w:r>
      <w:r>
        <w:rPr>
          <w:sz w:val="22"/>
        </w:rPr>
        <w:t>conjunto</w:t>
      </w:r>
      <w:r>
        <w:rPr>
          <w:spacing w:val="-7"/>
          <w:sz w:val="22"/>
        </w:rPr>
        <w:t> </w:t>
      </w:r>
      <w:r>
        <w:rPr>
          <w:sz w:val="22"/>
        </w:rPr>
        <w:t>de</w:t>
      </w:r>
      <w:r>
        <w:rPr>
          <w:spacing w:val="-6"/>
          <w:sz w:val="22"/>
        </w:rPr>
        <w:t> </w:t>
      </w:r>
      <w:r>
        <w:rPr>
          <w:sz w:val="22"/>
        </w:rPr>
        <w:t>antibióticos</w:t>
      </w:r>
      <w:r>
        <w:rPr>
          <w:spacing w:val="-5"/>
          <w:sz w:val="22"/>
        </w:rPr>
        <w:t> </w:t>
      </w:r>
      <w:r>
        <w:rPr>
          <w:sz w:val="22"/>
        </w:rPr>
        <w:t>bactericidas.</w:t>
      </w:r>
      <w:r>
        <w:rPr>
          <w:spacing w:val="-4"/>
          <w:sz w:val="22"/>
        </w:rPr>
        <w:t> </w:t>
      </w:r>
      <w:r>
        <w:rPr>
          <w:sz w:val="22"/>
        </w:rPr>
        <w:t>Bloquean</w:t>
      </w:r>
      <w:r>
        <w:rPr>
          <w:spacing w:val="-3"/>
          <w:sz w:val="22"/>
        </w:rPr>
        <w:t> </w:t>
      </w:r>
      <w:r>
        <w:rPr>
          <w:spacing w:val="-2"/>
          <w:sz w:val="22"/>
        </w:rPr>
        <w:t>enzimas</w:t>
      </w:r>
    </w:p>
    <w:p>
      <w:pPr>
        <w:spacing w:line="360" w:lineRule="auto" w:before="127"/>
        <w:ind w:left="2966" w:right="603" w:firstLine="0"/>
        <w:jc w:val="left"/>
        <w:rPr>
          <w:sz w:val="22"/>
        </w:rPr>
      </w:pPr>
      <w:r>
        <w:rPr>
          <w:sz w:val="22"/>
        </w:rPr>
        <w:t>esenciales</w:t>
      </w:r>
      <w:r>
        <w:rPr>
          <w:spacing w:val="-5"/>
          <w:sz w:val="22"/>
        </w:rPr>
        <w:t> </w:t>
      </w:r>
      <w:r>
        <w:rPr>
          <w:sz w:val="22"/>
        </w:rPr>
        <w:t>para</w:t>
      </w:r>
      <w:r>
        <w:rPr>
          <w:spacing w:val="-5"/>
          <w:sz w:val="22"/>
        </w:rPr>
        <w:t> </w:t>
      </w:r>
      <w:r>
        <w:rPr>
          <w:sz w:val="22"/>
        </w:rPr>
        <w:t>la</w:t>
      </w:r>
      <w:r>
        <w:rPr>
          <w:spacing w:val="-5"/>
          <w:sz w:val="22"/>
        </w:rPr>
        <w:t> </w:t>
      </w:r>
      <w:r>
        <w:rPr>
          <w:sz w:val="22"/>
        </w:rPr>
        <w:t>replicación</w:t>
      </w:r>
      <w:r>
        <w:rPr>
          <w:spacing w:val="-3"/>
          <w:sz w:val="22"/>
        </w:rPr>
        <w:t> </w:t>
      </w:r>
      <w:r>
        <w:rPr>
          <w:sz w:val="22"/>
        </w:rPr>
        <w:t>del</w:t>
      </w:r>
      <w:r>
        <w:rPr>
          <w:spacing w:val="-5"/>
          <w:sz w:val="22"/>
        </w:rPr>
        <w:t> </w:t>
      </w:r>
      <w:r>
        <w:rPr>
          <w:sz w:val="22"/>
        </w:rPr>
        <w:t>ADN</w:t>
      </w:r>
      <w:r>
        <w:rPr>
          <w:spacing w:val="-7"/>
          <w:sz w:val="22"/>
        </w:rPr>
        <w:t> </w:t>
      </w:r>
      <w:r>
        <w:rPr>
          <w:sz w:val="22"/>
        </w:rPr>
        <w:t>bacteriano,</w:t>
      </w:r>
      <w:r>
        <w:rPr>
          <w:spacing w:val="-7"/>
          <w:sz w:val="22"/>
        </w:rPr>
        <w:t> </w:t>
      </w:r>
      <w:r>
        <w:rPr>
          <w:sz w:val="22"/>
        </w:rPr>
        <w:t>por</w:t>
      </w:r>
      <w:r>
        <w:rPr>
          <w:spacing w:val="-5"/>
          <w:sz w:val="22"/>
        </w:rPr>
        <w:t> </w:t>
      </w:r>
      <w:r>
        <w:rPr>
          <w:sz w:val="22"/>
        </w:rPr>
        <w:t>ejemplo</w:t>
      </w:r>
      <w:r>
        <w:rPr>
          <w:spacing w:val="-3"/>
          <w:sz w:val="22"/>
        </w:rPr>
        <w:t> </w:t>
      </w:r>
      <w:r>
        <w:rPr>
          <w:sz w:val="22"/>
        </w:rPr>
        <w:t>la ADN girasa y la topoisomerasa IV.</w:t>
      </w:r>
    </w:p>
    <w:p>
      <w:pPr>
        <w:tabs>
          <w:tab w:pos="3022" w:val="left" w:leader="none"/>
        </w:tabs>
        <w:spacing w:line="250" w:lineRule="exact" w:before="0"/>
        <w:ind w:left="533" w:right="0" w:firstLine="0"/>
        <w:jc w:val="left"/>
        <w:rPr>
          <w:sz w:val="22"/>
        </w:rPr>
      </w:pPr>
      <w:r>
        <w:rPr>
          <w:b/>
          <w:sz w:val="22"/>
        </w:rPr>
        <w:t>Gram </w:t>
      </w:r>
      <w:r>
        <w:rPr>
          <w:b/>
          <w:spacing w:val="-2"/>
          <w:sz w:val="22"/>
        </w:rPr>
        <w:t>positivo</w:t>
      </w:r>
      <w:r>
        <w:rPr>
          <w:b/>
          <w:sz w:val="22"/>
        </w:rPr>
        <w:tab/>
      </w:r>
      <w:r>
        <w:rPr>
          <w:sz w:val="22"/>
        </w:rPr>
        <w:t>Identifica</w:t>
      </w:r>
      <w:r>
        <w:rPr>
          <w:spacing w:val="-5"/>
          <w:sz w:val="22"/>
        </w:rPr>
        <w:t> </w:t>
      </w:r>
      <w:r>
        <w:rPr>
          <w:sz w:val="22"/>
        </w:rPr>
        <w:t>un</w:t>
      </w:r>
      <w:r>
        <w:rPr>
          <w:spacing w:val="-2"/>
          <w:sz w:val="22"/>
        </w:rPr>
        <w:t> </w:t>
      </w:r>
      <w:r>
        <w:rPr>
          <w:sz w:val="22"/>
        </w:rPr>
        <w:t>tipo</w:t>
      </w:r>
      <w:r>
        <w:rPr>
          <w:spacing w:val="-1"/>
          <w:sz w:val="22"/>
        </w:rPr>
        <w:t> </w:t>
      </w:r>
      <w:r>
        <w:rPr>
          <w:sz w:val="22"/>
        </w:rPr>
        <w:t>de</w:t>
      </w:r>
      <w:r>
        <w:rPr>
          <w:spacing w:val="-9"/>
          <w:sz w:val="22"/>
        </w:rPr>
        <w:t> </w:t>
      </w:r>
      <w:r>
        <w:rPr>
          <w:sz w:val="22"/>
        </w:rPr>
        <w:t>bacteria</w:t>
      </w:r>
      <w:r>
        <w:rPr>
          <w:spacing w:val="-4"/>
          <w:sz w:val="22"/>
        </w:rPr>
        <w:t> </w:t>
      </w:r>
      <w:r>
        <w:rPr>
          <w:sz w:val="22"/>
        </w:rPr>
        <w:t>caracterizada</w:t>
      </w:r>
      <w:r>
        <w:rPr>
          <w:spacing w:val="-5"/>
          <w:sz w:val="22"/>
        </w:rPr>
        <w:t> </w:t>
      </w:r>
      <w:r>
        <w:rPr>
          <w:sz w:val="22"/>
        </w:rPr>
        <w:t>por</w:t>
      </w:r>
      <w:r>
        <w:rPr>
          <w:spacing w:val="-4"/>
          <w:sz w:val="22"/>
        </w:rPr>
        <w:t> </w:t>
      </w:r>
      <w:r>
        <w:rPr>
          <w:sz w:val="22"/>
        </w:rPr>
        <w:t>su</w:t>
      </w:r>
      <w:r>
        <w:rPr>
          <w:spacing w:val="-2"/>
          <w:sz w:val="22"/>
        </w:rPr>
        <w:t> </w:t>
      </w:r>
      <w:r>
        <w:rPr>
          <w:sz w:val="22"/>
        </w:rPr>
        <w:t>gruesa</w:t>
      </w:r>
      <w:r>
        <w:rPr>
          <w:spacing w:val="-4"/>
          <w:sz w:val="22"/>
        </w:rPr>
        <w:t> </w:t>
      </w:r>
      <w:r>
        <w:rPr>
          <w:spacing w:val="-2"/>
          <w:sz w:val="22"/>
        </w:rPr>
        <w:t>pared</w:t>
      </w:r>
    </w:p>
    <w:p>
      <w:pPr>
        <w:spacing w:after="0" w:line="250" w:lineRule="exact"/>
        <w:jc w:val="left"/>
        <w:rPr>
          <w:sz w:val="22"/>
        </w:rPr>
        <w:sectPr>
          <w:type w:val="continuous"/>
          <w:pgSz w:w="11900" w:h="16840"/>
          <w:pgMar w:top="1720" w:bottom="280" w:left="1275" w:right="992"/>
        </w:sectPr>
      </w:pPr>
    </w:p>
    <w:p>
      <w:pPr>
        <w:spacing w:line="360" w:lineRule="auto" w:before="79"/>
        <w:ind w:left="2966" w:right="965" w:firstLine="0"/>
        <w:jc w:val="both"/>
        <w:rPr>
          <w:sz w:val="22"/>
        </w:rPr>
      </w:pPr>
      <w:r>
        <w:rPr>
          <w:sz w:val="22"/>
        </w:rPr>
        <w:t>celular</w:t>
      </w:r>
      <w:r>
        <w:rPr>
          <w:spacing w:val="-7"/>
          <w:sz w:val="22"/>
        </w:rPr>
        <w:t> </w:t>
      </w:r>
      <w:r>
        <w:rPr>
          <w:sz w:val="22"/>
        </w:rPr>
        <w:t>de</w:t>
      </w:r>
      <w:r>
        <w:rPr>
          <w:spacing w:val="-7"/>
          <w:sz w:val="22"/>
        </w:rPr>
        <w:t> </w:t>
      </w:r>
      <w:r>
        <w:rPr>
          <w:sz w:val="22"/>
        </w:rPr>
        <w:t>peptidoglicano.</w:t>
      </w:r>
      <w:r>
        <w:rPr>
          <w:spacing w:val="-5"/>
          <w:sz w:val="22"/>
        </w:rPr>
        <w:t> </w:t>
      </w:r>
      <w:r>
        <w:rPr>
          <w:sz w:val="22"/>
        </w:rPr>
        <w:t>Dicha</w:t>
      </w:r>
      <w:r>
        <w:rPr>
          <w:spacing w:val="-7"/>
          <w:sz w:val="22"/>
        </w:rPr>
        <w:t> </w:t>
      </w:r>
      <w:r>
        <w:rPr>
          <w:sz w:val="22"/>
        </w:rPr>
        <w:t>particularidad</w:t>
      </w:r>
      <w:r>
        <w:rPr>
          <w:spacing w:val="-5"/>
          <w:sz w:val="22"/>
        </w:rPr>
        <w:t> </w:t>
      </w:r>
      <w:r>
        <w:rPr>
          <w:sz w:val="22"/>
        </w:rPr>
        <w:t>le</w:t>
      </w:r>
      <w:r>
        <w:rPr>
          <w:spacing w:val="-7"/>
          <w:sz w:val="22"/>
        </w:rPr>
        <w:t> </w:t>
      </w:r>
      <w:r>
        <w:rPr>
          <w:sz w:val="22"/>
        </w:rPr>
        <w:t>permite</w:t>
      </w:r>
      <w:r>
        <w:rPr>
          <w:spacing w:val="-7"/>
          <w:sz w:val="22"/>
        </w:rPr>
        <w:t> </w:t>
      </w:r>
      <w:r>
        <w:rPr>
          <w:sz w:val="22"/>
        </w:rPr>
        <w:t>fijar</w:t>
      </w:r>
      <w:r>
        <w:rPr>
          <w:spacing w:val="-7"/>
          <w:sz w:val="22"/>
        </w:rPr>
        <w:t> </w:t>
      </w:r>
      <w:r>
        <w:rPr>
          <w:sz w:val="22"/>
        </w:rPr>
        <w:t>el colorante cristal violeta durante la tinción de Gram.</w:t>
      </w:r>
    </w:p>
    <w:p>
      <w:pPr>
        <w:tabs>
          <w:tab w:pos="2966" w:val="left" w:leader="none"/>
        </w:tabs>
        <w:spacing w:before="1"/>
        <w:ind w:left="533" w:right="0" w:firstLine="0"/>
        <w:jc w:val="both"/>
        <w:rPr>
          <w:sz w:val="22"/>
        </w:rPr>
      </w:pPr>
      <w:r>
        <w:rPr>
          <w:b/>
          <w:sz w:val="22"/>
        </w:rPr>
        <w:t>Halos</w:t>
      </w:r>
      <w:r>
        <w:rPr>
          <w:b/>
          <w:spacing w:val="-1"/>
          <w:sz w:val="22"/>
        </w:rPr>
        <w:t> </w:t>
      </w:r>
      <w:r>
        <w:rPr>
          <w:b/>
          <w:sz w:val="22"/>
        </w:rPr>
        <w:t>de </w:t>
      </w:r>
      <w:r>
        <w:rPr>
          <w:b/>
          <w:spacing w:val="-2"/>
          <w:sz w:val="22"/>
        </w:rPr>
        <w:t>inhibición</w:t>
      </w:r>
      <w:r>
        <w:rPr>
          <w:b/>
          <w:sz w:val="22"/>
        </w:rPr>
        <w:tab/>
      </w:r>
      <w:r>
        <w:rPr>
          <w:sz w:val="22"/>
        </w:rPr>
        <w:t>Consiste</w:t>
      </w:r>
      <w:r>
        <w:rPr>
          <w:spacing w:val="-7"/>
          <w:sz w:val="22"/>
        </w:rPr>
        <w:t> </w:t>
      </w:r>
      <w:r>
        <w:rPr>
          <w:sz w:val="22"/>
        </w:rPr>
        <w:t>en</w:t>
      </w:r>
      <w:r>
        <w:rPr>
          <w:spacing w:val="-1"/>
          <w:sz w:val="22"/>
        </w:rPr>
        <w:t> </w:t>
      </w:r>
      <w:r>
        <w:rPr>
          <w:sz w:val="22"/>
        </w:rPr>
        <w:t>una</w:t>
      </w:r>
      <w:r>
        <w:rPr>
          <w:spacing w:val="-4"/>
          <w:sz w:val="22"/>
        </w:rPr>
        <w:t> </w:t>
      </w:r>
      <w:r>
        <w:rPr>
          <w:sz w:val="22"/>
        </w:rPr>
        <w:t>zona</w:t>
      </w:r>
      <w:r>
        <w:rPr>
          <w:spacing w:val="-4"/>
          <w:sz w:val="22"/>
        </w:rPr>
        <w:t> </w:t>
      </w:r>
      <w:r>
        <w:rPr>
          <w:sz w:val="22"/>
        </w:rPr>
        <w:t>circular</w:t>
      </w:r>
      <w:r>
        <w:rPr>
          <w:spacing w:val="-4"/>
          <w:sz w:val="22"/>
        </w:rPr>
        <w:t> </w:t>
      </w:r>
      <w:r>
        <w:rPr>
          <w:sz w:val="22"/>
        </w:rPr>
        <w:t>desprovista</w:t>
      </w:r>
      <w:r>
        <w:rPr>
          <w:spacing w:val="-4"/>
          <w:sz w:val="22"/>
        </w:rPr>
        <w:t> </w:t>
      </w:r>
      <w:r>
        <w:rPr>
          <w:sz w:val="22"/>
        </w:rPr>
        <w:t>de</w:t>
      </w:r>
      <w:r>
        <w:rPr>
          <w:spacing w:val="-4"/>
          <w:sz w:val="22"/>
        </w:rPr>
        <w:t> </w:t>
      </w:r>
      <w:r>
        <w:rPr>
          <w:spacing w:val="-2"/>
          <w:sz w:val="22"/>
        </w:rPr>
        <w:t>crecimiento</w:t>
      </w:r>
    </w:p>
    <w:p>
      <w:pPr>
        <w:spacing w:line="360" w:lineRule="auto" w:before="127"/>
        <w:ind w:left="2966" w:right="769" w:firstLine="0"/>
        <w:jc w:val="both"/>
        <w:rPr>
          <w:sz w:val="22"/>
        </w:rPr>
      </w:pPr>
      <w:r>
        <w:rPr>
          <w:sz w:val="22"/>
        </w:rPr>
        <w:t>bacteriano.</w:t>
      </w:r>
      <w:r>
        <w:rPr>
          <w:spacing w:val="-4"/>
          <w:sz w:val="22"/>
        </w:rPr>
        <w:t> </w:t>
      </w:r>
      <w:r>
        <w:rPr>
          <w:sz w:val="22"/>
        </w:rPr>
        <w:t>Aparece</w:t>
      </w:r>
      <w:r>
        <w:rPr>
          <w:spacing w:val="-5"/>
          <w:sz w:val="22"/>
        </w:rPr>
        <w:t> </w:t>
      </w:r>
      <w:r>
        <w:rPr>
          <w:sz w:val="22"/>
        </w:rPr>
        <w:t>alrededor</w:t>
      </w:r>
      <w:r>
        <w:rPr>
          <w:spacing w:val="-5"/>
          <w:sz w:val="22"/>
        </w:rPr>
        <w:t> </w:t>
      </w:r>
      <w:r>
        <w:rPr>
          <w:sz w:val="22"/>
        </w:rPr>
        <w:t>de</w:t>
      </w:r>
      <w:r>
        <w:rPr>
          <w:spacing w:val="-5"/>
          <w:sz w:val="22"/>
        </w:rPr>
        <w:t> </w:t>
      </w:r>
      <w:r>
        <w:rPr>
          <w:sz w:val="22"/>
        </w:rPr>
        <w:t>un</w:t>
      </w:r>
      <w:r>
        <w:rPr>
          <w:spacing w:val="-6"/>
          <w:sz w:val="22"/>
        </w:rPr>
        <w:t> </w:t>
      </w:r>
      <w:r>
        <w:rPr>
          <w:sz w:val="22"/>
        </w:rPr>
        <w:t>agente</w:t>
      </w:r>
      <w:r>
        <w:rPr>
          <w:spacing w:val="-5"/>
          <w:sz w:val="22"/>
        </w:rPr>
        <w:t> </w:t>
      </w:r>
      <w:r>
        <w:rPr>
          <w:sz w:val="22"/>
        </w:rPr>
        <w:t>antimicrobiano</w:t>
      </w:r>
      <w:r>
        <w:rPr>
          <w:spacing w:val="-3"/>
          <w:sz w:val="22"/>
        </w:rPr>
        <w:t> </w:t>
      </w:r>
      <w:r>
        <w:rPr>
          <w:sz w:val="22"/>
        </w:rPr>
        <w:t>cuando se</w:t>
      </w:r>
      <w:r>
        <w:rPr>
          <w:spacing w:val="-4"/>
          <w:sz w:val="22"/>
        </w:rPr>
        <w:t> </w:t>
      </w:r>
      <w:r>
        <w:rPr>
          <w:sz w:val="22"/>
        </w:rPr>
        <w:t>halla</w:t>
      </w:r>
      <w:r>
        <w:rPr>
          <w:spacing w:val="-1"/>
          <w:sz w:val="22"/>
        </w:rPr>
        <w:t> </w:t>
      </w:r>
      <w:r>
        <w:rPr>
          <w:sz w:val="22"/>
        </w:rPr>
        <w:t>en</w:t>
      </w:r>
      <w:r>
        <w:rPr>
          <w:spacing w:val="-2"/>
          <w:sz w:val="22"/>
        </w:rPr>
        <w:t> </w:t>
      </w:r>
      <w:r>
        <w:rPr>
          <w:sz w:val="22"/>
        </w:rPr>
        <w:t>un</w:t>
      </w:r>
      <w:r>
        <w:rPr>
          <w:spacing w:val="-5"/>
          <w:sz w:val="22"/>
        </w:rPr>
        <w:t> </w:t>
      </w:r>
      <w:r>
        <w:rPr>
          <w:sz w:val="22"/>
        </w:rPr>
        <w:t>medio</w:t>
      </w:r>
      <w:r>
        <w:rPr>
          <w:spacing w:val="-5"/>
          <w:sz w:val="22"/>
        </w:rPr>
        <w:t> </w:t>
      </w:r>
      <w:r>
        <w:rPr>
          <w:sz w:val="22"/>
        </w:rPr>
        <w:t>de</w:t>
      </w:r>
      <w:r>
        <w:rPr>
          <w:spacing w:val="-4"/>
          <w:sz w:val="22"/>
        </w:rPr>
        <w:t> </w:t>
      </w:r>
      <w:r>
        <w:rPr>
          <w:sz w:val="22"/>
        </w:rPr>
        <w:t>cultivo</w:t>
      </w:r>
      <w:r>
        <w:rPr>
          <w:spacing w:val="-2"/>
          <w:sz w:val="22"/>
        </w:rPr>
        <w:t> </w:t>
      </w:r>
      <w:r>
        <w:rPr>
          <w:sz w:val="22"/>
        </w:rPr>
        <w:t>sólido.</w:t>
      </w:r>
      <w:r>
        <w:rPr>
          <w:spacing w:val="-2"/>
          <w:sz w:val="22"/>
        </w:rPr>
        <w:t> </w:t>
      </w:r>
      <w:r>
        <w:rPr>
          <w:sz w:val="22"/>
        </w:rPr>
        <w:t>La</w:t>
      </w:r>
      <w:r>
        <w:rPr>
          <w:spacing w:val="-4"/>
          <w:sz w:val="22"/>
        </w:rPr>
        <w:t> </w:t>
      </w:r>
      <w:r>
        <w:rPr>
          <w:sz w:val="22"/>
        </w:rPr>
        <w:t>magnitud</w:t>
      </w:r>
      <w:r>
        <w:rPr>
          <w:spacing w:val="-5"/>
          <w:sz w:val="22"/>
        </w:rPr>
        <w:t> </w:t>
      </w:r>
      <w:r>
        <w:rPr>
          <w:sz w:val="22"/>
        </w:rPr>
        <w:t>de</w:t>
      </w:r>
      <w:r>
        <w:rPr>
          <w:spacing w:val="-4"/>
          <w:sz w:val="22"/>
        </w:rPr>
        <w:t> </w:t>
      </w:r>
      <w:r>
        <w:rPr>
          <w:sz w:val="22"/>
        </w:rPr>
        <w:t>estos</w:t>
      </w:r>
      <w:r>
        <w:rPr>
          <w:spacing w:val="-4"/>
          <w:sz w:val="22"/>
        </w:rPr>
        <w:t> </w:t>
      </w:r>
      <w:r>
        <w:rPr>
          <w:sz w:val="22"/>
        </w:rPr>
        <w:t>ayuda a evaluar la sensibilidad bacteriana.</w:t>
      </w:r>
    </w:p>
    <w:p>
      <w:pPr>
        <w:tabs>
          <w:tab w:pos="2966" w:val="left" w:leader="none"/>
        </w:tabs>
        <w:spacing w:line="360" w:lineRule="auto" w:before="0"/>
        <w:ind w:left="2966" w:right="993" w:hanging="2434"/>
        <w:jc w:val="left"/>
        <w:rPr>
          <w:sz w:val="22"/>
        </w:rPr>
      </w:pPr>
      <w:r>
        <w:rPr>
          <w:b/>
          <w:spacing w:val="-4"/>
          <w:sz w:val="22"/>
        </w:rPr>
        <w:t>mecA</w:t>
      </w:r>
      <w:r>
        <w:rPr>
          <w:b/>
          <w:sz w:val="22"/>
        </w:rPr>
        <w:tab/>
      </w:r>
      <w:r>
        <w:rPr>
          <w:sz w:val="22"/>
        </w:rPr>
        <w:t>Este es un gen vinculado a la resistencia de MRSA contra antibióticos</w:t>
      </w:r>
      <w:r>
        <w:rPr>
          <w:spacing w:val="-6"/>
          <w:sz w:val="22"/>
        </w:rPr>
        <w:t> </w:t>
      </w:r>
      <w:r>
        <w:rPr>
          <w:sz w:val="22"/>
        </w:rPr>
        <w:t>betalactámicos.</w:t>
      </w:r>
      <w:r>
        <w:rPr>
          <w:spacing w:val="-5"/>
          <w:sz w:val="22"/>
        </w:rPr>
        <w:t> </w:t>
      </w:r>
      <w:r>
        <w:rPr>
          <w:sz w:val="22"/>
        </w:rPr>
        <w:t>Codifica</w:t>
      </w:r>
      <w:r>
        <w:rPr>
          <w:spacing w:val="-6"/>
          <w:sz w:val="22"/>
        </w:rPr>
        <w:t> </w:t>
      </w:r>
      <w:r>
        <w:rPr>
          <w:sz w:val="22"/>
        </w:rPr>
        <w:t>para</w:t>
      </w:r>
      <w:r>
        <w:rPr>
          <w:spacing w:val="-6"/>
          <w:sz w:val="22"/>
        </w:rPr>
        <w:t> </w:t>
      </w:r>
      <w:r>
        <w:rPr>
          <w:sz w:val="22"/>
        </w:rPr>
        <w:t>la</w:t>
      </w:r>
      <w:r>
        <w:rPr>
          <w:spacing w:val="-6"/>
          <w:sz w:val="22"/>
        </w:rPr>
        <w:t> </w:t>
      </w:r>
      <w:r>
        <w:rPr>
          <w:sz w:val="22"/>
        </w:rPr>
        <w:t>proteína</w:t>
      </w:r>
      <w:r>
        <w:rPr>
          <w:spacing w:val="-6"/>
          <w:sz w:val="22"/>
        </w:rPr>
        <w:t> </w:t>
      </w:r>
      <w:r>
        <w:rPr>
          <w:sz w:val="22"/>
        </w:rPr>
        <w:t>PBP2a.</w:t>
      </w:r>
      <w:r>
        <w:rPr>
          <w:spacing w:val="-8"/>
          <w:sz w:val="22"/>
        </w:rPr>
        <w:t> </w:t>
      </w:r>
      <w:r>
        <w:rPr>
          <w:sz w:val="22"/>
        </w:rPr>
        <w:t>La cual atenúa la afinidad del antibiótico por la pared celular </w:t>
      </w:r>
      <w:r>
        <w:rPr>
          <w:spacing w:val="-2"/>
          <w:sz w:val="22"/>
        </w:rPr>
        <w:t>bacteriana.</w:t>
      </w:r>
    </w:p>
    <w:p>
      <w:pPr>
        <w:spacing w:after="0" w:line="360" w:lineRule="auto"/>
        <w:jc w:val="left"/>
        <w:rPr>
          <w:sz w:val="22"/>
        </w:rPr>
        <w:sectPr>
          <w:pgSz w:w="11900" w:h="16840"/>
          <w:pgMar w:top="1560" w:bottom="280" w:left="1275" w:right="992"/>
        </w:sectPr>
      </w:pPr>
    </w:p>
    <w:p>
      <w:pPr>
        <w:spacing w:line="360" w:lineRule="auto" w:before="1"/>
        <w:ind w:left="533" w:right="240" w:firstLine="0"/>
        <w:jc w:val="left"/>
        <w:rPr>
          <w:b/>
          <w:sz w:val="22"/>
        </w:rPr>
      </w:pPr>
      <w:r>
        <w:rPr>
          <w:b/>
          <w:sz w:val="22"/>
        </w:rPr>
        <w:t>CIM</w:t>
      </w:r>
      <w:r>
        <w:rPr>
          <w:b/>
          <w:spacing w:val="-14"/>
          <w:sz w:val="22"/>
        </w:rPr>
        <w:t> </w:t>
      </w:r>
      <w:r>
        <w:rPr>
          <w:b/>
          <w:sz w:val="22"/>
        </w:rPr>
        <w:t>(Concentración Mínima Inhibitoria)</w:t>
      </w:r>
    </w:p>
    <w:p>
      <w:pPr>
        <w:pStyle w:val="BodyText"/>
        <w:spacing w:before="123"/>
        <w:rPr>
          <w:b/>
          <w:sz w:val="22"/>
        </w:rPr>
      </w:pPr>
    </w:p>
    <w:p>
      <w:pPr>
        <w:spacing w:line="360" w:lineRule="auto" w:before="1"/>
        <w:ind w:left="533" w:right="680" w:firstLine="0"/>
        <w:jc w:val="left"/>
        <w:rPr>
          <w:b/>
          <w:sz w:val="22"/>
        </w:rPr>
      </w:pPr>
      <w:r>
        <w:rPr>
          <w:b/>
          <w:sz w:val="22"/>
        </w:rPr>
        <w:t>MIC</w:t>
      </w:r>
      <w:r>
        <w:rPr>
          <w:b/>
          <w:spacing w:val="-14"/>
          <w:sz w:val="22"/>
        </w:rPr>
        <w:t> </w:t>
      </w:r>
      <w:r>
        <w:rPr>
          <w:b/>
          <w:sz w:val="22"/>
        </w:rPr>
        <w:t>(Minimum </w:t>
      </w:r>
      <w:r>
        <w:rPr>
          <w:b/>
          <w:spacing w:val="-2"/>
          <w:sz w:val="22"/>
        </w:rPr>
        <w:t>Inhibitory Concentration)</w:t>
      </w:r>
    </w:p>
    <w:p>
      <w:pPr>
        <w:pStyle w:val="BodyText"/>
        <w:spacing w:before="129"/>
        <w:rPr>
          <w:b/>
          <w:sz w:val="22"/>
        </w:rPr>
      </w:pPr>
    </w:p>
    <w:p>
      <w:pPr>
        <w:spacing w:before="0"/>
        <w:ind w:left="533" w:right="0" w:firstLine="0"/>
        <w:jc w:val="left"/>
        <w:rPr>
          <w:b/>
          <w:sz w:val="22"/>
        </w:rPr>
      </w:pPr>
      <w:r>
        <w:rPr>
          <w:b/>
          <w:spacing w:val="-4"/>
          <w:sz w:val="22"/>
        </w:rPr>
        <w:t>MRSA</w:t>
      </w:r>
    </w:p>
    <w:p>
      <w:pPr>
        <w:spacing w:line="360" w:lineRule="auto" w:before="127"/>
        <w:ind w:left="533" w:right="-5" w:firstLine="0"/>
        <w:jc w:val="left"/>
        <w:rPr>
          <w:b/>
          <w:sz w:val="22"/>
        </w:rPr>
      </w:pPr>
      <w:r>
        <w:rPr>
          <w:b/>
          <w:sz w:val="22"/>
        </w:rPr>
        <w:t>(Staphylococcus</w:t>
      </w:r>
      <w:r>
        <w:rPr>
          <w:b/>
          <w:spacing w:val="-14"/>
          <w:sz w:val="22"/>
        </w:rPr>
        <w:t> </w:t>
      </w:r>
      <w:r>
        <w:rPr>
          <w:b/>
          <w:sz w:val="22"/>
        </w:rPr>
        <w:t>aureus resistente a meticilina) PBP2a (Proteína de Unión a Penicilina 2a)</w:t>
      </w:r>
    </w:p>
    <w:p>
      <w:pPr>
        <w:pStyle w:val="BodyText"/>
        <w:rPr>
          <w:b/>
          <w:sz w:val="22"/>
        </w:rPr>
      </w:pPr>
    </w:p>
    <w:p>
      <w:pPr>
        <w:pStyle w:val="BodyText"/>
        <w:spacing w:before="252"/>
        <w:rPr>
          <w:b/>
          <w:sz w:val="22"/>
        </w:rPr>
      </w:pPr>
    </w:p>
    <w:p>
      <w:pPr>
        <w:spacing w:line="360" w:lineRule="auto" w:before="0"/>
        <w:ind w:left="533" w:right="240" w:firstLine="0"/>
        <w:jc w:val="left"/>
        <w:rPr>
          <w:b/>
          <w:sz w:val="22"/>
        </w:rPr>
      </w:pPr>
      <w:r>
        <w:rPr>
          <w:b/>
          <w:sz w:val="22"/>
        </w:rPr>
        <w:t>Permeabilidad</w:t>
      </w:r>
      <w:r>
        <w:rPr>
          <w:b/>
          <w:spacing w:val="-14"/>
          <w:sz w:val="22"/>
        </w:rPr>
        <w:t> </w:t>
      </w:r>
      <w:r>
        <w:rPr>
          <w:b/>
          <w:sz w:val="22"/>
        </w:rPr>
        <w:t>de </w:t>
      </w:r>
      <w:r>
        <w:rPr>
          <w:b/>
          <w:spacing w:val="-2"/>
          <w:sz w:val="22"/>
        </w:rPr>
        <w:t>membrana</w:t>
      </w:r>
    </w:p>
    <w:p>
      <w:pPr>
        <w:pStyle w:val="BodyText"/>
        <w:rPr>
          <w:b/>
          <w:sz w:val="22"/>
        </w:rPr>
      </w:pPr>
    </w:p>
    <w:p>
      <w:pPr>
        <w:pStyle w:val="BodyText"/>
        <w:spacing w:before="252"/>
        <w:rPr>
          <w:b/>
          <w:sz w:val="22"/>
        </w:rPr>
      </w:pPr>
    </w:p>
    <w:p>
      <w:pPr>
        <w:spacing w:line="360" w:lineRule="auto" w:before="0"/>
        <w:ind w:left="533" w:right="240" w:firstLine="0"/>
        <w:jc w:val="left"/>
        <w:rPr>
          <w:b/>
          <w:sz w:val="22"/>
        </w:rPr>
      </w:pPr>
      <w:r>
        <w:rPr>
          <w:b/>
          <w:spacing w:val="-2"/>
          <w:sz w:val="22"/>
        </w:rPr>
        <w:t>Sinergismo farmacológico</w:t>
      </w:r>
    </w:p>
    <w:p>
      <w:pPr>
        <w:spacing w:line="357" w:lineRule="auto" w:before="1"/>
        <w:ind w:left="186" w:right="769" w:firstLine="0"/>
        <w:jc w:val="both"/>
        <w:rPr>
          <w:sz w:val="22"/>
        </w:rPr>
      </w:pPr>
      <w:r>
        <w:rPr/>
        <w:br w:type="column"/>
      </w:r>
      <w:r>
        <w:rPr>
          <w:sz w:val="22"/>
        </w:rPr>
        <w:t>Es</w:t>
      </w:r>
      <w:r>
        <w:rPr>
          <w:spacing w:val="-6"/>
          <w:sz w:val="22"/>
        </w:rPr>
        <w:t> </w:t>
      </w:r>
      <w:r>
        <w:rPr>
          <w:sz w:val="22"/>
        </w:rPr>
        <w:t>la</w:t>
      </w:r>
      <w:r>
        <w:rPr>
          <w:spacing w:val="-6"/>
          <w:sz w:val="22"/>
        </w:rPr>
        <w:t> </w:t>
      </w:r>
      <w:r>
        <w:rPr>
          <w:sz w:val="22"/>
        </w:rPr>
        <w:t>concentración</w:t>
      </w:r>
      <w:r>
        <w:rPr>
          <w:spacing w:val="-3"/>
          <w:sz w:val="22"/>
        </w:rPr>
        <w:t> </w:t>
      </w:r>
      <w:r>
        <w:rPr>
          <w:sz w:val="22"/>
        </w:rPr>
        <w:t>más</w:t>
      </w:r>
      <w:r>
        <w:rPr>
          <w:spacing w:val="-6"/>
          <w:sz w:val="22"/>
        </w:rPr>
        <w:t> </w:t>
      </w:r>
      <w:r>
        <w:rPr>
          <w:sz w:val="22"/>
        </w:rPr>
        <w:t>baja</w:t>
      </w:r>
      <w:r>
        <w:rPr>
          <w:spacing w:val="-6"/>
          <w:sz w:val="22"/>
        </w:rPr>
        <w:t> </w:t>
      </w:r>
      <w:r>
        <w:rPr>
          <w:sz w:val="22"/>
        </w:rPr>
        <w:t>de</w:t>
      </w:r>
      <w:r>
        <w:rPr>
          <w:spacing w:val="-6"/>
          <w:sz w:val="22"/>
        </w:rPr>
        <w:t> </w:t>
      </w:r>
      <w:r>
        <w:rPr>
          <w:sz w:val="22"/>
        </w:rPr>
        <w:t>un</w:t>
      </w:r>
      <w:r>
        <w:rPr>
          <w:spacing w:val="-7"/>
          <w:sz w:val="22"/>
        </w:rPr>
        <w:t> </w:t>
      </w:r>
      <w:r>
        <w:rPr>
          <w:sz w:val="22"/>
        </w:rPr>
        <w:t>antimicrobiano,</w:t>
      </w:r>
      <w:r>
        <w:rPr>
          <w:spacing w:val="-4"/>
          <w:sz w:val="22"/>
        </w:rPr>
        <w:t> </w:t>
      </w:r>
      <w:r>
        <w:rPr>
          <w:sz w:val="22"/>
        </w:rPr>
        <w:t>en</w:t>
      </w:r>
      <w:r>
        <w:rPr>
          <w:spacing w:val="-7"/>
          <w:sz w:val="22"/>
        </w:rPr>
        <w:t> </w:t>
      </w:r>
      <w:r>
        <w:rPr>
          <w:sz w:val="22"/>
        </w:rPr>
        <w:t>condiciones controladas</w:t>
      </w:r>
      <w:r>
        <w:rPr>
          <w:spacing w:val="-3"/>
          <w:sz w:val="22"/>
        </w:rPr>
        <w:t> </w:t>
      </w:r>
      <w:r>
        <w:rPr>
          <w:sz w:val="22"/>
        </w:rPr>
        <w:t>in vitro,</w:t>
      </w:r>
      <w:r>
        <w:rPr>
          <w:spacing w:val="-1"/>
          <w:sz w:val="22"/>
        </w:rPr>
        <w:t> </w:t>
      </w:r>
      <w:r>
        <w:rPr>
          <w:sz w:val="22"/>
        </w:rPr>
        <w:t>que</w:t>
      </w:r>
      <w:r>
        <w:rPr>
          <w:spacing w:val="-3"/>
          <w:sz w:val="22"/>
        </w:rPr>
        <w:t> </w:t>
      </w:r>
      <w:r>
        <w:rPr>
          <w:sz w:val="22"/>
        </w:rPr>
        <w:t>logra</w:t>
      </w:r>
      <w:r>
        <w:rPr>
          <w:spacing w:val="-3"/>
          <w:sz w:val="22"/>
        </w:rPr>
        <w:t> </w:t>
      </w:r>
      <w:r>
        <w:rPr>
          <w:sz w:val="22"/>
        </w:rPr>
        <w:t>impedir</w:t>
      </w:r>
      <w:r>
        <w:rPr>
          <w:spacing w:val="-3"/>
          <w:sz w:val="22"/>
        </w:rPr>
        <w:t> </w:t>
      </w:r>
      <w:r>
        <w:rPr>
          <w:sz w:val="22"/>
        </w:rPr>
        <w:t>el</w:t>
      </w:r>
      <w:r>
        <w:rPr>
          <w:spacing w:val="-3"/>
          <w:sz w:val="22"/>
        </w:rPr>
        <w:t> </w:t>
      </w:r>
      <w:r>
        <w:rPr>
          <w:sz w:val="22"/>
        </w:rPr>
        <w:t>crecimiento visible</w:t>
      </w:r>
      <w:r>
        <w:rPr>
          <w:spacing w:val="-3"/>
          <w:sz w:val="22"/>
        </w:rPr>
        <w:t> </w:t>
      </w:r>
      <w:r>
        <w:rPr>
          <w:sz w:val="22"/>
        </w:rPr>
        <w:t>de</w:t>
      </w:r>
      <w:r>
        <w:rPr>
          <w:spacing w:val="-3"/>
          <w:sz w:val="22"/>
        </w:rPr>
        <w:t> </w:t>
      </w:r>
      <w:r>
        <w:rPr>
          <w:sz w:val="22"/>
        </w:rPr>
        <w:t>un </w:t>
      </w:r>
      <w:r>
        <w:rPr>
          <w:spacing w:val="-2"/>
          <w:sz w:val="22"/>
        </w:rPr>
        <w:t>microorganismo.</w:t>
      </w:r>
    </w:p>
    <w:p>
      <w:pPr>
        <w:spacing w:line="360" w:lineRule="auto" w:before="5"/>
        <w:ind w:left="186" w:right="665" w:firstLine="0"/>
        <w:jc w:val="left"/>
        <w:rPr>
          <w:sz w:val="22"/>
        </w:rPr>
      </w:pPr>
      <w:r>
        <w:rPr>
          <w:sz w:val="22"/>
        </w:rPr>
        <w:t>Representa el equivalente inglés de la Concentración Mínima Inhibitoria.</w:t>
      </w:r>
      <w:r>
        <w:rPr>
          <w:spacing w:val="-5"/>
          <w:sz w:val="22"/>
        </w:rPr>
        <w:t> </w:t>
      </w:r>
      <w:r>
        <w:rPr>
          <w:sz w:val="22"/>
        </w:rPr>
        <w:t>Su</w:t>
      </w:r>
      <w:r>
        <w:rPr>
          <w:spacing w:val="-8"/>
          <w:sz w:val="22"/>
        </w:rPr>
        <w:t> </w:t>
      </w:r>
      <w:r>
        <w:rPr>
          <w:sz w:val="22"/>
        </w:rPr>
        <w:t>objetivo</w:t>
      </w:r>
      <w:r>
        <w:rPr>
          <w:spacing w:val="-4"/>
          <w:sz w:val="22"/>
        </w:rPr>
        <w:t> </w:t>
      </w:r>
      <w:r>
        <w:rPr>
          <w:sz w:val="22"/>
        </w:rPr>
        <w:t>es</w:t>
      </w:r>
      <w:r>
        <w:rPr>
          <w:spacing w:val="-7"/>
          <w:sz w:val="22"/>
        </w:rPr>
        <w:t> </w:t>
      </w:r>
      <w:r>
        <w:rPr>
          <w:sz w:val="22"/>
        </w:rPr>
        <w:t>indicar</w:t>
      </w:r>
      <w:r>
        <w:rPr>
          <w:spacing w:val="-7"/>
          <w:sz w:val="22"/>
        </w:rPr>
        <w:t> </w:t>
      </w:r>
      <w:r>
        <w:rPr>
          <w:sz w:val="22"/>
        </w:rPr>
        <w:t>la</w:t>
      </w:r>
      <w:r>
        <w:rPr>
          <w:spacing w:val="-7"/>
          <w:sz w:val="22"/>
        </w:rPr>
        <w:t> </w:t>
      </w:r>
      <w:r>
        <w:rPr>
          <w:sz w:val="22"/>
        </w:rPr>
        <w:t>menor</w:t>
      </w:r>
      <w:r>
        <w:rPr>
          <w:spacing w:val="-7"/>
          <w:sz w:val="22"/>
        </w:rPr>
        <w:t> </w:t>
      </w:r>
      <w:r>
        <w:rPr>
          <w:sz w:val="22"/>
        </w:rPr>
        <w:t>concentración</w:t>
      </w:r>
      <w:r>
        <w:rPr>
          <w:spacing w:val="-4"/>
          <w:sz w:val="22"/>
        </w:rPr>
        <w:t> </w:t>
      </w:r>
      <w:r>
        <w:rPr>
          <w:sz w:val="22"/>
        </w:rPr>
        <w:t>requerida de un antimicrobiano para lograr detener el crecimiento visible de una bacteria en el entorno del laboratorio.</w:t>
      </w:r>
    </w:p>
    <w:p>
      <w:pPr>
        <w:spacing w:line="357" w:lineRule="auto" w:before="2"/>
        <w:ind w:left="186" w:right="881" w:firstLine="0"/>
        <w:jc w:val="both"/>
        <w:rPr>
          <w:sz w:val="22"/>
        </w:rPr>
      </w:pPr>
      <w:r>
        <w:rPr>
          <w:sz w:val="22"/>
        </w:rPr>
        <w:t>se</w:t>
      </w:r>
      <w:r>
        <w:rPr>
          <w:spacing w:val="-8"/>
          <w:sz w:val="22"/>
        </w:rPr>
        <w:t> </w:t>
      </w:r>
      <w:r>
        <w:rPr>
          <w:sz w:val="22"/>
        </w:rPr>
        <w:t>define</w:t>
      </w:r>
      <w:r>
        <w:rPr>
          <w:spacing w:val="-8"/>
          <w:sz w:val="22"/>
        </w:rPr>
        <w:t> </w:t>
      </w:r>
      <w:r>
        <w:rPr>
          <w:sz w:val="22"/>
        </w:rPr>
        <w:t>como</w:t>
      </w:r>
      <w:r>
        <w:rPr>
          <w:spacing w:val="-5"/>
          <w:sz w:val="22"/>
        </w:rPr>
        <w:t> </w:t>
      </w:r>
      <w:r>
        <w:rPr>
          <w:sz w:val="22"/>
        </w:rPr>
        <w:t>una</w:t>
      </w:r>
      <w:r>
        <w:rPr>
          <w:spacing w:val="-8"/>
          <w:sz w:val="22"/>
        </w:rPr>
        <w:t> </w:t>
      </w:r>
      <w:r>
        <w:rPr>
          <w:sz w:val="22"/>
        </w:rPr>
        <w:t>cepa</w:t>
      </w:r>
      <w:r>
        <w:rPr>
          <w:spacing w:val="-8"/>
          <w:sz w:val="22"/>
        </w:rPr>
        <w:t> </w:t>
      </w:r>
      <w:r>
        <w:rPr>
          <w:sz w:val="22"/>
        </w:rPr>
        <w:t>bacteriana</w:t>
      </w:r>
      <w:r>
        <w:rPr>
          <w:spacing w:val="-8"/>
          <w:sz w:val="22"/>
        </w:rPr>
        <w:t> </w:t>
      </w:r>
      <w:r>
        <w:rPr>
          <w:sz w:val="22"/>
        </w:rPr>
        <w:t>multirresistente,</w:t>
      </w:r>
      <w:r>
        <w:rPr>
          <w:spacing w:val="-6"/>
          <w:sz w:val="22"/>
        </w:rPr>
        <w:t> </w:t>
      </w:r>
      <w:r>
        <w:rPr>
          <w:sz w:val="22"/>
        </w:rPr>
        <w:t>demostrando resistencia a diversos antibióticos beta-lactámicos, atribuyéndose esto primordialmente a la posesión del gen mecA.</w:t>
      </w:r>
    </w:p>
    <w:p>
      <w:pPr>
        <w:spacing w:line="360" w:lineRule="auto" w:before="6"/>
        <w:ind w:left="186" w:right="665" w:firstLine="0"/>
        <w:jc w:val="left"/>
        <w:rPr>
          <w:sz w:val="22"/>
        </w:rPr>
      </w:pPr>
      <w:r>
        <w:rPr>
          <w:sz w:val="22"/>
        </w:rPr>
        <w:t>Es una proteína alterada sintetizada por MRSA. Esta proteína muestra</w:t>
      </w:r>
      <w:r>
        <w:rPr>
          <w:spacing w:val="-6"/>
          <w:sz w:val="22"/>
        </w:rPr>
        <w:t> </w:t>
      </w:r>
      <w:r>
        <w:rPr>
          <w:sz w:val="22"/>
        </w:rPr>
        <w:t>una</w:t>
      </w:r>
      <w:r>
        <w:rPr>
          <w:spacing w:val="-6"/>
          <w:sz w:val="22"/>
        </w:rPr>
        <w:t> </w:t>
      </w:r>
      <w:r>
        <w:rPr>
          <w:sz w:val="22"/>
        </w:rPr>
        <w:t>reducida</w:t>
      </w:r>
      <w:r>
        <w:rPr>
          <w:spacing w:val="-6"/>
          <w:sz w:val="22"/>
        </w:rPr>
        <w:t> </w:t>
      </w:r>
      <w:r>
        <w:rPr>
          <w:sz w:val="22"/>
        </w:rPr>
        <w:t>afinidad</w:t>
      </w:r>
      <w:r>
        <w:rPr>
          <w:spacing w:val="-4"/>
          <w:sz w:val="22"/>
        </w:rPr>
        <w:t> </w:t>
      </w:r>
      <w:r>
        <w:rPr>
          <w:sz w:val="22"/>
        </w:rPr>
        <w:t>por</w:t>
      </w:r>
      <w:r>
        <w:rPr>
          <w:spacing w:val="-6"/>
          <w:sz w:val="22"/>
        </w:rPr>
        <w:t> </w:t>
      </w:r>
      <w:r>
        <w:rPr>
          <w:sz w:val="22"/>
        </w:rPr>
        <w:t>los</w:t>
      </w:r>
      <w:r>
        <w:rPr>
          <w:spacing w:val="-6"/>
          <w:sz w:val="22"/>
        </w:rPr>
        <w:t> </w:t>
      </w:r>
      <w:r>
        <w:rPr>
          <w:sz w:val="22"/>
        </w:rPr>
        <w:t>antibióticos</w:t>
      </w:r>
      <w:r>
        <w:rPr>
          <w:spacing w:val="-6"/>
          <w:sz w:val="22"/>
        </w:rPr>
        <w:t> </w:t>
      </w:r>
      <w:r>
        <w:rPr>
          <w:sz w:val="22"/>
        </w:rPr>
        <w:t>beta-lactámicos, lo que</w:t>
      </w:r>
      <w:r>
        <w:rPr>
          <w:spacing w:val="-2"/>
          <w:sz w:val="22"/>
        </w:rPr>
        <w:t> </w:t>
      </w:r>
      <w:r>
        <w:rPr>
          <w:sz w:val="22"/>
        </w:rPr>
        <w:t>le</w:t>
      </w:r>
      <w:r>
        <w:rPr>
          <w:spacing w:val="-2"/>
          <w:sz w:val="22"/>
        </w:rPr>
        <w:t> </w:t>
      </w:r>
      <w:r>
        <w:rPr>
          <w:sz w:val="22"/>
        </w:rPr>
        <w:t>otorga</w:t>
      </w:r>
      <w:r>
        <w:rPr>
          <w:spacing w:val="-2"/>
          <w:sz w:val="22"/>
        </w:rPr>
        <w:t> </w:t>
      </w:r>
      <w:r>
        <w:rPr>
          <w:sz w:val="22"/>
        </w:rPr>
        <w:t>a</w:t>
      </w:r>
      <w:r>
        <w:rPr>
          <w:spacing w:val="-2"/>
          <w:sz w:val="22"/>
        </w:rPr>
        <w:t> </w:t>
      </w:r>
      <w:r>
        <w:rPr>
          <w:sz w:val="22"/>
        </w:rPr>
        <w:t>la</w:t>
      </w:r>
      <w:r>
        <w:rPr>
          <w:spacing w:val="-2"/>
          <w:sz w:val="22"/>
        </w:rPr>
        <w:t> </w:t>
      </w:r>
      <w:r>
        <w:rPr>
          <w:sz w:val="22"/>
        </w:rPr>
        <w:t>bacteria</w:t>
      </w:r>
      <w:r>
        <w:rPr>
          <w:spacing w:val="-2"/>
          <w:sz w:val="22"/>
        </w:rPr>
        <w:t> </w:t>
      </w:r>
      <w:r>
        <w:rPr>
          <w:sz w:val="22"/>
        </w:rPr>
        <w:t>la capacidad de</w:t>
      </w:r>
      <w:r>
        <w:rPr>
          <w:spacing w:val="-2"/>
          <w:sz w:val="22"/>
        </w:rPr>
        <w:t> </w:t>
      </w:r>
      <w:r>
        <w:rPr>
          <w:sz w:val="22"/>
        </w:rPr>
        <w:t>sostener</w:t>
      </w:r>
      <w:r>
        <w:rPr>
          <w:spacing w:val="-2"/>
          <w:sz w:val="22"/>
        </w:rPr>
        <w:t> </w:t>
      </w:r>
      <w:r>
        <w:rPr>
          <w:sz w:val="22"/>
        </w:rPr>
        <w:t>la</w:t>
      </w:r>
      <w:r>
        <w:rPr>
          <w:spacing w:val="-2"/>
          <w:sz w:val="22"/>
        </w:rPr>
        <w:t> </w:t>
      </w:r>
      <w:r>
        <w:rPr>
          <w:sz w:val="22"/>
        </w:rPr>
        <w:t>síntesis</w:t>
      </w:r>
      <w:r>
        <w:rPr>
          <w:spacing w:val="-2"/>
          <w:sz w:val="22"/>
        </w:rPr>
        <w:t> </w:t>
      </w:r>
      <w:r>
        <w:rPr>
          <w:sz w:val="22"/>
        </w:rPr>
        <w:t>de su pared celular aún bajo la influencia del fármaco.</w:t>
      </w:r>
    </w:p>
    <w:p>
      <w:pPr>
        <w:spacing w:line="360" w:lineRule="auto" w:before="2"/>
        <w:ind w:left="186" w:right="769" w:firstLine="0"/>
        <w:jc w:val="both"/>
        <w:rPr>
          <w:sz w:val="22"/>
        </w:rPr>
      </w:pPr>
      <w:r>
        <w:rPr>
          <w:sz w:val="22"/>
        </w:rPr>
        <w:t>Describe</w:t>
      </w:r>
      <w:r>
        <w:rPr>
          <w:spacing w:val="-3"/>
          <w:sz w:val="22"/>
        </w:rPr>
        <w:t> </w:t>
      </w:r>
      <w:r>
        <w:rPr>
          <w:sz w:val="22"/>
        </w:rPr>
        <w:t>la</w:t>
      </w:r>
      <w:r>
        <w:rPr>
          <w:spacing w:val="-3"/>
          <w:sz w:val="22"/>
        </w:rPr>
        <w:t> </w:t>
      </w:r>
      <w:r>
        <w:rPr>
          <w:sz w:val="22"/>
        </w:rPr>
        <w:t>capacidad inherente</w:t>
      </w:r>
      <w:r>
        <w:rPr>
          <w:spacing w:val="-3"/>
          <w:sz w:val="22"/>
        </w:rPr>
        <w:t> </w:t>
      </w:r>
      <w:r>
        <w:rPr>
          <w:sz w:val="22"/>
        </w:rPr>
        <w:t>de</w:t>
      </w:r>
      <w:r>
        <w:rPr>
          <w:spacing w:val="-3"/>
          <w:sz w:val="22"/>
        </w:rPr>
        <w:t> </w:t>
      </w:r>
      <w:r>
        <w:rPr>
          <w:sz w:val="22"/>
        </w:rPr>
        <w:t>la</w:t>
      </w:r>
      <w:r>
        <w:rPr>
          <w:spacing w:val="-3"/>
          <w:sz w:val="22"/>
        </w:rPr>
        <w:t> </w:t>
      </w:r>
      <w:r>
        <w:rPr>
          <w:sz w:val="22"/>
        </w:rPr>
        <w:t>membrana</w:t>
      </w:r>
      <w:r>
        <w:rPr>
          <w:spacing w:val="-3"/>
          <w:sz w:val="22"/>
        </w:rPr>
        <w:t> </w:t>
      </w:r>
      <w:r>
        <w:rPr>
          <w:sz w:val="22"/>
        </w:rPr>
        <w:t>celular</w:t>
      </w:r>
      <w:r>
        <w:rPr>
          <w:spacing w:val="-3"/>
          <w:sz w:val="22"/>
        </w:rPr>
        <w:t> </w:t>
      </w:r>
      <w:r>
        <w:rPr>
          <w:sz w:val="22"/>
        </w:rPr>
        <w:t>bacteriana para</w:t>
      </w:r>
      <w:r>
        <w:rPr>
          <w:spacing w:val="-6"/>
          <w:sz w:val="22"/>
        </w:rPr>
        <w:t> </w:t>
      </w:r>
      <w:r>
        <w:rPr>
          <w:sz w:val="22"/>
        </w:rPr>
        <w:t>facilitar</w:t>
      </w:r>
      <w:r>
        <w:rPr>
          <w:spacing w:val="-3"/>
          <w:sz w:val="22"/>
        </w:rPr>
        <w:t> </w:t>
      </w:r>
      <w:r>
        <w:rPr>
          <w:sz w:val="22"/>
        </w:rPr>
        <w:t>el</w:t>
      </w:r>
      <w:r>
        <w:rPr>
          <w:spacing w:val="-6"/>
          <w:sz w:val="22"/>
        </w:rPr>
        <w:t> </w:t>
      </w:r>
      <w:r>
        <w:rPr>
          <w:sz w:val="22"/>
        </w:rPr>
        <w:t>tránsito</w:t>
      </w:r>
      <w:r>
        <w:rPr>
          <w:spacing w:val="-3"/>
          <w:sz w:val="22"/>
        </w:rPr>
        <w:t> </w:t>
      </w:r>
      <w:r>
        <w:rPr>
          <w:sz w:val="22"/>
        </w:rPr>
        <w:t>de</w:t>
      </w:r>
      <w:r>
        <w:rPr>
          <w:spacing w:val="-6"/>
          <w:sz w:val="22"/>
        </w:rPr>
        <w:t> </w:t>
      </w:r>
      <w:r>
        <w:rPr>
          <w:sz w:val="22"/>
        </w:rPr>
        <w:t>sustancias.</w:t>
      </w:r>
      <w:r>
        <w:rPr>
          <w:spacing w:val="-4"/>
          <w:sz w:val="22"/>
        </w:rPr>
        <w:t> </w:t>
      </w:r>
      <w:r>
        <w:rPr>
          <w:sz w:val="22"/>
        </w:rPr>
        <w:t>Cuando</w:t>
      </w:r>
      <w:r>
        <w:rPr>
          <w:spacing w:val="-7"/>
          <w:sz w:val="22"/>
        </w:rPr>
        <w:t> </w:t>
      </w:r>
      <w:r>
        <w:rPr>
          <w:sz w:val="22"/>
        </w:rPr>
        <w:t>esta</w:t>
      </w:r>
      <w:r>
        <w:rPr>
          <w:spacing w:val="-6"/>
          <w:sz w:val="22"/>
        </w:rPr>
        <w:t> </w:t>
      </w:r>
      <w:r>
        <w:rPr>
          <w:sz w:val="22"/>
        </w:rPr>
        <w:t>característica</w:t>
      </w:r>
      <w:r>
        <w:rPr>
          <w:spacing w:val="-6"/>
          <w:sz w:val="22"/>
        </w:rPr>
        <w:t> </w:t>
      </w:r>
      <w:r>
        <w:rPr>
          <w:sz w:val="22"/>
        </w:rPr>
        <w:t>se ve</w:t>
      </w:r>
      <w:r>
        <w:rPr>
          <w:spacing w:val="-6"/>
          <w:sz w:val="22"/>
        </w:rPr>
        <w:t> </w:t>
      </w:r>
      <w:r>
        <w:rPr>
          <w:sz w:val="22"/>
        </w:rPr>
        <w:t>modificada,</w:t>
      </w:r>
      <w:r>
        <w:rPr>
          <w:spacing w:val="-5"/>
          <w:sz w:val="22"/>
        </w:rPr>
        <w:t> </w:t>
      </w:r>
      <w:r>
        <w:rPr>
          <w:sz w:val="22"/>
        </w:rPr>
        <w:t>la</w:t>
      </w:r>
      <w:r>
        <w:rPr>
          <w:spacing w:val="-6"/>
          <w:sz w:val="22"/>
        </w:rPr>
        <w:t> </w:t>
      </w:r>
      <w:r>
        <w:rPr>
          <w:sz w:val="22"/>
        </w:rPr>
        <w:t>eficacia</w:t>
      </w:r>
      <w:r>
        <w:rPr>
          <w:spacing w:val="-6"/>
          <w:sz w:val="22"/>
        </w:rPr>
        <w:t> </w:t>
      </w:r>
      <w:r>
        <w:rPr>
          <w:sz w:val="22"/>
        </w:rPr>
        <w:t>de</w:t>
      </w:r>
      <w:r>
        <w:rPr>
          <w:spacing w:val="-6"/>
          <w:sz w:val="22"/>
        </w:rPr>
        <w:t> </w:t>
      </w:r>
      <w:r>
        <w:rPr>
          <w:sz w:val="22"/>
        </w:rPr>
        <w:t>compuestos</w:t>
      </w:r>
      <w:r>
        <w:rPr>
          <w:spacing w:val="-6"/>
          <w:sz w:val="22"/>
        </w:rPr>
        <w:t> </w:t>
      </w:r>
      <w:r>
        <w:rPr>
          <w:sz w:val="22"/>
        </w:rPr>
        <w:t>antimicrobianos,</w:t>
      </w:r>
      <w:r>
        <w:rPr>
          <w:spacing w:val="-5"/>
          <w:sz w:val="22"/>
        </w:rPr>
        <w:t> </w:t>
      </w:r>
      <w:r>
        <w:rPr>
          <w:sz w:val="22"/>
        </w:rPr>
        <w:t>como</w:t>
      </w:r>
      <w:r>
        <w:rPr>
          <w:spacing w:val="-7"/>
          <w:sz w:val="22"/>
        </w:rPr>
        <w:t> </w:t>
      </w:r>
      <w:r>
        <w:rPr>
          <w:sz w:val="22"/>
        </w:rPr>
        <w:t>el cannabidiol, puede verse incrementada.</w:t>
      </w:r>
    </w:p>
    <w:p>
      <w:pPr>
        <w:spacing w:line="360" w:lineRule="auto" w:before="0"/>
        <w:ind w:left="186" w:right="741" w:firstLine="0"/>
        <w:jc w:val="left"/>
        <w:rPr>
          <w:sz w:val="22"/>
        </w:rPr>
      </w:pPr>
      <w:r>
        <w:rPr>
          <w:sz w:val="22"/>
        </w:rPr>
        <w:t>Se refiere a la interacción que acontece entre dos sustancias, resultando</w:t>
      </w:r>
      <w:r>
        <w:rPr>
          <w:spacing w:val="-3"/>
          <w:sz w:val="22"/>
        </w:rPr>
        <w:t> </w:t>
      </w:r>
      <w:r>
        <w:rPr>
          <w:sz w:val="22"/>
        </w:rPr>
        <w:t>en</w:t>
      </w:r>
      <w:r>
        <w:rPr>
          <w:spacing w:val="-7"/>
          <w:sz w:val="22"/>
        </w:rPr>
        <w:t> </w:t>
      </w:r>
      <w:r>
        <w:rPr>
          <w:sz w:val="22"/>
        </w:rPr>
        <w:t>un</w:t>
      </w:r>
      <w:r>
        <w:rPr>
          <w:spacing w:val="-7"/>
          <w:sz w:val="22"/>
        </w:rPr>
        <w:t> </w:t>
      </w:r>
      <w:r>
        <w:rPr>
          <w:sz w:val="22"/>
        </w:rPr>
        <w:t>efecto</w:t>
      </w:r>
      <w:r>
        <w:rPr>
          <w:spacing w:val="-3"/>
          <w:sz w:val="22"/>
        </w:rPr>
        <w:t> </w:t>
      </w:r>
      <w:r>
        <w:rPr>
          <w:sz w:val="22"/>
        </w:rPr>
        <w:t>combinado</w:t>
      </w:r>
      <w:r>
        <w:rPr>
          <w:spacing w:val="-7"/>
          <w:sz w:val="22"/>
        </w:rPr>
        <w:t> </w:t>
      </w:r>
      <w:r>
        <w:rPr>
          <w:sz w:val="22"/>
        </w:rPr>
        <w:t>de</w:t>
      </w:r>
      <w:r>
        <w:rPr>
          <w:spacing w:val="-6"/>
          <w:sz w:val="22"/>
        </w:rPr>
        <w:t> </w:t>
      </w:r>
      <w:r>
        <w:rPr>
          <w:sz w:val="22"/>
        </w:rPr>
        <w:t>magnitud</w:t>
      </w:r>
      <w:r>
        <w:rPr>
          <w:spacing w:val="-3"/>
          <w:sz w:val="22"/>
        </w:rPr>
        <w:t> </w:t>
      </w:r>
      <w:r>
        <w:rPr>
          <w:sz w:val="22"/>
        </w:rPr>
        <w:t>superior</w:t>
      </w:r>
      <w:r>
        <w:rPr>
          <w:spacing w:val="-6"/>
          <w:sz w:val="22"/>
        </w:rPr>
        <w:t> </w:t>
      </w:r>
      <w:r>
        <w:rPr>
          <w:sz w:val="22"/>
        </w:rPr>
        <w:t>al</w:t>
      </w:r>
      <w:r>
        <w:rPr>
          <w:spacing w:val="-6"/>
          <w:sz w:val="22"/>
        </w:rPr>
        <w:t> </w:t>
      </w:r>
      <w:r>
        <w:rPr>
          <w:sz w:val="22"/>
        </w:rPr>
        <w:t>que cada sustancia podría alcanzar de manera aislada.</w:t>
      </w:r>
    </w:p>
    <w:p>
      <w:pPr>
        <w:spacing w:after="0" w:line="360" w:lineRule="auto"/>
        <w:jc w:val="left"/>
        <w:rPr>
          <w:sz w:val="22"/>
        </w:rPr>
        <w:sectPr>
          <w:type w:val="continuous"/>
          <w:pgSz w:w="11900" w:h="16840"/>
          <w:pgMar w:top="1720" w:bottom="280" w:left="1275" w:right="992"/>
          <w:cols w:num="2" w:equalWidth="0">
            <w:col w:w="2741" w:space="40"/>
            <w:col w:w="6852"/>
          </w:cols>
        </w:sectPr>
      </w:pPr>
    </w:p>
    <w:p>
      <w:pPr>
        <w:pStyle w:val="BodyText"/>
        <w:spacing w:line="20" w:lineRule="exact"/>
        <w:ind w:left="413"/>
        <w:rPr>
          <w:sz w:val="2"/>
        </w:rPr>
      </w:pPr>
      <w:r>
        <w:rPr>
          <w:sz w:val="2"/>
        </w:rPr>
        <mc:AlternateContent>
          <mc:Choice Requires="wps">
            <w:drawing>
              <wp:inline distT="0" distB="0" distL="0" distR="0">
                <wp:extent cx="5496560" cy="5080"/>
                <wp:effectExtent l="0" t="0" r="0" b="0"/>
                <wp:docPr id="66" name="Group 66"/>
                <wp:cNvGraphicFramePr>
                  <a:graphicFrameLocks/>
                </wp:cNvGraphicFramePr>
                <a:graphic>
                  <a:graphicData uri="http://schemas.microsoft.com/office/word/2010/wordprocessingGroup">
                    <wpg:wgp>
                      <wpg:cNvPr id="66" name="Group 66"/>
                      <wpg:cNvGrpSpPr/>
                      <wpg:grpSpPr>
                        <a:xfrm>
                          <a:off x="0" y="0"/>
                          <a:ext cx="5496560" cy="5080"/>
                          <a:chExt cx="5496560" cy="5080"/>
                        </a:xfrm>
                      </wpg:grpSpPr>
                      <wps:wsp>
                        <wps:cNvPr id="67" name="Graphic 67"/>
                        <wps:cNvSpPr/>
                        <wps:spPr>
                          <a:xfrm>
                            <a:off x="0" y="12"/>
                            <a:ext cx="5496560" cy="5080"/>
                          </a:xfrm>
                          <a:custGeom>
                            <a:avLst/>
                            <a:gdLst/>
                            <a:ahLst/>
                            <a:cxnLst/>
                            <a:rect l="l" t="t" r="r" b="b"/>
                            <a:pathLst>
                              <a:path w="5496560" h="5080">
                                <a:moveTo>
                                  <a:pt x="5495976" y="0"/>
                                </a:moveTo>
                                <a:lnTo>
                                  <a:pt x="1552575" y="0"/>
                                </a:lnTo>
                                <a:lnTo>
                                  <a:pt x="1550098" y="0"/>
                                </a:lnTo>
                                <a:lnTo>
                                  <a:pt x="1545018" y="0"/>
                                </a:lnTo>
                                <a:lnTo>
                                  <a:pt x="0" y="0"/>
                                </a:lnTo>
                                <a:lnTo>
                                  <a:pt x="0" y="5067"/>
                                </a:lnTo>
                                <a:lnTo>
                                  <a:pt x="1545018" y="5067"/>
                                </a:lnTo>
                                <a:lnTo>
                                  <a:pt x="1550098" y="5067"/>
                                </a:lnTo>
                                <a:lnTo>
                                  <a:pt x="1552575" y="5067"/>
                                </a:lnTo>
                                <a:lnTo>
                                  <a:pt x="5495976" y="5067"/>
                                </a:lnTo>
                                <a:lnTo>
                                  <a:pt x="5495976"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style="width:432.8pt;height:.4pt;mso-position-horizontal-relative:char;mso-position-vertical-relative:line" id="docshapegroup31" coordorigin="0,0" coordsize="8656,8">
                <v:shape style="position:absolute;left:0;top:0;width:8656;height:8" id="docshape32" coordorigin="0,0" coordsize="8656,8" path="m8655,0l2445,0,2441,0,2433,0,0,0,0,8,2433,8,2441,8,2445,8,8655,8,8655,0xe" filled="true" fillcolor="#7e7e7e" stroked="false">
                  <v:path arrowok="t"/>
                  <v:fill type="solid"/>
                </v:shape>
              </v:group>
            </w:pict>
          </mc:Fallback>
        </mc:AlternateContent>
      </w:r>
      <w:r>
        <w:rPr>
          <w:sz w:val="2"/>
        </w:rPr>
      </w:r>
    </w:p>
    <w:p>
      <w:pPr>
        <w:pStyle w:val="BodyText"/>
        <w:spacing w:line="364" w:lineRule="auto" w:before="126"/>
        <w:ind w:left="994" w:right="734"/>
        <w:jc w:val="both"/>
      </w:pPr>
      <w:r>
        <w:rPr>
          <w:b/>
        </w:rPr>
        <w:t>Nota. </w:t>
      </w:r>
      <w:r>
        <w:rPr/>
        <w:t>Los términos se presentan con redacción técnica sencilla para facilitar su comprensión dentro del estudio sobre cannabidiol, antibióticos y Staphylococcus aureus resistente a meticilina.</w:t>
      </w:r>
    </w:p>
    <w:sectPr>
      <w:type w:val="continuous"/>
      <w:pgSz w:w="11900" w:h="16840"/>
      <w:pgMar w:top="1720" w:bottom="280" w:left="1275"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0"/>
      <w:numFmt w:val="bullet"/>
      <w:lvlText w:val=""/>
      <w:lvlJc w:val="left"/>
      <w:pPr>
        <w:ind w:left="1714"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511" w:hanging="360"/>
      </w:pPr>
      <w:rPr>
        <w:rFonts w:hint="default"/>
        <w:lang w:val="es-ES" w:eastAsia="en-US" w:bidi="ar-SA"/>
      </w:rPr>
    </w:lvl>
    <w:lvl w:ilvl="2">
      <w:start w:val="0"/>
      <w:numFmt w:val="bullet"/>
      <w:lvlText w:val="•"/>
      <w:lvlJc w:val="left"/>
      <w:pPr>
        <w:ind w:left="3302" w:hanging="360"/>
      </w:pPr>
      <w:rPr>
        <w:rFonts w:hint="default"/>
        <w:lang w:val="es-ES" w:eastAsia="en-US" w:bidi="ar-SA"/>
      </w:rPr>
    </w:lvl>
    <w:lvl w:ilvl="3">
      <w:start w:val="0"/>
      <w:numFmt w:val="bullet"/>
      <w:lvlText w:val="•"/>
      <w:lvlJc w:val="left"/>
      <w:pPr>
        <w:ind w:left="4093" w:hanging="360"/>
      </w:pPr>
      <w:rPr>
        <w:rFonts w:hint="default"/>
        <w:lang w:val="es-ES" w:eastAsia="en-US" w:bidi="ar-SA"/>
      </w:rPr>
    </w:lvl>
    <w:lvl w:ilvl="4">
      <w:start w:val="0"/>
      <w:numFmt w:val="bullet"/>
      <w:lvlText w:val="•"/>
      <w:lvlJc w:val="left"/>
      <w:pPr>
        <w:ind w:left="4885" w:hanging="360"/>
      </w:pPr>
      <w:rPr>
        <w:rFonts w:hint="default"/>
        <w:lang w:val="es-ES" w:eastAsia="en-US" w:bidi="ar-SA"/>
      </w:rPr>
    </w:lvl>
    <w:lvl w:ilvl="5">
      <w:start w:val="0"/>
      <w:numFmt w:val="bullet"/>
      <w:lvlText w:val="•"/>
      <w:lvlJc w:val="left"/>
      <w:pPr>
        <w:ind w:left="5676" w:hanging="360"/>
      </w:pPr>
      <w:rPr>
        <w:rFonts w:hint="default"/>
        <w:lang w:val="es-ES" w:eastAsia="en-US" w:bidi="ar-SA"/>
      </w:rPr>
    </w:lvl>
    <w:lvl w:ilvl="6">
      <w:start w:val="0"/>
      <w:numFmt w:val="bullet"/>
      <w:lvlText w:val="•"/>
      <w:lvlJc w:val="left"/>
      <w:pPr>
        <w:ind w:left="6467" w:hanging="360"/>
      </w:pPr>
      <w:rPr>
        <w:rFonts w:hint="default"/>
        <w:lang w:val="es-ES" w:eastAsia="en-US" w:bidi="ar-SA"/>
      </w:rPr>
    </w:lvl>
    <w:lvl w:ilvl="7">
      <w:start w:val="0"/>
      <w:numFmt w:val="bullet"/>
      <w:lvlText w:val="•"/>
      <w:lvlJc w:val="left"/>
      <w:pPr>
        <w:ind w:left="7259" w:hanging="360"/>
      </w:pPr>
      <w:rPr>
        <w:rFonts w:hint="default"/>
        <w:lang w:val="es-ES" w:eastAsia="en-US" w:bidi="ar-SA"/>
      </w:rPr>
    </w:lvl>
    <w:lvl w:ilvl="8">
      <w:start w:val="0"/>
      <w:numFmt w:val="bullet"/>
      <w:lvlText w:val="•"/>
      <w:lvlJc w:val="left"/>
      <w:pPr>
        <w:ind w:left="8050" w:hanging="360"/>
      </w:pPr>
      <w:rPr>
        <w:rFonts w:hint="default"/>
        <w:lang w:val="es-ES" w:eastAsia="en-US" w:bidi="ar-SA"/>
      </w:rPr>
    </w:lvl>
  </w:abstractNum>
  <w:abstractNum w:abstractNumId="16">
    <w:multiLevelType w:val="hybridMultilevel"/>
    <w:lvl w:ilvl="0">
      <w:start w:val="0"/>
      <w:numFmt w:val="bullet"/>
      <w:lvlText w:val=""/>
      <w:lvlJc w:val="left"/>
      <w:pPr>
        <w:ind w:left="1714"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511" w:hanging="360"/>
      </w:pPr>
      <w:rPr>
        <w:rFonts w:hint="default"/>
        <w:lang w:val="es-ES" w:eastAsia="en-US" w:bidi="ar-SA"/>
      </w:rPr>
    </w:lvl>
    <w:lvl w:ilvl="2">
      <w:start w:val="0"/>
      <w:numFmt w:val="bullet"/>
      <w:lvlText w:val="•"/>
      <w:lvlJc w:val="left"/>
      <w:pPr>
        <w:ind w:left="3302" w:hanging="360"/>
      </w:pPr>
      <w:rPr>
        <w:rFonts w:hint="default"/>
        <w:lang w:val="es-ES" w:eastAsia="en-US" w:bidi="ar-SA"/>
      </w:rPr>
    </w:lvl>
    <w:lvl w:ilvl="3">
      <w:start w:val="0"/>
      <w:numFmt w:val="bullet"/>
      <w:lvlText w:val="•"/>
      <w:lvlJc w:val="left"/>
      <w:pPr>
        <w:ind w:left="4093" w:hanging="360"/>
      </w:pPr>
      <w:rPr>
        <w:rFonts w:hint="default"/>
        <w:lang w:val="es-ES" w:eastAsia="en-US" w:bidi="ar-SA"/>
      </w:rPr>
    </w:lvl>
    <w:lvl w:ilvl="4">
      <w:start w:val="0"/>
      <w:numFmt w:val="bullet"/>
      <w:lvlText w:val="•"/>
      <w:lvlJc w:val="left"/>
      <w:pPr>
        <w:ind w:left="4885" w:hanging="360"/>
      </w:pPr>
      <w:rPr>
        <w:rFonts w:hint="default"/>
        <w:lang w:val="es-ES" w:eastAsia="en-US" w:bidi="ar-SA"/>
      </w:rPr>
    </w:lvl>
    <w:lvl w:ilvl="5">
      <w:start w:val="0"/>
      <w:numFmt w:val="bullet"/>
      <w:lvlText w:val="•"/>
      <w:lvlJc w:val="left"/>
      <w:pPr>
        <w:ind w:left="5676" w:hanging="360"/>
      </w:pPr>
      <w:rPr>
        <w:rFonts w:hint="default"/>
        <w:lang w:val="es-ES" w:eastAsia="en-US" w:bidi="ar-SA"/>
      </w:rPr>
    </w:lvl>
    <w:lvl w:ilvl="6">
      <w:start w:val="0"/>
      <w:numFmt w:val="bullet"/>
      <w:lvlText w:val="•"/>
      <w:lvlJc w:val="left"/>
      <w:pPr>
        <w:ind w:left="6467" w:hanging="360"/>
      </w:pPr>
      <w:rPr>
        <w:rFonts w:hint="default"/>
        <w:lang w:val="es-ES" w:eastAsia="en-US" w:bidi="ar-SA"/>
      </w:rPr>
    </w:lvl>
    <w:lvl w:ilvl="7">
      <w:start w:val="0"/>
      <w:numFmt w:val="bullet"/>
      <w:lvlText w:val="•"/>
      <w:lvlJc w:val="left"/>
      <w:pPr>
        <w:ind w:left="7259" w:hanging="360"/>
      </w:pPr>
      <w:rPr>
        <w:rFonts w:hint="default"/>
        <w:lang w:val="es-ES" w:eastAsia="en-US" w:bidi="ar-SA"/>
      </w:rPr>
    </w:lvl>
    <w:lvl w:ilvl="8">
      <w:start w:val="0"/>
      <w:numFmt w:val="bullet"/>
      <w:lvlText w:val="•"/>
      <w:lvlJc w:val="left"/>
      <w:pPr>
        <w:ind w:left="8050" w:hanging="360"/>
      </w:pPr>
      <w:rPr>
        <w:rFonts w:hint="default"/>
        <w:lang w:val="es-ES" w:eastAsia="en-US" w:bidi="ar-SA"/>
      </w:rPr>
    </w:lvl>
  </w:abstractNum>
  <w:abstractNum w:abstractNumId="15">
    <w:multiLevelType w:val="hybridMultilevel"/>
    <w:lvl w:ilvl="0">
      <w:start w:val="4"/>
      <w:numFmt w:val="decimal"/>
      <w:lvlText w:val="%1."/>
      <w:lvlJc w:val="left"/>
      <w:pPr>
        <w:ind w:left="1426" w:hanging="432"/>
        <w:jc w:val="left"/>
      </w:pPr>
      <w:rPr>
        <w:rFonts w:hint="default" w:ascii="Times New Roman" w:hAnsi="Times New Roman" w:eastAsia="Times New Roman" w:cs="Times New Roman"/>
        <w:b/>
        <w:bCs/>
        <w:i w:val="0"/>
        <w:iCs w:val="0"/>
        <w:spacing w:val="0"/>
        <w:w w:val="100"/>
        <w:sz w:val="28"/>
        <w:szCs w:val="28"/>
        <w:lang w:val="es-ES" w:eastAsia="en-US" w:bidi="ar-SA"/>
      </w:rPr>
    </w:lvl>
    <w:lvl w:ilvl="1">
      <w:start w:val="1"/>
      <w:numFmt w:val="decimal"/>
      <w:lvlText w:val="%1.%2."/>
      <w:lvlJc w:val="left"/>
      <w:pPr>
        <w:ind w:left="1426" w:hanging="432"/>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702" w:hanging="708"/>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462" w:hanging="708"/>
      </w:pPr>
      <w:rPr>
        <w:rFonts w:hint="default"/>
        <w:lang w:val="es-ES" w:eastAsia="en-US" w:bidi="ar-SA"/>
      </w:rPr>
    </w:lvl>
    <w:lvl w:ilvl="4">
      <w:start w:val="0"/>
      <w:numFmt w:val="bullet"/>
      <w:lvlText w:val="•"/>
      <w:lvlJc w:val="left"/>
      <w:pPr>
        <w:ind w:left="4344" w:hanging="708"/>
      </w:pPr>
      <w:rPr>
        <w:rFonts w:hint="default"/>
        <w:lang w:val="es-ES" w:eastAsia="en-US" w:bidi="ar-SA"/>
      </w:rPr>
    </w:lvl>
    <w:lvl w:ilvl="5">
      <w:start w:val="0"/>
      <w:numFmt w:val="bullet"/>
      <w:lvlText w:val="•"/>
      <w:lvlJc w:val="left"/>
      <w:pPr>
        <w:ind w:left="5225" w:hanging="708"/>
      </w:pPr>
      <w:rPr>
        <w:rFonts w:hint="default"/>
        <w:lang w:val="es-ES" w:eastAsia="en-US" w:bidi="ar-SA"/>
      </w:rPr>
    </w:lvl>
    <w:lvl w:ilvl="6">
      <w:start w:val="0"/>
      <w:numFmt w:val="bullet"/>
      <w:lvlText w:val="•"/>
      <w:lvlJc w:val="left"/>
      <w:pPr>
        <w:ind w:left="6107" w:hanging="708"/>
      </w:pPr>
      <w:rPr>
        <w:rFonts w:hint="default"/>
        <w:lang w:val="es-ES" w:eastAsia="en-US" w:bidi="ar-SA"/>
      </w:rPr>
    </w:lvl>
    <w:lvl w:ilvl="7">
      <w:start w:val="0"/>
      <w:numFmt w:val="bullet"/>
      <w:lvlText w:val="•"/>
      <w:lvlJc w:val="left"/>
      <w:pPr>
        <w:ind w:left="6988" w:hanging="708"/>
      </w:pPr>
      <w:rPr>
        <w:rFonts w:hint="default"/>
        <w:lang w:val="es-ES" w:eastAsia="en-US" w:bidi="ar-SA"/>
      </w:rPr>
    </w:lvl>
    <w:lvl w:ilvl="8">
      <w:start w:val="0"/>
      <w:numFmt w:val="bullet"/>
      <w:lvlText w:val="•"/>
      <w:lvlJc w:val="left"/>
      <w:pPr>
        <w:ind w:left="7870" w:hanging="708"/>
      </w:pPr>
      <w:rPr>
        <w:rFonts w:hint="default"/>
        <w:lang w:val="es-ES" w:eastAsia="en-US" w:bidi="ar-SA"/>
      </w:rPr>
    </w:lvl>
  </w:abstractNum>
  <w:abstractNum w:abstractNumId="14">
    <w:multiLevelType w:val="hybridMultilevel"/>
    <w:lvl w:ilvl="0">
      <w:start w:val="0"/>
      <w:numFmt w:val="bullet"/>
      <w:lvlText w:val=""/>
      <w:lvlJc w:val="left"/>
      <w:pPr>
        <w:ind w:left="1714"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511" w:hanging="360"/>
      </w:pPr>
      <w:rPr>
        <w:rFonts w:hint="default"/>
        <w:lang w:val="es-ES" w:eastAsia="en-US" w:bidi="ar-SA"/>
      </w:rPr>
    </w:lvl>
    <w:lvl w:ilvl="2">
      <w:start w:val="0"/>
      <w:numFmt w:val="bullet"/>
      <w:lvlText w:val="•"/>
      <w:lvlJc w:val="left"/>
      <w:pPr>
        <w:ind w:left="3302" w:hanging="360"/>
      </w:pPr>
      <w:rPr>
        <w:rFonts w:hint="default"/>
        <w:lang w:val="es-ES" w:eastAsia="en-US" w:bidi="ar-SA"/>
      </w:rPr>
    </w:lvl>
    <w:lvl w:ilvl="3">
      <w:start w:val="0"/>
      <w:numFmt w:val="bullet"/>
      <w:lvlText w:val="•"/>
      <w:lvlJc w:val="left"/>
      <w:pPr>
        <w:ind w:left="4093" w:hanging="360"/>
      </w:pPr>
      <w:rPr>
        <w:rFonts w:hint="default"/>
        <w:lang w:val="es-ES" w:eastAsia="en-US" w:bidi="ar-SA"/>
      </w:rPr>
    </w:lvl>
    <w:lvl w:ilvl="4">
      <w:start w:val="0"/>
      <w:numFmt w:val="bullet"/>
      <w:lvlText w:val="•"/>
      <w:lvlJc w:val="left"/>
      <w:pPr>
        <w:ind w:left="4885" w:hanging="360"/>
      </w:pPr>
      <w:rPr>
        <w:rFonts w:hint="default"/>
        <w:lang w:val="es-ES" w:eastAsia="en-US" w:bidi="ar-SA"/>
      </w:rPr>
    </w:lvl>
    <w:lvl w:ilvl="5">
      <w:start w:val="0"/>
      <w:numFmt w:val="bullet"/>
      <w:lvlText w:val="•"/>
      <w:lvlJc w:val="left"/>
      <w:pPr>
        <w:ind w:left="5676" w:hanging="360"/>
      </w:pPr>
      <w:rPr>
        <w:rFonts w:hint="default"/>
        <w:lang w:val="es-ES" w:eastAsia="en-US" w:bidi="ar-SA"/>
      </w:rPr>
    </w:lvl>
    <w:lvl w:ilvl="6">
      <w:start w:val="0"/>
      <w:numFmt w:val="bullet"/>
      <w:lvlText w:val="•"/>
      <w:lvlJc w:val="left"/>
      <w:pPr>
        <w:ind w:left="6467" w:hanging="360"/>
      </w:pPr>
      <w:rPr>
        <w:rFonts w:hint="default"/>
        <w:lang w:val="es-ES" w:eastAsia="en-US" w:bidi="ar-SA"/>
      </w:rPr>
    </w:lvl>
    <w:lvl w:ilvl="7">
      <w:start w:val="0"/>
      <w:numFmt w:val="bullet"/>
      <w:lvlText w:val="•"/>
      <w:lvlJc w:val="left"/>
      <w:pPr>
        <w:ind w:left="7259" w:hanging="360"/>
      </w:pPr>
      <w:rPr>
        <w:rFonts w:hint="default"/>
        <w:lang w:val="es-ES" w:eastAsia="en-US" w:bidi="ar-SA"/>
      </w:rPr>
    </w:lvl>
    <w:lvl w:ilvl="8">
      <w:start w:val="0"/>
      <w:numFmt w:val="bullet"/>
      <w:lvlText w:val="•"/>
      <w:lvlJc w:val="left"/>
      <w:pPr>
        <w:ind w:left="8050" w:hanging="360"/>
      </w:pPr>
      <w:rPr>
        <w:rFonts w:hint="default"/>
        <w:lang w:val="es-ES" w:eastAsia="en-US" w:bidi="ar-SA"/>
      </w:rPr>
    </w:lvl>
  </w:abstractNum>
  <w:abstractNum w:abstractNumId="13">
    <w:multiLevelType w:val="hybridMultilevel"/>
    <w:lvl w:ilvl="0">
      <w:start w:val="0"/>
      <w:numFmt w:val="bullet"/>
      <w:lvlText w:val=""/>
      <w:lvlJc w:val="left"/>
      <w:pPr>
        <w:ind w:left="1714"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511" w:hanging="360"/>
      </w:pPr>
      <w:rPr>
        <w:rFonts w:hint="default"/>
        <w:lang w:val="es-ES" w:eastAsia="en-US" w:bidi="ar-SA"/>
      </w:rPr>
    </w:lvl>
    <w:lvl w:ilvl="2">
      <w:start w:val="0"/>
      <w:numFmt w:val="bullet"/>
      <w:lvlText w:val="•"/>
      <w:lvlJc w:val="left"/>
      <w:pPr>
        <w:ind w:left="3302" w:hanging="360"/>
      </w:pPr>
      <w:rPr>
        <w:rFonts w:hint="default"/>
        <w:lang w:val="es-ES" w:eastAsia="en-US" w:bidi="ar-SA"/>
      </w:rPr>
    </w:lvl>
    <w:lvl w:ilvl="3">
      <w:start w:val="0"/>
      <w:numFmt w:val="bullet"/>
      <w:lvlText w:val="•"/>
      <w:lvlJc w:val="left"/>
      <w:pPr>
        <w:ind w:left="4093" w:hanging="360"/>
      </w:pPr>
      <w:rPr>
        <w:rFonts w:hint="default"/>
        <w:lang w:val="es-ES" w:eastAsia="en-US" w:bidi="ar-SA"/>
      </w:rPr>
    </w:lvl>
    <w:lvl w:ilvl="4">
      <w:start w:val="0"/>
      <w:numFmt w:val="bullet"/>
      <w:lvlText w:val="•"/>
      <w:lvlJc w:val="left"/>
      <w:pPr>
        <w:ind w:left="4885" w:hanging="360"/>
      </w:pPr>
      <w:rPr>
        <w:rFonts w:hint="default"/>
        <w:lang w:val="es-ES" w:eastAsia="en-US" w:bidi="ar-SA"/>
      </w:rPr>
    </w:lvl>
    <w:lvl w:ilvl="5">
      <w:start w:val="0"/>
      <w:numFmt w:val="bullet"/>
      <w:lvlText w:val="•"/>
      <w:lvlJc w:val="left"/>
      <w:pPr>
        <w:ind w:left="5676" w:hanging="360"/>
      </w:pPr>
      <w:rPr>
        <w:rFonts w:hint="default"/>
        <w:lang w:val="es-ES" w:eastAsia="en-US" w:bidi="ar-SA"/>
      </w:rPr>
    </w:lvl>
    <w:lvl w:ilvl="6">
      <w:start w:val="0"/>
      <w:numFmt w:val="bullet"/>
      <w:lvlText w:val="•"/>
      <w:lvlJc w:val="left"/>
      <w:pPr>
        <w:ind w:left="6467" w:hanging="360"/>
      </w:pPr>
      <w:rPr>
        <w:rFonts w:hint="default"/>
        <w:lang w:val="es-ES" w:eastAsia="en-US" w:bidi="ar-SA"/>
      </w:rPr>
    </w:lvl>
    <w:lvl w:ilvl="7">
      <w:start w:val="0"/>
      <w:numFmt w:val="bullet"/>
      <w:lvlText w:val="•"/>
      <w:lvlJc w:val="left"/>
      <w:pPr>
        <w:ind w:left="7259" w:hanging="360"/>
      </w:pPr>
      <w:rPr>
        <w:rFonts w:hint="default"/>
        <w:lang w:val="es-ES" w:eastAsia="en-US" w:bidi="ar-SA"/>
      </w:rPr>
    </w:lvl>
    <w:lvl w:ilvl="8">
      <w:start w:val="0"/>
      <w:numFmt w:val="bullet"/>
      <w:lvlText w:val="•"/>
      <w:lvlJc w:val="left"/>
      <w:pPr>
        <w:ind w:left="8050" w:hanging="360"/>
      </w:pPr>
      <w:rPr>
        <w:rFonts w:hint="default"/>
        <w:lang w:val="es-ES" w:eastAsia="en-US" w:bidi="ar-SA"/>
      </w:rPr>
    </w:lvl>
  </w:abstractNum>
  <w:abstractNum w:abstractNumId="10">
    <w:multiLevelType w:val="hybridMultilevel"/>
    <w:lvl w:ilvl="0">
      <w:start w:val="0"/>
      <w:numFmt w:val="bullet"/>
      <w:lvlText w:val=""/>
      <w:lvlJc w:val="left"/>
      <w:pPr>
        <w:ind w:left="1714"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511" w:hanging="360"/>
      </w:pPr>
      <w:rPr>
        <w:rFonts w:hint="default"/>
        <w:lang w:val="es-ES" w:eastAsia="en-US" w:bidi="ar-SA"/>
      </w:rPr>
    </w:lvl>
    <w:lvl w:ilvl="2">
      <w:start w:val="0"/>
      <w:numFmt w:val="bullet"/>
      <w:lvlText w:val="•"/>
      <w:lvlJc w:val="left"/>
      <w:pPr>
        <w:ind w:left="3302" w:hanging="360"/>
      </w:pPr>
      <w:rPr>
        <w:rFonts w:hint="default"/>
        <w:lang w:val="es-ES" w:eastAsia="en-US" w:bidi="ar-SA"/>
      </w:rPr>
    </w:lvl>
    <w:lvl w:ilvl="3">
      <w:start w:val="0"/>
      <w:numFmt w:val="bullet"/>
      <w:lvlText w:val="•"/>
      <w:lvlJc w:val="left"/>
      <w:pPr>
        <w:ind w:left="4093" w:hanging="360"/>
      </w:pPr>
      <w:rPr>
        <w:rFonts w:hint="default"/>
        <w:lang w:val="es-ES" w:eastAsia="en-US" w:bidi="ar-SA"/>
      </w:rPr>
    </w:lvl>
    <w:lvl w:ilvl="4">
      <w:start w:val="0"/>
      <w:numFmt w:val="bullet"/>
      <w:lvlText w:val="•"/>
      <w:lvlJc w:val="left"/>
      <w:pPr>
        <w:ind w:left="4885" w:hanging="360"/>
      </w:pPr>
      <w:rPr>
        <w:rFonts w:hint="default"/>
        <w:lang w:val="es-ES" w:eastAsia="en-US" w:bidi="ar-SA"/>
      </w:rPr>
    </w:lvl>
    <w:lvl w:ilvl="5">
      <w:start w:val="0"/>
      <w:numFmt w:val="bullet"/>
      <w:lvlText w:val="•"/>
      <w:lvlJc w:val="left"/>
      <w:pPr>
        <w:ind w:left="5676" w:hanging="360"/>
      </w:pPr>
      <w:rPr>
        <w:rFonts w:hint="default"/>
        <w:lang w:val="es-ES" w:eastAsia="en-US" w:bidi="ar-SA"/>
      </w:rPr>
    </w:lvl>
    <w:lvl w:ilvl="6">
      <w:start w:val="0"/>
      <w:numFmt w:val="bullet"/>
      <w:lvlText w:val="•"/>
      <w:lvlJc w:val="left"/>
      <w:pPr>
        <w:ind w:left="6467" w:hanging="360"/>
      </w:pPr>
      <w:rPr>
        <w:rFonts w:hint="default"/>
        <w:lang w:val="es-ES" w:eastAsia="en-US" w:bidi="ar-SA"/>
      </w:rPr>
    </w:lvl>
    <w:lvl w:ilvl="7">
      <w:start w:val="0"/>
      <w:numFmt w:val="bullet"/>
      <w:lvlText w:val="•"/>
      <w:lvlJc w:val="left"/>
      <w:pPr>
        <w:ind w:left="7259" w:hanging="360"/>
      </w:pPr>
      <w:rPr>
        <w:rFonts w:hint="default"/>
        <w:lang w:val="es-ES" w:eastAsia="en-US" w:bidi="ar-SA"/>
      </w:rPr>
    </w:lvl>
    <w:lvl w:ilvl="8">
      <w:start w:val="0"/>
      <w:numFmt w:val="bullet"/>
      <w:lvlText w:val="•"/>
      <w:lvlJc w:val="left"/>
      <w:pPr>
        <w:ind w:left="8050" w:hanging="360"/>
      </w:pPr>
      <w:rPr>
        <w:rFonts w:hint="default"/>
        <w:lang w:val="es-ES" w:eastAsia="en-US" w:bidi="ar-SA"/>
      </w:rPr>
    </w:lvl>
  </w:abstractNum>
  <w:abstractNum w:abstractNumId="11">
    <w:multiLevelType w:val="hybridMultilevel"/>
    <w:lvl w:ilvl="0">
      <w:start w:val="0"/>
      <w:numFmt w:val="bullet"/>
      <w:lvlText w:val=""/>
      <w:lvlJc w:val="left"/>
      <w:pPr>
        <w:ind w:left="1714"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511" w:hanging="360"/>
      </w:pPr>
      <w:rPr>
        <w:rFonts w:hint="default"/>
        <w:lang w:val="es-ES" w:eastAsia="en-US" w:bidi="ar-SA"/>
      </w:rPr>
    </w:lvl>
    <w:lvl w:ilvl="2">
      <w:start w:val="0"/>
      <w:numFmt w:val="bullet"/>
      <w:lvlText w:val="•"/>
      <w:lvlJc w:val="left"/>
      <w:pPr>
        <w:ind w:left="3302" w:hanging="360"/>
      </w:pPr>
      <w:rPr>
        <w:rFonts w:hint="default"/>
        <w:lang w:val="es-ES" w:eastAsia="en-US" w:bidi="ar-SA"/>
      </w:rPr>
    </w:lvl>
    <w:lvl w:ilvl="3">
      <w:start w:val="0"/>
      <w:numFmt w:val="bullet"/>
      <w:lvlText w:val="•"/>
      <w:lvlJc w:val="left"/>
      <w:pPr>
        <w:ind w:left="4093" w:hanging="360"/>
      </w:pPr>
      <w:rPr>
        <w:rFonts w:hint="default"/>
        <w:lang w:val="es-ES" w:eastAsia="en-US" w:bidi="ar-SA"/>
      </w:rPr>
    </w:lvl>
    <w:lvl w:ilvl="4">
      <w:start w:val="0"/>
      <w:numFmt w:val="bullet"/>
      <w:lvlText w:val="•"/>
      <w:lvlJc w:val="left"/>
      <w:pPr>
        <w:ind w:left="4885" w:hanging="360"/>
      </w:pPr>
      <w:rPr>
        <w:rFonts w:hint="default"/>
        <w:lang w:val="es-ES" w:eastAsia="en-US" w:bidi="ar-SA"/>
      </w:rPr>
    </w:lvl>
    <w:lvl w:ilvl="5">
      <w:start w:val="0"/>
      <w:numFmt w:val="bullet"/>
      <w:lvlText w:val="•"/>
      <w:lvlJc w:val="left"/>
      <w:pPr>
        <w:ind w:left="5676" w:hanging="360"/>
      </w:pPr>
      <w:rPr>
        <w:rFonts w:hint="default"/>
        <w:lang w:val="es-ES" w:eastAsia="en-US" w:bidi="ar-SA"/>
      </w:rPr>
    </w:lvl>
    <w:lvl w:ilvl="6">
      <w:start w:val="0"/>
      <w:numFmt w:val="bullet"/>
      <w:lvlText w:val="•"/>
      <w:lvlJc w:val="left"/>
      <w:pPr>
        <w:ind w:left="6467" w:hanging="360"/>
      </w:pPr>
      <w:rPr>
        <w:rFonts w:hint="default"/>
        <w:lang w:val="es-ES" w:eastAsia="en-US" w:bidi="ar-SA"/>
      </w:rPr>
    </w:lvl>
    <w:lvl w:ilvl="7">
      <w:start w:val="0"/>
      <w:numFmt w:val="bullet"/>
      <w:lvlText w:val="•"/>
      <w:lvlJc w:val="left"/>
      <w:pPr>
        <w:ind w:left="7259" w:hanging="360"/>
      </w:pPr>
      <w:rPr>
        <w:rFonts w:hint="default"/>
        <w:lang w:val="es-ES" w:eastAsia="en-US" w:bidi="ar-SA"/>
      </w:rPr>
    </w:lvl>
    <w:lvl w:ilvl="8">
      <w:start w:val="0"/>
      <w:numFmt w:val="bullet"/>
      <w:lvlText w:val="•"/>
      <w:lvlJc w:val="left"/>
      <w:pPr>
        <w:ind w:left="8050" w:hanging="360"/>
      </w:pPr>
      <w:rPr>
        <w:rFonts w:hint="default"/>
        <w:lang w:val="es-ES" w:eastAsia="en-US" w:bidi="ar-SA"/>
      </w:rPr>
    </w:lvl>
  </w:abstractNum>
  <w:abstractNum w:abstractNumId="12">
    <w:multiLevelType w:val="hybridMultilevel"/>
    <w:lvl w:ilvl="0">
      <w:start w:val="0"/>
      <w:numFmt w:val="bullet"/>
      <w:lvlText w:val=""/>
      <w:lvlJc w:val="left"/>
      <w:pPr>
        <w:ind w:left="1714"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511" w:hanging="360"/>
      </w:pPr>
      <w:rPr>
        <w:rFonts w:hint="default"/>
        <w:lang w:val="es-ES" w:eastAsia="en-US" w:bidi="ar-SA"/>
      </w:rPr>
    </w:lvl>
    <w:lvl w:ilvl="2">
      <w:start w:val="0"/>
      <w:numFmt w:val="bullet"/>
      <w:lvlText w:val="•"/>
      <w:lvlJc w:val="left"/>
      <w:pPr>
        <w:ind w:left="3302" w:hanging="360"/>
      </w:pPr>
      <w:rPr>
        <w:rFonts w:hint="default"/>
        <w:lang w:val="es-ES" w:eastAsia="en-US" w:bidi="ar-SA"/>
      </w:rPr>
    </w:lvl>
    <w:lvl w:ilvl="3">
      <w:start w:val="0"/>
      <w:numFmt w:val="bullet"/>
      <w:lvlText w:val="•"/>
      <w:lvlJc w:val="left"/>
      <w:pPr>
        <w:ind w:left="4093" w:hanging="360"/>
      </w:pPr>
      <w:rPr>
        <w:rFonts w:hint="default"/>
        <w:lang w:val="es-ES" w:eastAsia="en-US" w:bidi="ar-SA"/>
      </w:rPr>
    </w:lvl>
    <w:lvl w:ilvl="4">
      <w:start w:val="0"/>
      <w:numFmt w:val="bullet"/>
      <w:lvlText w:val="•"/>
      <w:lvlJc w:val="left"/>
      <w:pPr>
        <w:ind w:left="4885" w:hanging="360"/>
      </w:pPr>
      <w:rPr>
        <w:rFonts w:hint="default"/>
        <w:lang w:val="es-ES" w:eastAsia="en-US" w:bidi="ar-SA"/>
      </w:rPr>
    </w:lvl>
    <w:lvl w:ilvl="5">
      <w:start w:val="0"/>
      <w:numFmt w:val="bullet"/>
      <w:lvlText w:val="•"/>
      <w:lvlJc w:val="left"/>
      <w:pPr>
        <w:ind w:left="5676" w:hanging="360"/>
      </w:pPr>
      <w:rPr>
        <w:rFonts w:hint="default"/>
        <w:lang w:val="es-ES" w:eastAsia="en-US" w:bidi="ar-SA"/>
      </w:rPr>
    </w:lvl>
    <w:lvl w:ilvl="6">
      <w:start w:val="0"/>
      <w:numFmt w:val="bullet"/>
      <w:lvlText w:val="•"/>
      <w:lvlJc w:val="left"/>
      <w:pPr>
        <w:ind w:left="6467" w:hanging="360"/>
      </w:pPr>
      <w:rPr>
        <w:rFonts w:hint="default"/>
        <w:lang w:val="es-ES" w:eastAsia="en-US" w:bidi="ar-SA"/>
      </w:rPr>
    </w:lvl>
    <w:lvl w:ilvl="7">
      <w:start w:val="0"/>
      <w:numFmt w:val="bullet"/>
      <w:lvlText w:val="•"/>
      <w:lvlJc w:val="left"/>
      <w:pPr>
        <w:ind w:left="7259" w:hanging="360"/>
      </w:pPr>
      <w:rPr>
        <w:rFonts w:hint="default"/>
        <w:lang w:val="es-ES" w:eastAsia="en-US" w:bidi="ar-SA"/>
      </w:rPr>
    </w:lvl>
    <w:lvl w:ilvl="8">
      <w:start w:val="0"/>
      <w:numFmt w:val="bullet"/>
      <w:lvlText w:val="•"/>
      <w:lvlJc w:val="left"/>
      <w:pPr>
        <w:ind w:left="8050" w:hanging="360"/>
      </w:pPr>
      <w:rPr>
        <w:rFonts w:hint="default"/>
        <w:lang w:val="es-ES" w:eastAsia="en-US" w:bidi="ar-SA"/>
      </w:rPr>
    </w:lvl>
  </w:abstractNum>
  <w:abstractNum w:abstractNumId="9">
    <w:multiLevelType w:val="hybridMultilevel"/>
    <w:lvl w:ilvl="0">
      <w:start w:val="3"/>
      <w:numFmt w:val="decimal"/>
      <w:lvlText w:val="%1."/>
      <w:lvlJc w:val="left"/>
      <w:pPr>
        <w:ind w:left="1426" w:hanging="432"/>
        <w:jc w:val="left"/>
      </w:pPr>
      <w:rPr>
        <w:rFonts w:hint="default" w:ascii="Times New Roman" w:hAnsi="Times New Roman" w:eastAsia="Times New Roman" w:cs="Times New Roman"/>
        <w:b/>
        <w:bCs/>
        <w:i w:val="0"/>
        <w:iCs w:val="0"/>
        <w:spacing w:val="0"/>
        <w:w w:val="100"/>
        <w:sz w:val="28"/>
        <w:szCs w:val="28"/>
        <w:lang w:val="es-ES" w:eastAsia="en-US" w:bidi="ar-SA"/>
      </w:rPr>
    </w:lvl>
    <w:lvl w:ilvl="1">
      <w:start w:val="1"/>
      <w:numFmt w:val="decimal"/>
      <w:lvlText w:val="%1.%2."/>
      <w:lvlJc w:val="left"/>
      <w:pPr>
        <w:ind w:left="1426" w:hanging="432"/>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866" w:hanging="596"/>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1"/>
      <w:numFmt w:val="lowerLetter"/>
      <w:lvlText w:val="%4)"/>
      <w:lvlJc w:val="left"/>
      <w:pPr>
        <w:ind w:left="1714"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4">
      <w:start w:val="0"/>
      <w:numFmt w:val="bullet"/>
      <w:lvlText w:val="•"/>
      <w:lvlJc w:val="left"/>
      <w:pPr>
        <w:ind w:left="3803" w:hanging="360"/>
      </w:pPr>
      <w:rPr>
        <w:rFonts w:hint="default"/>
        <w:lang w:val="es-ES" w:eastAsia="en-US" w:bidi="ar-SA"/>
      </w:rPr>
    </w:lvl>
    <w:lvl w:ilvl="5">
      <w:start w:val="0"/>
      <w:numFmt w:val="bullet"/>
      <w:lvlText w:val="•"/>
      <w:lvlJc w:val="left"/>
      <w:pPr>
        <w:ind w:left="4774" w:hanging="360"/>
      </w:pPr>
      <w:rPr>
        <w:rFonts w:hint="default"/>
        <w:lang w:val="es-ES" w:eastAsia="en-US" w:bidi="ar-SA"/>
      </w:rPr>
    </w:lvl>
    <w:lvl w:ilvl="6">
      <w:start w:val="0"/>
      <w:numFmt w:val="bullet"/>
      <w:lvlText w:val="•"/>
      <w:lvlJc w:val="left"/>
      <w:pPr>
        <w:ind w:left="5746" w:hanging="360"/>
      </w:pPr>
      <w:rPr>
        <w:rFonts w:hint="default"/>
        <w:lang w:val="es-ES" w:eastAsia="en-US" w:bidi="ar-SA"/>
      </w:rPr>
    </w:lvl>
    <w:lvl w:ilvl="7">
      <w:start w:val="0"/>
      <w:numFmt w:val="bullet"/>
      <w:lvlText w:val="•"/>
      <w:lvlJc w:val="left"/>
      <w:pPr>
        <w:ind w:left="6718" w:hanging="360"/>
      </w:pPr>
      <w:rPr>
        <w:rFonts w:hint="default"/>
        <w:lang w:val="es-ES" w:eastAsia="en-US" w:bidi="ar-SA"/>
      </w:rPr>
    </w:lvl>
    <w:lvl w:ilvl="8">
      <w:start w:val="0"/>
      <w:numFmt w:val="bullet"/>
      <w:lvlText w:val="•"/>
      <w:lvlJc w:val="left"/>
      <w:pPr>
        <w:ind w:left="7689" w:hanging="360"/>
      </w:pPr>
      <w:rPr>
        <w:rFonts w:hint="default"/>
        <w:lang w:val="es-ES" w:eastAsia="en-US" w:bidi="ar-SA"/>
      </w:rPr>
    </w:lvl>
  </w:abstractNum>
  <w:abstractNum w:abstractNumId="8">
    <w:multiLevelType w:val="hybridMultilevel"/>
    <w:lvl w:ilvl="0">
      <w:start w:val="2"/>
      <w:numFmt w:val="decimal"/>
      <w:lvlText w:val="%1."/>
      <w:lvlJc w:val="left"/>
      <w:pPr>
        <w:ind w:left="1426" w:hanging="432"/>
        <w:jc w:val="left"/>
      </w:pPr>
      <w:rPr>
        <w:rFonts w:hint="default" w:ascii="Times New Roman" w:hAnsi="Times New Roman" w:eastAsia="Times New Roman" w:cs="Times New Roman"/>
        <w:b/>
        <w:bCs/>
        <w:i w:val="0"/>
        <w:iCs w:val="0"/>
        <w:spacing w:val="0"/>
        <w:w w:val="100"/>
        <w:sz w:val="28"/>
        <w:szCs w:val="28"/>
        <w:lang w:val="es-ES" w:eastAsia="en-US" w:bidi="ar-SA"/>
      </w:rPr>
    </w:lvl>
    <w:lvl w:ilvl="1">
      <w:start w:val="1"/>
      <w:numFmt w:val="decimal"/>
      <w:lvlText w:val="%1.%2."/>
      <w:lvlJc w:val="left"/>
      <w:pPr>
        <w:ind w:left="1426" w:hanging="432"/>
        <w:jc w:val="left"/>
      </w:pPr>
      <w:rPr>
        <w:rFonts w:hint="default"/>
        <w:spacing w:val="0"/>
        <w:w w:val="100"/>
        <w:lang w:val="es-ES" w:eastAsia="en-US" w:bidi="ar-SA"/>
      </w:rPr>
    </w:lvl>
    <w:lvl w:ilvl="2">
      <w:start w:val="1"/>
      <w:numFmt w:val="decimal"/>
      <w:lvlText w:val="%1.%2.%3."/>
      <w:lvlJc w:val="left"/>
      <w:pPr>
        <w:ind w:left="1702" w:hanging="708"/>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1714" w:hanging="360"/>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698" w:hanging="360"/>
      </w:pPr>
      <w:rPr>
        <w:rFonts w:hint="default"/>
        <w:lang w:val="es-ES" w:eastAsia="en-US" w:bidi="ar-SA"/>
      </w:rPr>
    </w:lvl>
    <w:lvl w:ilvl="5">
      <w:start w:val="0"/>
      <w:numFmt w:val="bullet"/>
      <w:lvlText w:val="•"/>
      <w:lvlJc w:val="left"/>
      <w:pPr>
        <w:ind w:left="4687" w:hanging="360"/>
      </w:pPr>
      <w:rPr>
        <w:rFonts w:hint="default"/>
        <w:lang w:val="es-ES" w:eastAsia="en-US" w:bidi="ar-SA"/>
      </w:rPr>
    </w:lvl>
    <w:lvl w:ilvl="6">
      <w:start w:val="0"/>
      <w:numFmt w:val="bullet"/>
      <w:lvlText w:val="•"/>
      <w:lvlJc w:val="left"/>
      <w:pPr>
        <w:ind w:left="5676" w:hanging="360"/>
      </w:pPr>
      <w:rPr>
        <w:rFonts w:hint="default"/>
        <w:lang w:val="es-ES" w:eastAsia="en-US" w:bidi="ar-SA"/>
      </w:rPr>
    </w:lvl>
    <w:lvl w:ilvl="7">
      <w:start w:val="0"/>
      <w:numFmt w:val="bullet"/>
      <w:lvlText w:val="•"/>
      <w:lvlJc w:val="left"/>
      <w:pPr>
        <w:ind w:left="6665" w:hanging="360"/>
      </w:pPr>
      <w:rPr>
        <w:rFonts w:hint="default"/>
        <w:lang w:val="es-ES" w:eastAsia="en-US" w:bidi="ar-SA"/>
      </w:rPr>
    </w:lvl>
    <w:lvl w:ilvl="8">
      <w:start w:val="0"/>
      <w:numFmt w:val="bullet"/>
      <w:lvlText w:val="•"/>
      <w:lvlJc w:val="left"/>
      <w:pPr>
        <w:ind w:left="7654" w:hanging="360"/>
      </w:pPr>
      <w:rPr>
        <w:rFonts w:hint="default"/>
        <w:lang w:val="es-ES" w:eastAsia="en-US" w:bidi="ar-SA"/>
      </w:rPr>
    </w:lvl>
  </w:abstractNum>
  <w:abstractNum w:abstractNumId="7">
    <w:multiLevelType w:val="hybridMultilevel"/>
    <w:lvl w:ilvl="0">
      <w:start w:val="1"/>
      <w:numFmt w:val="decimal"/>
      <w:lvlText w:val="%1"/>
      <w:lvlJc w:val="left"/>
      <w:pPr>
        <w:ind w:left="1426" w:hanging="432"/>
        <w:jc w:val="left"/>
      </w:pPr>
      <w:rPr>
        <w:rFonts w:hint="default"/>
        <w:lang w:val="es-ES" w:eastAsia="en-US" w:bidi="ar-SA"/>
      </w:rPr>
    </w:lvl>
    <w:lvl w:ilvl="1">
      <w:start w:val="1"/>
      <w:numFmt w:val="decimal"/>
      <w:lvlText w:val="%1.%2."/>
      <w:lvlJc w:val="left"/>
      <w:pPr>
        <w:ind w:left="1426" w:hanging="432"/>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702" w:hanging="708"/>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1714" w:hanging="360"/>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698" w:hanging="360"/>
      </w:pPr>
      <w:rPr>
        <w:rFonts w:hint="default"/>
        <w:lang w:val="es-ES" w:eastAsia="en-US" w:bidi="ar-SA"/>
      </w:rPr>
    </w:lvl>
    <w:lvl w:ilvl="5">
      <w:start w:val="0"/>
      <w:numFmt w:val="bullet"/>
      <w:lvlText w:val="•"/>
      <w:lvlJc w:val="left"/>
      <w:pPr>
        <w:ind w:left="4687" w:hanging="360"/>
      </w:pPr>
      <w:rPr>
        <w:rFonts w:hint="default"/>
        <w:lang w:val="es-ES" w:eastAsia="en-US" w:bidi="ar-SA"/>
      </w:rPr>
    </w:lvl>
    <w:lvl w:ilvl="6">
      <w:start w:val="0"/>
      <w:numFmt w:val="bullet"/>
      <w:lvlText w:val="•"/>
      <w:lvlJc w:val="left"/>
      <w:pPr>
        <w:ind w:left="5676" w:hanging="360"/>
      </w:pPr>
      <w:rPr>
        <w:rFonts w:hint="default"/>
        <w:lang w:val="es-ES" w:eastAsia="en-US" w:bidi="ar-SA"/>
      </w:rPr>
    </w:lvl>
    <w:lvl w:ilvl="7">
      <w:start w:val="0"/>
      <w:numFmt w:val="bullet"/>
      <w:lvlText w:val="•"/>
      <w:lvlJc w:val="left"/>
      <w:pPr>
        <w:ind w:left="6665" w:hanging="360"/>
      </w:pPr>
      <w:rPr>
        <w:rFonts w:hint="default"/>
        <w:lang w:val="es-ES" w:eastAsia="en-US" w:bidi="ar-SA"/>
      </w:rPr>
    </w:lvl>
    <w:lvl w:ilvl="8">
      <w:start w:val="0"/>
      <w:numFmt w:val="bullet"/>
      <w:lvlText w:val="•"/>
      <w:lvlJc w:val="left"/>
      <w:pPr>
        <w:ind w:left="7654" w:hanging="360"/>
      </w:pPr>
      <w:rPr>
        <w:rFonts w:hint="default"/>
        <w:lang w:val="es-ES" w:eastAsia="en-US" w:bidi="ar-SA"/>
      </w:rPr>
    </w:lvl>
  </w:abstractNum>
  <w:abstractNum w:abstractNumId="6">
    <w:multiLevelType w:val="hybridMultilevel"/>
    <w:lvl w:ilvl="0">
      <w:start w:val="1"/>
      <w:numFmt w:val="decimal"/>
      <w:lvlText w:val="%1."/>
      <w:lvlJc w:val="left"/>
      <w:pPr>
        <w:ind w:left="1234" w:hanging="2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079" w:hanging="240"/>
      </w:pPr>
      <w:rPr>
        <w:rFonts w:hint="default"/>
        <w:lang w:val="es-ES" w:eastAsia="en-US" w:bidi="ar-SA"/>
      </w:rPr>
    </w:lvl>
    <w:lvl w:ilvl="2">
      <w:start w:val="0"/>
      <w:numFmt w:val="bullet"/>
      <w:lvlText w:val="•"/>
      <w:lvlJc w:val="left"/>
      <w:pPr>
        <w:ind w:left="2918" w:hanging="240"/>
      </w:pPr>
      <w:rPr>
        <w:rFonts w:hint="default"/>
        <w:lang w:val="es-ES" w:eastAsia="en-US" w:bidi="ar-SA"/>
      </w:rPr>
    </w:lvl>
    <w:lvl w:ilvl="3">
      <w:start w:val="0"/>
      <w:numFmt w:val="bullet"/>
      <w:lvlText w:val="•"/>
      <w:lvlJc w:val="left"/>
      <w:pPr>
        <w:ind w:left="3757" w:hanging="240"/>
      </w:pPr>
      <w:rPr>
        <w:rFonts w:hint="default"/>
        <w:lang w:val="es-ES" w:eastAsia="en-US" w:bidi="ar-SA"/>
      </w:rPr>
    </w:lvl>
    <w:lvl w:ilvl="4">
      <w:start w:val="0"/>
      <w:numFmt w:val="bullet"/>
      <w:lvlText w:val="•"/>
      <w:lvlJc w:val="left"/>
      <w:pPr>
        <w:ind w:left="4597" w:hanging="240"/>
      </w:pPr>
      <w:rPr>
        <w:rFonts w:hint="default"/>
        <w:lang w:val="es-ES" w:eastAsia="en-US" w:bidi="ar-SA"/>
      </w:rPr>
    </w:lvl>
    <w:lvl w:ilvl="5">
      <w:start w:val="0"/>
      <w:numFmt w:val="bullet"/>
      <w:lvlText w:val="•"/>
      <w:lvlJc w:val="left"/>
      <w:pPr>
        <w:ind w:left="5436" w:hanging="240"/>
      </w:pPr>
      <w:rPr>
        <w:rFonts w:hint="default"/>
        <w:lang w:val="es-ES" w:eastAsia="en-US" w:bidi="ar-SA"/>
      </w:rPr>
    </w:lvl>
    <w:lvl w:ilvl="6">
      <w:start w:val="0"/>
      <w:numFmt w:val="bullet"/>
      <w:lvlText w:val="•"/>
      <w:lvlJc w:val="left"/>
      <w:pPr>
        <w:ind w:left="6275" w:hanging="240"/>
      </w:pPr>
      <w:rPr>
        <w:rFonts w:hint="default"/>
        <w:lang w:val="es-ES" w:eastAsia="en-US" w:bidi="ar-SA"/>
      </w:rPr>
    </w:lvl>
    <w:lvl w:ilvl="7">
      <w:start w:val="0"/>
      <w:numFmt w:val="bullet"/>
      <w:lvlText w:val="•"/>
      <w:lvlJc w:val="left"/>
      <w:pPr>
        <w:ind w:left="7115" w:hanging="240"/>
      </w:pPr>
      <w:rPr>
        <w:rFonts w:hint="default"/>
        <w:lang w:val="es-ES" w:eastAsia="en-US" w:bidi="ar-SA"/>
      </w:rPr>
    </w:lvl>
    <w:lvl w:ilvl="8">
      <w:start w:val="0"/>
      <w:numFmt w:val="bullet"/>
      <w:lvlText w:val="•"/>
      <w:lvlJc w:val="left"/>
      <w:pPr>
        <w:ind w:left="7954" w:hanging="240"/>
      </w:pPr>
      <w:rPr>
        <w:rFonts w:hint="default"/>
        <w:lang w:val="es-ES" w:eastAsia="en-US" w:bidi="ar-SA"/>
      </w:rPr>
    </w:lvl>
  </w:abstractNum>
  <w:abstractNum w:abstractNumId="5">
    <w:multiLevelType w:val="hybridMultilevel"/>
    <w:lvl w:ilvl="0">
      <w:start w:val="1"/>
      <w:numFmt w:val="decimal"/>
      <w:lvlText w:val="%1."/>
      <w:lvlJc w:val="left"/>
      <w:pPr>
        <w:ind w:left="1234" w:hanging="2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079" w:hanging="240"/>
      </w:pPr>
      <w:rPr>
        <w:rFonts w:hint="default"/>
        <w:lang w:val="es-ES" w:eastAsia="en-US" w:bidi="ar-SA"/>
      </w:rPr>
    </w:lvl>
    <w:lvl w:ilvl="2">
      <w:start w:val="0"/>
      <w:numFmt w:val="bullet"/>
      <w:lvlText w:val="•"/>
      <w:lvlJc w:val="left"/>
      <w:pPr>
        <w:ind w:left="2918" w:hanging="240"/>
      </w:pPr>
      <w:rPr>
        <w:rFonts w:hint="default"/>
        <w:lang w:val="es-ES" w:eastAsia="en-US" w:bidi="ar-SA"/>
      </w:rPr>
    </w:lvl>
    <w:lvl w:ilvl="3">
      <w:start w:val="0"/>
      <w:numFmt w:val="bullet"/>
      <w:lvlText w:val="•"/>
      <w:lvlJc w:val="left"/>
      <w:pPr>
        <w:ind w:left="3757" w:hanging="240"/>
      </w:pPr>
      <w:rPr>
        <w:rFonts w:hint="default"/>
        <w:lang w:val="es-ES" w:eastAsia="en-US" w:bidi="ar-SA"/>
      </w:rPr>
    </w:lvl>
    <w:lvl w:ilvl="4">
      <w:start w:val="0"/>
      <w:numFmt w:val="bullet"/>
      <w:lvlText w:val="•"/>
      <w:lvlJc w:val="left"/>
      <w:pPr>
        <w:ind w:left="4597" w:hanging="240"/>
      </w:pPr>
      <w:rPr>
        <w:rFonts w:hint="default"/>
        <w:lang w:val="es-ES" w:eastAsia="en-US" w:bidi="ar-SA"/>
      </w:rPr>
    </w:lvl>
    <w:lvl w:ilvl="5">
      <w:start w:val="0"/>
      <w:numFmt w:val="bullet"/>
      <w:lvlText w:val="•"/>
      <w:lvlJc w:val="left"/>
      <w:pPr>
        <w:ind w:left="5436" w:hanging="240"/>
      </w:pPr>
      <w:rPr>
        <w:rFonts w:hint="default"/>
        <w:lang w:val="es-ES" w:eastAsia="en-US" w:bidi="ar-SA"/>
      </w:rPr>
    </w:lvl>
    <w:lvl w:ilvl="6">
      <w:start w:val="0"/>
      <w:numFmt w:val="bullet"/>
      <w:lvlText w:val="•"/>
      <w:lvlJc w:val="left"/>
      <w:pPr>
        <w:ind w:left="6275" w:hanging="240"/>
      </w:pPr>
      <w:rPr>
        <w:rFonts w:hint="default"/>
        <w:lang w:val="es-ES" w:eastAsia="en-US" w:bidi="ar-SA"/>
      </w:rPr>
    </w:lvl>
    <w:lvl w:ilvl="7">
      <w:start w:val="0"/>
      <w:numFmt w:val="bullet"/>
      <w:lvlText w:val="•"/>
      <w:lvlJc w:val="left"/>
      <w:pPr>
        <w:ind w:left="7115" w:hanging="240"/>
      </w:pPr>
      <w:rPr>
        <w:rFonts w:hint="default"/>
        <w:lang w:val="es-ES" w:eastAsia="en-US" w:bidi="ar-SA"/>
      </w:rPr>
    </w:lvl>
    <w:lvl w:ilvl="8">
      <w:start w:val="0"/>
      <w:numFmt w:val="bullet"/>
      <w:lvlText w:val="•"/>
      <w:lvlJc w:val="left"/>
      <w:pPr>
        <w:ind w:left="7954" w:hanging="240"/>
      </w:pPr>
      <w:rPr>
        <w:rFonts w:hint="default"/>
        <w:lang w:val="es-ES" w:eastAsia="en-US" w:bidi="ar-SA"/>
      </w:rPr>
    </w:lvl>
  </w:abstractNum>
  <w:abstractNum w:abstractNumId="4">
    <w:multiLevelType w:val="hybridMultilevel"/>
    <w:lvl w:ilvl="0">
      <w:start w:val="1"/>
      <w:numFmt w:val="decimal"/>
      <w:lvlText w:val="%1."/>
      <w:lvlJc w:val="left"/>
      <w:pPr>
        <w:ind w:left="1234" w:hanging="2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079" w:hanging="240"/>
      </w:pPr>
      <w:rPr>
        <w:rFonts w:hint="default"/>
        <w:lang w:val="es-ES" w:eastAsia="en-US" w:bidi="ar-SA"/>
      </w:rPr>
    </w:lvl>
    <w:lvl w:ilvl="2">
      <w:start w:val="0"/>
      <w:numFmt w:val="bullet"/>
      <w:lvlText w:val="•"/>
      <w:lvlJc w:val="left"/>
      <w:pPr>
        <w:ind w:left="2918" w:hanging="240"/>
      </w:pPr>
      <w:rPr>
        <w:rFonts w:hint="default"/>
        <w:lang w:val="es-ES" w:eastAsia="en-US" w:bidi="ar-SA"/>
      </w:rPr>
    </w:lvl>
    <w:lvl w:ilvl="3">
      <w:start w:val="0"/>
      <w:numFmt w:val="bullet"/>
      <w:lvlText w:val="•"/>
      <w:lvlJc w:val="left"/>
      <w:pPr>
        <w:ind w:left="3757" w:hanging="240"/>
      </w:pPr>
      <w:rPr>
        <w:rFonts w:hint="default"/>
        <w:lang w:val="es-ES" w:eastAsia="en-US" w:bidi="ar-SA"/>
      </w:rPr>
    </w:lvl>
    <w:lvl w:ilvl="4">
      <w:start w:val="0"/>
      <w:numFmt w:val="bullet"/>
      <w:lvlText w:val="•"/>
      <w:lvlJc w:val="left"/>
      <w:pPr>
        <w:ind w:left="4597" w:hanging="240"/>
      </w:pPr>
      <w:rPr>
        <w:rFonts w:hint="default"/>
        <w:lang w:val="es-ES" w:eastAsia="en-US" w:bidi="ar-SA"/>
      </w:rPr>
    </w:lvl>
    <w:lvl w:ilvl="5">
      <w:start w:val="0"/>
      <w:numFmt w:val="bullet"/>
      <w:lvlText w:val="•"/>
      <w:lvlJc w:val="left"/>
      <w:pPr>
        <w:ind w:left="5436" w:hanging="240"/>
      </w:pPr>
      <w:rPr>
        <w:rFonts w:hint="default"/>
        <w:lang w:val="es-ES" w:eastAsia="en-US" w:bidi="ar-SA"/>
      </w:rPr>
    </w:lvl>
    <w:lvl w:ilvl="6">
      <w:start w:val="0"/>
      <w:numFmt w:val="bullet"/>
      <w:lvlText w:val="•"/>
      <w:lvlJc w:val="left"/>
      <w:pPr>
        <w:ind w:left="6275" w:hanging="240"/>
      </w:pPr>
      <w:rPr>
        <w:rFonts w:hint="default"/>
        <w:lang w:val="es-ES" w:eastAsia="en-US" w:bidi="ar-SA"/>
      </w:rPr>
    </w:lvl>
    <w:lvl w:ilvl="7">
      <w:start w:val="0"/>
      <w:numFmt w:val="bullet"/>
      <w:lvlText w:val="•"/>
      <w:lvlJc w:val="left"/>
      <w:pPr>
        <w:ind w:left="7115" w:hanging="240"/>
      </w:pPr>
      <w:rPr>
        <w:rFonts w:hint="default"/>
        <w:lang w:val="es-ES" w:eastAsia="en-US" w:bidi="ar-SA"/>
      </w:rPr>
    </w:lvl>
    <w:lvl w:ilvl="8">
      <w:start w:val="0"/>
      <w:numFmt w:val="bullet"/>
      <w:lvlText w:val="•"/>
      <w:lvlJc w:val="left"/>
      <w:pPr>
        <w:ind w:left="7954" w:hanging="240"/>
      </w:pPr>
      <w:rPr>
        <w:rFonts w:hint="default"/>
        <w:lang w:val="es-ES" w:eastAsia="en-US" w:bidi="ar-SA"/>
      </w:rPr>
    </w:lvl>
  </w:abstractNum>
  <w:abstractNum w:abstractNumId="3">
    <w:multiLevelType w:val="hybridMultilevel"/>
    <w:lvl w:ilvl="0">
      <w:start w:val="5"/>
      <w:numFmt w:val="decimal"/>
      <w:lvlText w:val="%1."/>
      <w:lvlJc w:val="left"/>
      <w:pPr>
        <w:ind w:left="1662" w:hanging="656"/>
        <w:jc w:val="left"/>
      </w:pPr>
      <w:rPr>
        <w:rFonts w:hint="default" w:ascii="Times New Roman" w:hAnsi="Times New Roman" w:eastAsia="Times New Roman" w:cs="Times New Roman"/>
        <w:b w:val="0"/>
        <w:bCs w:val="0"/>
        <w:i w:val="0"/>
        <w:iCs w:val="0"/>
        <w:spacing w:val="-4"/>
        <w:w w:val="100"/>
        <w:sz w:val="24"/>
        <w:szCs w:val="24"/>
        <w:lang w:val="es-ES" w:eastAsia="en-US" w:bidi="ar-SA"/>
      </w:rPr>
    </w:lvl>
    <w:lvl w:ilvl="1">
      <w:start w:val="1"/>
      <w:numFmt w:val="decimal"/>
      <w:lvlText w:val="%1.%2."/>
      <w:lvlJc w:val="left"/>
      <w:pPr>
        <w:ind w:left="1602" w:hanging="596"/>
        <w:jc w:val="left"/>
      </w:pPr>
      <w:rPr>
        <w:rFonts w:hint="default" w:ascii="Times New Roman" w:hAnsi="Times New Roman" w:eastAsia="Times New Roman" w:cs="Times New Roman"/>
        <w:b w:val="0"/>
        <w:bCs w:val="0"/>
        <w:i w:val="0"/>
        <w:iCs w:val="0"/>
        <w:spacing w:val="-4"/>
        <w:w w:val="100"/>
        <w:sz w:val="24"/>
        <w:szCs w:val="24"/>
        <w:lang w:val="es-ES" w:eastAsia="en-US" w:bidi="ar-SA"/>
      </w:rPr>
    </w:lvl>
    <w:lvl w:ilvl="2">
      <w:start w:val="0"/>
      <w:numFmt w:val="bullet"/>
      <w:lvlText w:val="•"/>
      <w:lvlJc w:val="left"/>
      <w:pPr>
        <w:ind w:left="2545" w:hanging="596"/>
      </w:pPr>
      <w:rPr>
        <w:rFonts w:hint="default"/>
        <w:lang w:val="es-ES" w:eastAsia="en-US" w:bidi="ar-SA"/>
      </w:rPr>
    </w:lvl>
    <w:lvl w:ilvl="3">
      <w:start w:val="0"/>
      <w:numFmt w:val="bullet"/>
      <w:lvlText w:val="•"/>
      <w:lvlJc w:val="left"/>
      <w:pPr>
        <w:ind w:left="3431" w:hanging="596"/>
      </w:pPr>
      <w:rPr>
        <w:rFonts w:hint="default"/>
        <w:lang w:val="es-ES" w:eastAsia="en-US" w:bidi="ar-SA"/>
      </w:rPr>
    </w:lvl>
    <w:lvl w:ilvl="4">
      <w:start w:val="0"/>
      <w:numFmt w:val="bullet"/>
      <w:lvlText w:val="•"/>
      <w:lvlJc w:val="left"/>
      <w:pPr>
        <w:ind w:left="4317" w:hanging="596"/>
      </w:pPr>
      <w:rPr>
        <w:rFonts w:hint="default"/>
        <w:lang w:val="es-ES" w:eastAsia="en-US" w:bidi="ar-SA"/>
      </w:rPr>
    </w:lvl>
    <w:lvl w:ilvl="5">
      <w:start w:val="0"/>
      <w:numFmt w:val="bullet"/>
      <w:lvlText w:val="•"/>
      <w:lvlJc w:val="left"/>
      <w:pPr>
        <w:ind w:left="5203" w:hanging="596"/>
      </w:pPr>
      <w:rPr>
        <w:rFonts w:hint="default"/>
        <w:lang w:val="es-ES" w:eastAsia="en-US" w:bidi="ar-SA"/>
      </w:rPr>
    </w:lvl>
    <w:lvl w:ilvl="6">
      <w:start w:val="0"/>
      <w:numFmt w:val="bullet"/>
      <w:lvlText w:val="•"/>
      <w:lvlJc w:val="left"/>
      <w:pPr>
        <w:ind w:left="6089" w:hanging="596"/>
      </w:pPr>
      <w:rPr>
        <w:rFonts w:hint="default"/>
        <w:lang w:val="es-ES" w:eastAsia="en-US" w:bidi="ar-SA"/>
      </w:rPr>
    </w:lvl>
    <w:lvl w:ilvl="7">
      <w:start w:val="0"/>
      <w:numFmt w:val="bullet"/>
      <w:lvlText w:val="•"/>
      <w:lvlJc w:val="left"/>
      <w:pPr>
        <w:ind w:left="6975" w:hanging="596"/>
      </w:pPr>
      <w:rPr>
        <w:rFonts w:hint="default"/>
        <w:lang w:val="es-ES" w:eastAsia="en-US" w:bidi="ar-SA"/>
      </w:rPr>
    </w:lvl>
    <w:lvl w:ilvl="8">
      <w:start w:val="0"/>
      <w:numFmt w:val="bullet"/>
      <w:lvlText w:val="•"/>
      <w:lvlJc w:val="left"/>
      <w:pPr>
        <w:ind w:left="7861" w:hanging="596"/>
      </w:pPr>
      <w:rPr>
        <w:rFonts w:hint="default"/>
        <w:lang w:val="es-ES" w:eastAsia="en-US" w:bidi="ar-SA"/>
      </w:rPr>
    </w:lvl>
  </w:abstractNum>
  <w:abstractNum w:abstractNumId="2">
    <w:multiLevelType w:val="hybridMultilevel"/>
    <w:lvl w:ilvl="0">
      <w:start w:val="4"/>
      <w:numFmt w:val="decimal"/>
      <w:lvlText w:val="%1"/>
      <w:lvlJc w:val="left"/>
      <w:pPr>
        <w:ind w:left="1602" w:hanging="596"/>
        <w:jc w:val="left"/>
      </w:pPr>
      <w:rPr>
        <w:rFonts w:hint="default"/>
        <w:lang w:val="es-ES" w:eastAsia="en-US" w:bidi="ar-SA"/>
      </w:rPr>
    </w:lvl>
    <w:lvl w:ilvl="1">
      <w:start w:val="2"/>
      <w:numFmt w:val="decimal"/>
      <w:lvlText w:val="%1.%2."/>
      <w:lvlJc w:val="left"/>
      <w:pPr>
        <w:ind w:left="1602" w:hanging="596"/>
        <w:jc w:val="left"/>
      </w:pPr>
      <w:rPr>
        <w:rFonts w:hint="default" w:ascii="Times New Roman" w:hAnsi="Times New Roman" w:eastAsia="Times New Roman" w:cs="Times New Roman"/>
        <w:b w:val="0"/>
        <w:bCs w:val="0"/>
        <w:i w:val="0"/>
        <w:iCs w:val="0"/>
        <w:spacing w:val="-4"/>
        <w:w w:val="100"/>
        <w:sz w:val="24"/>
        <w:szCs w:val="24"/>
        <w:lang w:val="es-ES" w:eastAsia="en-US" w:bidi="ar-SA"/>
      </w:rPr>
    </w:lvl>
    <w:lvl w:ilvl="2">
      <w:start w:val="1"/>
      <w:numFmt w:val="decimal"/>
      <w:lvlText w:val="%1.%2.%3."/>
      <w:lvlJc w:val="left"/>
      <w:pPr>
        <w:ind w:left="1722" w:hanging="716"/>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478" w:hanging="716"/>
      </w:pPr>
      <w:rPr>
        <w:rFonts w:hint="default"/>
        <w:lang w:val="es-ES" w:eastAsia="en-US" w:bidi="ar-SA"/>
      </w:rPr>
    </w:lvl>
    <w:lvl w:ilvl="4">
      <w:start w:val="0"/>
      <w:numFmt w:val="bullet"/>
      <w:lvlText w:val="•"/>
      <w:lvlJc w:val="left"/>
      <w:pPr>
        <w:ind w:left="4357" w:hanging="716"/>
      </w:pPr>
      <w:rPr>
        <w:rFonts w:hint="default"/>
        <w:lang w:val="es-ES" w:eastAsia="en-US" w:bidi="ar-SA"/>
      </w:rPr>
    </w:lvl>
    <w:lvl w:ilvl="5">
      <w:start w:val="0"/>
      <w:numFmt w:val="bullet"/>
      <w:lvlText w:val="•"/>
      <w:lvlJc w:val="left"/>
      <w:pPr>
        <w:ind w:left="5236" w:hanging="716"/>
      </w:pPr>
      <w:rPr>
        <w:rFonts w:hint="default"/>
        <w:lang w:val="es-ES" w:eastAsia="en-US" w:bidi="ar-SA"/>
      </w:rPr>
    </w:lvl>
    <w:lvl w:ilvl="6">
      <w:start w:val="0"/>
      <w:numFmt w:val="bullet"/>
      <w:lvlText w:val="•"/>
      <w:lvlJc w:val="left"/>
      <w:pPr>
        <w:ind w:left="6116" w:hanging="716"/>
      </w:pPr>
      <w:rPr>
        <w:rFonts w:hint="default"/>
        <w:lang w:val="es-ES" w:eastAsia="en-US" w:bidi="ar-SA"/>
      </w:rPr>
    </w:lvl>
    <w:lvl w:ilvl="7">
      <w:start w:val="0"/>
      <w:numFmt w:val="bullet"/>
      <w:lvlText w:val="•"/>
      <w:lvlJc w:val="left"/>
      <w:pPr>
        <w:ind w:left="6995" w:hanging="716"/>
      </w:pPr>
      <w:rPr>
        <w:rFonts w:hint="default"/>
        <w:lang w:val="es-ES" w:eastAsia="en-US" w:bidi="ar-SA"/>
      </w:rPr>
    </w:lvl>
    <w:lvl w:ilvl="8">
      <w:start w:val="0"/>
      <w:numFmt w:val="bullet"/>
      <w:lvlText w:val="•"/>
      <w:lvlJc w:val="left"/>
      <w:pPr>
        <w:ind w:left="7874" w:hanging="716"/>
      </w:pPr>
      <w:rPr>
        <w:rFonts w:hint="default"/>
        <w:lang w:val="es-ES" w:eastAsia="en-US" w:bidi="ar-SA"/>
      </w:rPr>
    </w:lvl>
  </w:abstractNum>
  <w:abstractNum w:abstractNumId="1">
    <w:multiLevelType w:val="hybridMultilevel"/>
    <w:lvl w:ilvl="0">
      <w:start w:val="2"/>
      <w:numFmt w:val="decimal"/>
      <w:lvlText w:val="%1."/>
      <w:lvlJc w:val="left"/>
      <w:pPr>
        <w:ind w:left="1654" w:hanging="6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1"/>
      <w:numFmt w:val="decimal"/>
      <w:lvlText w:val="%1.%2."/>
      <w:lvlJc w:val="left"/>
      <w:pPr>
        <w:ind w:left="1594" w:hanging="600"/>
        <w:jc w:val="left"/>
      </w:pPr>
      <w:rPr>
        <w:rFonts w:hint="default"/>
        <w:spacing w:val="0"/>
        <w:w w:val="100"/>
        <w:lang w:val="es-ES" w:eastAsia="en-US" w:bidi="ar-SA"/>
      </w:rPr>
    </w:lvl>
    <w:lvl w:ilvl="2">
      <w:start w:val="1"/>
      <w:numFmt w:val="decimal"/>
      <w:lvlText w:val="%1.%2.%3."/>
      <w:lvlJc w:val="left"/>
      <w:pPr>
        <w:ind w:left="1714" w:hanging="7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2709" w:hanging="720"/>
      </w:pPr>
      <w:rPr>
        <w:rFonts w:hint="default"/>
        <w:lang w:val="es-ES" w:eastAsia="en-US" w:bidi="ar-SA"/>
      </w:rPr>
    </w:lvl>
    <w:lvl w:ilvl="4">
      <w:start w:val="0"/>
      <w:numFmt w:val="bullet"/>
      <w:lvlText w:val="•"/>
      <w:lvlJc w:val="left"/>
      <w:pPr>
        <w:ind w:left="3698" w:hanging="720"/>
      </w:pPr>
      <w:rPr>
        <w:rFonts w:hint="default"/>
        <w:lang w:val="es-ES" w:eastAsia="en-US" w:bidi="ar-SA"/>
      </w:rPr>
    </w:lvl>
    <w:lvl w:ilvl="5">
      <w:start w:val="0"/>
      <w:numFmt w:val="bullet"/>
      <w:lvlText w:val="•"/>
      <w:lvlJc w:val="left"/>
      <w:pPr>
        <w:ind w:left="4687" w:hanging="720"/>
      </w:pPr>
      <w:rPr>
        <w:rFonts w:hint="default"/>
        <w:lang w:val="es-ES" w:eastAsia="en-US" w:bidi="ar-SA"/>
      </w:rPr>
    </w:lvl>
    <w:lvl w:ilvl="6">
      <w:start w:val="0"/>
      <w:numFmt w:val="bullet"/>
      <w:lvlText w:val="•"/>
      <w:lvlJc w:val="left"/>
      <w:pPr>
        <w:ind w:left="5676" w:hanging="720"/>
      </w:pPr>
      <w:rPr>
        <w:rFonts w:hint="default"/>
        <w:lang w:val="es-ES" w:eastAsia="en-US" w:bidi="ar-SA"/>
      </w:rPr>
    </w:lvl>
    <w:lvl w:ilvl="7">
      <w:start w:val="0"/>
      <w:numFmt w:val="bullet"/>
      <w:lvlText w:val="•"/>
      <w:lvlJc w:val="left"/>
      <w:pPr>
        <w:ind w:left="6665" w:hanging="720"/>
      </w:pPr>
      <w:rPr>
        <w:rFonts w:hint="default"/>
        <w:lang w:val="es-ES" w:eastAsia="en-US" w:bidi="ar-SA"/>
      </w:rPr>
    </w:lvl>
    <w:lvl w:ilvl="8">
      <w:start w:val="0"/>
      <w:numFmt w:val="bullet"/>
      <w:lvlText w:val="•"/>
      <w:lvlJc w:val="left"/>
      <w:pPr>
        <w:ind w:left="7654" w:hanging="720"/>
      </w:pPr>
      <w:rPr>
        <w:rFonts w:hint="default"/>
        <w:lang w:val="es-ES" w:eastAsia="en-US" w:bidi="ar-SA"/>
      </w:rPr>
    </w:lvl>
  </w:abstractNum>
  <w:abstractNum w:abstractNumId="0">
    <w:multiLevelType w:val="hybridMultilevel"/>
    <w:lvl w:ilvl="0">
      <w:start w:val="1"/>
      <w:numFmt w:val="decimal"/>
      <w:lvlText w:val="%1"/>
      <w:lvlJc w:val="left"/>
      <w:pPr>
        <w:ind w:left="1594" w:hanging="600"/>
        <w:jc w:val="left"/>
      </w:pPr>
      <w:rPr>
        <w:rFonts w:hint="default"/>
        <w:lang w:val="es-ES" w:eastAsia="en-US" w:bidi="ar-SA"/>
      </w:rPr>
    </w:lvl>
    <w:lvl w:ilvl="1">
      <w:start w:val="1"/>
      <w:numFmt w:val="decimal"/>
      <w:lvlText w:val="%1.%2."/>
      <w:lvlJc w:val="left"/>
      <w:pPr>
        <w:ind w:left="1594" w:hanging="60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714" w:hanging="7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478" w:hanging="720"/>
      </w:pPr>
      <w:rPr>
        <w:rFonts w:hint="default"/>
        <w:lang w:val="es-ES" w:eastAsia="en-US" w:bidi="ar-SA"/>
      </w:rPr>
    </w:lvl>
    <w:lvl w:ilvl="4">
      <w:start w:val="0"/>
      <w:numFmt w:val="bullet"/>
      <w:lvlText w:val="•"/>
      <w:lvlJc w:val="left"/>
      <w:pPr>
        <w:ind w:left="4357" w:hanging="720"/>
      </w:pPr>
      <w:rPr>
        <w:rFonts w:hint="default"/>
        <w:lang w:val="es-ES" w:eastAsia="en-US" w:bidi="ar-SA"/>
      </w:rPr>
    </w:lvl>
    <w:lvl w:ilvl="5">
      <w:start w:val="0"/>
      <w:numFmt w:val="bullet"/>
      <w:lvlText w:val="•"/>
      <w:lvlJc w:val="left"/>
      <w:pPr>
        <w:ind w:left="5236" w:hanging="720"/>
      </w:pPr>
      <w:rPr>
        <w:rFonts w:hint="default"/>
        <w:lang w:val="es-ES" w:eastAsia="en-US" w:bidi="ar-SA"/>
      </w:rPr>
    </w:lvl>
    <w:lvl w:ilvl="6">
      <w:start w:val="0"/>
      <w:numFmt w:val="bullet"/>
      <w:lvlText w:val="•"/>
      <w:lvlJc w:val="left"/>
      <w:pPr>
        <w:ind w:left="6116" w:hanging="720"/>
      </w:pPr>
      <w:rPr>
        <w:rFonts w:hint="default"/>
        <w:lang w:val="es-ES" w:eastAsia="en-US" w:bidi="ar-SA"/>
      </w:rPr>
    </w:lvl>
    <w:lvl w:ilvl="7">
      <w:start w:val="0"/>
      <w:numFmt w:val="bullet"/>
      <w:lvlText w:val="•"/>
      <w:lvlJc w:val="left"/>
      <w:pPr>
        <w:ind w:left="6995" w:hanging="720"/>
      </w:pPr>
      <w:rPr>
        <w:rFonts w:hint="default"/>
        <w:lang w:val="es-ES" w:eastAsia="en-US" w:bidi="ar-SA"/>
      </w:rPr>
    </w:lvl>
    <w:lvl w:ilvl="8">
      <w:start w:val="0"/>
      <w:numFmt w:val="bullet"/>
      <w:lvlText w:val="•"/>
      <w:lvlJc w:val="left"/>
      <w:pPr>
        <w:ind w:left="7874" w:hanging="720"/>
      </w:pPr>
      <w:rPr>
        <w:rFonts w:hint="default"/>
        <w:lang w:val="es-ES" w:eastAsia="en-US" w:bidi="ar-SA"/>
      </w:rPr>
    </w:lvl>
  </w:abstractNum>
  <w:num w:numId="18">
    <w:abstractNumId w:val="17"/>
  </w:num>
  <w:num w:numId="17">
    <w:abstractNumId w:val="16"/>
  </w:num>
  <w:num w:numId="16">
    <w:abstractNumId w:val="15"/>
  </w:num>
  <w:num w:numId="15">
    <w:abstractNumId w:val="14"/>
  </w:num>
  <w:num w:numId="14">
    <w:abstractNumId w:val="13"/>
  </w:num>
  <w:num w:numId="11">
    <w:abstractNumId w:val="10"/>
  </w:num>
  <w:num w:numId="12">
    <w:abstractNumId w:val="11"/>
  </w:num>
  <w:num w:numId="13">
    <w:abstractNumId w:val="12"/>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276"/>
      <w:ind w:left="289"/>
      <w:jc w:val="center"/>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276"/>
      <w:ind w:left="1593" w:hanging="599"/>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276"/>
      <w:ind w:left="1714" w:hanging="720"/>
    </w:pPr>
    <w:rPr>
      <w:rFonts w:ascii="Times New Roman" w:hAnsi="Times New Roman" w:eastAsia="Times New Roman" w:cs="Times New Roman"/>
      <w:sz w:val="24"/>
      <w:szCs w:val="24"/>
      <w:lang w:val="es-ES" w:eastAsia="en-US" w:bidi="ar-SA"/>
    </w:rPr>
  </w:style>
  <w:style w:styleId="TOC4" w:type="paragraph">
    <w:name w:val="TOC 4"/>
    <w:basedOn w:val="Normal"/>
    <w:uiPriority w:val="1"/>
    <w:qFormat/>
    <w:pPr>
      <w:spacing w:before="276"/>
      <w:ind w:left="1593" w:hanging="599"/>
    </w:pPr>
    <w:rPr>
      <w:rFonts w:ascii="Times New Roman" w:hAnsi="Times New Roman" w:eastAsia="Times New Roman" w:cs="Times New Roman"/>
      <w:i/>
      <w:iCs/>
      <w:sz w:val="24"/>
      <w:szCs w:val="24"/>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63"/>
      <w:ind w:left="1425"/>
      <w:jc w:val="center"/>
      <w:outlineLvl w:val="1"/>
    </w:pPr>
    <w:rPr>
      <w:rFonts w:ascii="Times New Roman" w:hAnsi="Times New Roman" w:eastAsia="Times New Roman" w:cs="Times New Roman"/>
      <w:b/>
      <w:bCs/>
      <w:sz w:val="28"/>
      <w:szCs w:val="28"/>
      <w:lang w:val="es-ES" w:eastAsia="en-US" w:bidi="ar-SA"/>
    </w:rPr>
  </w:style>
  <w:style w:styleId="Heading2" w:type="paragraph">
    <w:name w:val="Heading 2"/>
    <w:basedOn w:val="Normal"/>
    <w:uiPriority w:val="1"/>
    <w:qFormat/>
    <w:pPr>
      <w:spacing w:before="60"/>
      <w:ind w:left="1426" w:hanging="432"/>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ind w:left="994"/>
      <w:jc w:val="both"/>
      <w:outlineLvl w:val="3"/>
    </w:pPr>
    <w:rPr>
      <w:rFonts w:ascii="Times New Roman" w:hAnsi="Times New Roman" w:eastAsia="Times New Roman" w:cs="Times New Roman"/>
      <w:b/>
      <w:bCs/>
      <w:sz w:val="24"/>
      <w:szCs w:val="24"/>
      <w:lang w:val="es-ES" w:eastAsia="en-US" w:bidi="ar-SA"/>
    </w:rPr>
  </w:style>
  <w:style w:styleId="Heading4" w:type="paragraph">
    <w:name w:val="Heading 4"/>
    <w:basedOn w:val="Normal"/>
    <w:uiPriority w:val="1"/>
    <w:qFormat/>
    <w:pPr>
      <w:spacing w:before="236"/>
      <w:ind w:left="1426" w:hanging="432"/>
      <w:outlineLvl w:val="4"/>
    </w:pPr>
    <w:rPr>
      <w:rFonts w:ascii="Times New Roman" w:hAnsi="Times New Roman" w:eastAsia="Times New Roman" w:cs="Times New Roman"/>
      <w:b/>
      <w:bCs/>
      <w:i/>
      <w:iCs/>
      <w:sz w:val="24"/>
      <w:szCs w:val="24"/>
      <w:lang w:val="es-ES" w:eastAsia="en-US" w:bidi="ar-SA"/>
    </w:rPr>
  </w:style>
  <w:style w:styleId="ListParagraph" w:type="paragraph">
    <w:name w:val="List Paragraph"/>
    <w:basedOn w:val="Normal"/>
    <w:uiPriority w:val="1"/>
    <w:qFormat/>
    <w:pPr>
      <w:ind w:left="171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hyperlink" Target="https://doi.org/10.1234/rve.2022.14285" TargetMode="External"/><Relationship Id="rId14" Type="http://schemas.openxmlformats.org/officeDocument/2006/relationships/hyperlink" Target="https://doi.org/10.1128/CMR.00020-19" TargetMode="External"/><Relationship Id="rId15" Type="http://schemas.openxmlformats.org/officeDocument/2006/relationships/hyperlink" Target="https://doi.org/10.1038/s42003-021-02224-z" TargetMode="External"/><Relationship Id="rId16" Type="http://schemas.openxmlformats.org/officeDocument/2006/relationships/hyperlink" Target="https://clsi.org/standards/products/microbiology/documents/m100/" TargetMode="External"/><Relationship Id="rId17" Type="http://schemas.openxmlformats.org/officeDocument/2006/relationships/hyperlink" Target="https://doi.org/10.1007/s40265-020-01256-w" TargetMode="External"/><Relationship Id="rId18" Type="http://schemas.openxmlformats.org/officeDocument/2006/relationships/hyperlink" Target="https://doi.org/10.1038/s41598-020-69968-2" TargetMode="External"/><Relationship Id="rId19" Type="http://schemas.openxmlformats.org/officeDocument/2006/relationships/hyperlink" Target="https://www.who.int/publications/i/item/9789240027336" TargetMode="External"/><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image" Target="media/image12.jpe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jpe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jpeg"/><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jpeg"/><Relationship Id="rId33" Type="http://schemas.openxmlformats.org/officeDocument/2006/relationships/image" Target="media/image22.jpeg"/><Relationship Id="rId34" Type="http://schemas.openxmlformats.org/officeDocument/2006/relationships/image" Target="media/image23.jpeg"/><Relationship Id="rId35" Type="http://schemas.openxmlformats.org/officeDocument/2006/relationships/image" Target="media/image24.jpeg"/><Relationship Id="rId36" Type="http://schemas.openxmlformats.org/officeDocument/2006/relationships/image" Target="media/image25.jpeg"/><Relationship Id="rId37" Type="http://schemas.openxmlformats.org/officeDocument/2006/relationships/image" Target="media/image26.jpeg"/><Relationship Id="rId38" Type="http://schemas.openxmlformats.org/officeDocument/2006/relationships/image" Target="media/image27.jpeg"/><Relationship Id="rId39" Type="http://schemas.openxmlformats.org/officeDocument/2006/relationships/image" Target="media/image28.jpeg"/><Relationship Id="rId40" Type="http://schemas.openxmlformats.org/officeDocument/2006/relationships/image" Target="media/image29.jpeg"/><Relationship Id="rId41" Type="http://schemas.openxmlformats.org/officeDocument/2006/relationships/image" Target="media/image30.jpeg"/><Relationship Id="rId42" Type="http://schemas.openxmlformats.org/officeDocument/2006/relationships/image" Target="media/image31.jpeg"/><Relationship Id="rId43" Type="http://schemas.openxmlformats.org/officeDocument/2006/relationships/image" Target="media/image32.jpeg"/><Relationship Id="rId44" Type="http://schemas.openxmlformats.org/officeDocument/2006/relationships/image" Target="media/image33.jpeg"/><Relationship Id="rId45" Type="http://schemas.openxmlformats.org/officeDocument/2006/relationships/image" Target="media/image34.jpeg"/><Relationship Id="rId4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FERNANDO MAZON VELEZ</dc:creator>
  <dcterms:created xsi:type="dcterms:W3CDTF">2026-06-04T20:24:15Z</dcterms:created>
  <dcterms:modified xsi:type="dcterms:W3CDTF">2026-06-04T20:24:15Z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2026-06-04T00:00:00Z</vt:filetime>
  </property>
  <property fmtid="{D5CDD505-2E9C-101B-9397-08002B2CF9AE}" pid="3" name="Creator">
    <vt:lpwstr>Microsoft® Word 2019</vt:lpwstr>
  </property>
  <property fmtid="{D5CDD505-2E9C-101B-9397-08002B2CF9AE}" pid="4" name="LastSaved">
    <vt:filetime>2026-06-04T00:00:00Z</vt:filetime>
  </property>
  <property fmtid="{D5CDD505-2E9C-101B-9397-08002B2CF9AE}" pid="5" name="Producer">
    <vt:lpwstr>Microsoft® Word 2019</vt:lpwstr>
  </property>
</Properties>
</file>