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597" w:right="0" w:firstLine="0"/>
        <w:rPr>
          <w:sz w:val="20"/>
        </w:rPr>
      </w:pPr>
      <w:r>
        <w:rPr>
          <w:sz w:val="20"/>
        </w:rPr>
        <w:drawing>
          <wp:inline distT="0" distB="0" distL="0" distR="0">
            <wp:extent cx="1008596" cy="115824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08596" cy="1158240"/>
                    </a:xfrm>
                    <a:prstGeom prst="rect">
                      <a:avLst/>
                    </a:prstGeom>
                  </pic:spPr>
                </pic:pic>
              </a:graphicData>
            </a:graphic>
          </wp:inline>
        </w:drawing>
      </w:r>
      <w:r>
        <w:rPr>
          <w:sz w:val="20"/>
        </w:rPr>
      </w:r>
    </w:p>
    <w:p>
      <w:pPr>
        <w:pStyle w:val="BodyText"/>
        <w:spacing w:before="65"/>
        <w:rPr>
          <w:sz w:val="28"/>
        </w:rPr>
      </w:pPr>
    </w:p>
    <w:p>
      <w:pPr>
        <w:pStyle w:val="Heading1"/>
        <w:spacing w:before="0"/>
        <w:ind w:left="600" w:right="180"/>
      </w:pPr>
      <w:r>
        <w:rPr>
          <w:spacing w:val="-4"/>
        </w:rPr>
        <w:t>UNIVERSIDAD</w:t>
      </w:r>
      <w:r>
        <w:rPr>
          <w:spacing w:val="2"/>
        </w:rPr>
        <w:t> </w:t>
      </w:r>
      <w:r>
        <w:rPr>
          <w:spacing w:val="-4"/>
        </w:rPr>
        <w:t>ESTATAL</w:t>
      </w:r>
      <w:r>
        <w:rPr>
          <w:spacing w:val="-12"/>
        </w:rPr>
        <w:t> </w:t>
      </w:r>
      <w:r>
        <w:rPr>
          <w:spacing w:val="-4"/>
        </w:rPr>
        <w:t>DE</w:t>
      </w:r>
      <w:r>
        <w:rPr>
          <w:spacing w:val="2"/>
        </w:rPr>
        <w:t> </w:t>
      </w:r>
      <w:r>
        <w:rPr>
          <w:spacing w:val="-4"/>
        </w:rPr>
        <w:t>BOLÍVAR</w:t>
      </w:r>
    </w:p>
    <w:p>
      <w:pPr>
        <w:pStyle w:val="Heading3"/>
        <w:spacing w:before="320"/>
        <w:ind w:left="593" w:right="180" w:firstLine="0"/>
        <w:jc w:val="center"/>
      </w:pPr>
      <w:r>
        <w:rPr/>
        <w:t>Facultad</w:t>
      </w:r>
      <w:r>
        <w:rPr>
          <w:spacing w:val="-10"/>
        </w:rPr>
        <w:t> </w:t>
      </w:r>
      <w:r>
        <w:rPr/>
        <w:t>de</w:t>
      </w:r>
      <w:r>
        <w:rPr>
          <w:spacing w:val="-3"/>
        </w:rPr>
        <w:t> </w:t>
      </w:r>
      <w:r>
        <w:rPr/>
        <w:t>Ciencias</w:t>
      </w:r>
      <w:r>
        <w:rPr>
          <w:spacing w:val="-15"/>
        </w:rPr>
        <w:t> </w:t>
      </w:r>
      <w:r>
        <w:rPr/>
        <w:t>Agropecuarias,</w:t>
      </w:r>
      <w:r>
        <w:rPr>
          <w:spacing w:val="-4"/>
        </w:rPr>
        <w:t> </w:t>
      </w:r>
      <w:r>
        <w:rPr/>
        <w:t>Recursos</w:t>
      </w:r>
      <w:r>
        <w:rPr>
          <w:spacing w:val="-6"/>
        </w:rPr>
        <w:t> </w:t>
      </w:r>
      <w:r>
        <w:rPr/>
        <w:t>Naturales</w:t>
      </w:r>
      <w:r>
        <w:rPr>
          <w:spacing w:val="-5"/>
        </w:rPr>
        <w:t> </w:t>
      </w:r>
      <w:r>
        <w:rPr/>
        <w:t>y</w:t>
      </w:r>
      <w:r>
        <w:rPr>
          <w:spacing w:val="-4"/>
        </w:rPr>
        <w:t> </w:t>
      </w:r>
      <w:r>
        <w:rPr/>
        <w:t>del</w:t>
      </w:r>
      <w:r>
        <w:rPr>
          <w:spacing w:val="-14"/>
        </w:rPr>
        <w:t> </w:t>
      </w:r>
      <w:r>
        <w:rPr>
          <w:spacing w:val="-2"/>
        </w:rPr>
        <w:t>Ambiente</w:t>
      </w:r>
    </w:p>
    <w:p>
      <w:pPr>
        <w:pStyle w:val="BodyText"/>
        <w:spacing w:before="240"/>
        <w:rPr>
          <w:b/>
        </w:rPr>
      </w:pPr>
    </w:p>
    <w:p>
      <w:pPr>
        <w:pStyle w:val="BodyText"/>
        <w:ind w:right="180"/>
        <w:jc w:val="center"/>
      </w:pPr>
      <w:r>
        <w:rPr/>
        <w:t>Carrera</w:t>
      </w:r>
      <w:r>
        <w:rPr>
          <w:spacing w:val="-1"/>
        </w:rPr>
        <w:t> </w:t>
      </w:r>
      <w:r>
        <w:rPr/>
        <w:t>de</w:t>
      </w:r>
      <w:r>
        <w:rPr>
          <w:spacing w:val="-1"/>
        </w:rPr>
        <w:t> </w:t>
      </w:r>
      <w:r>
        <w:rPr/>
        <w:t>Medicina</w:t>
      </w:r>
      <w:r>
        <w:rPr>
          <w:spacing w:val="-4"/>
        </w:rPr>
        <w:t> </w:t>
      </w:r>
      <w:r>
        <w:rPr>
          <w:spacing w:val="-2"/>
        </w:rPr>
        <w:t>Veterinaria</w:t>
      </w:r>
    </w:p>
    <w:p>
      <w:pPr>
        <w:pStyle w:val="BodyText"/>
        <w:spacing w:before="240"/>
      </w:pPr>
    </w:p>
    <w:p>
      <w:pPr>
        <w:pStyle w:val="Heading3"/>
        <w:ind w:left="606" w:right="180" w:firstLine="0"/>
        <w:jc w:val="center"/>
      </w:pPr>
      <w:r>
        <w:rPr>
          <w:spacing w:val="-2"/>
        </w:rPr>
        <w:t>Tema:</w:t>
      </w:r>
    </w:p>
    <w:p>
      <w:pPr>
        <w:pStyle w:val="BodyText"/>
        <w:spacing w:line="360" w:lineRule="auto" w:before="140"/>
        <w:ind w:left="614" w:right="180"/>
        <w:jc w:val="center"/>
      </w:pPr>
      <w:r>
        <w:rPr>
          <w:color w:val="0D0D0D"/>
        </w:rPr>
        <w:t>EVALUACIÓN DE LOS EFECTOS HEMODINAMICOS DE LA DEXMEDETOMIDINA</w:t>
      </w:r>
      <w:r>
        <w:rPr>
          <w:color w:val="0D0D0D"/>
          <w:spacing w:val="-15"/>
        </w:rPr>
        <w:t> </w:t>
      </w:r>
      <w:r>
        <w:rPr>
          <w:color w:val="0D0D0D"/>
        </w:rPr>
        <w:t>EN</w:t>
      </w:r>
      <w:r>
        <w:rPr>
          <w:color w:val="0D0D0D"/>
          <w:spacing w:val="-15"/>
        </w:rPr>
        <w:t> </w:t>
      </w:r>
      <w:r>
        <w:rPr>
          <w:color w:val="0D0D0D"/>
        </w:rPr>
        <w:t>CANINOS</w:t>
      </w:r>
      <w:r>
        <w:rPr>
          <w:color w:val="0D0D0D"/>
          <w:spacing w:val="-15"/>
        </w:rPr>
        <w:t> </w:t>
      </w:r>
      <w:r>
        <w:rPr>
          <w:color w:val="0D0D0D"/>
        </w:rPr>
        <w:t>SOMETIDOS</w:t>
      </w:r>
      <w:r>
        <w:rPr>
          <w:color w:val="0D0D0D"/>
          <w:spacing w:val="-15"/>
        </w:rPr>
        <w:t> </w:t>
      </w:r>
      <w:r>
        <w:rPr>
          <w:color w:val="0D0D0D"/>
        </w:rPr>
        <w:t>A</w:t>
      </w:r>
      <w:r>
        <w:rPr>
          <w:color w:val="0D0D0D"/>
          <w:spacing w:val="-26"/>
        </w:rPr>
        <w:t> </w:t>
      </w:r>
      <w:r>
        <w:rPr>
          <w:color w:val="0D0D0D"/>
        </w:rPr>
        <w:t>ANESTESIA </w:t>
      </w:r>
      <w:r>
        <w:rPr>
          <w:color w:val="0D0D0D"/>
          <w:spacing w:val="-2"/>
        </w:rPr>
        <w:t>GENERAL</w:t>
      </w:r>
    </w:p>
    <w:p>
      <w:pPr>
        <w:spacing w:line="360" w:lineRule="auto" w:before="238"/>
        <w:ind w:left="568" w:right="138" w:firstLine="0"/>
        <w:jc w:val="both"/>
        <w:rPr>
          <w:b/>
          <w:sz w:val="24"/>
        </w:rPr>
      </w:pPr>
      <w:r>
        <w:rPr>
          <w:b/>
          <w:color w:val="0D0D0D"/>
          <w:sz w:val="22"/>
        </w:rPr>
        <w:t>Proyecto de Investigación previo a la obtención del título de Médicos Veterinarios Otorgado por la Universidad Estatal de Bolívar a través de la Facultad de Ciencias </w:t>
      </w:r>
      <w:r>
        <w:rPr>
          <w:b/>
          <w:color w:val="0D0D0D"/>
          <w:spacing w:val="-2"/>
          <w:sz w:val="22"/>
        </w:rPr>
        <w:t>Agropecuarias,</w:t>
      </w:r>
      <w:r>
        <w:rPr>
          <w:b/>
          <w:color w:val="0D0D0D"/>
          <w:spacing w:val="-3"/>
          <w:sz w:val="22"/>
        </w:rPr>
        <w:t> </w:t>
      </w:r>
      <w:r>
        <w:rPr>
          <w:b/>
          <w:color w:val="0D0D0D"/>
          <w:spacing w:val="-2"/>
          <w:sz w:val="22"/>
        </w:rPr>
        <w:t>Recursos</w:t>
      </w:r>
      <w:r>
        <w:rPr>
          <w:b/>
          <w:color w:val="0D0D0D"/>
          <w:spacing w:val="-4"/>
          <w:sz w:val="22"/>
        </w:rPr>
        <w:t> </w:t>
      </w:r>
      <w:r>
        <w:rPr>
          <w:b/>
          <w:color w:val="0D0D0D"/>
          <w:spacing w:val="-2"/>
          <w:sz w:val="22"/>
        </w:rPr>
        <w:t>Naturales</w:t>
      </w:r>
      <w:r>
        <w:rPr>
          <w:b/>
          <w:color w:val="0D0D0D"/>
          <w:spacing w:val="-5"/>
          <w:sz w:val="22"/>
        </w:rPr>
        <w:t> </w:t>
      </w:r>
      <w:r>
        <w:rPr>
          <w:b/>
          <w:color w:val="0D0D0D"/>
          <w:spacing w:val="-2"/>
          <w:sz w:val="22"/>
        </w:rPr>
        <w:t>y</w:t>
      </w:r>
      <w:r>
        <w:rPr>
          <w:b/>
          <w:color w:val="0D0D0D"/>
          <w:spacing w:val="-6"/>
          <w:sz w:val="22"/>
        </w:rPr>
        <w:t> </w:t>
      </w:r>
      <w:r>
        <w:rPr>
          <w:b/>
          <w:color w:val="0D0D0D"/>
          <w:spacing w:val="-2"/>
          <w:sz w:val="22"/>
        </w:rPr>
        <w:t>del</w:t>
      </w:r>
      <w:r>
        <w:rPr>
          <w:b/>
          <w:color w:val="0D0D0D"/>
          <w:spacing w:val="-13"/>
          <w:sz w:val="22"/>
        </w:rPr>
        <w:t> </w:t>
      </w:r>
      <w:r>
        <w:rPr>
          <w:b/>
          <w:color w:val="0D0D0D"/>
          <w:spacing w:val="-2"/>
          <w:sz w:val="22"/>
        </w:rPr>
        <w:t>Ambiente, Carrera</w:t>
      </w:r>
      <w:r>
        <w:rPr>
          <w:b/>
          <w:color w:val="0D0D0D"/>
          <w:spacing w:val="-1"/>
          <w:sz w:val="22"/>
        </w:rPr>
        <w:t> </w:t>
      </w:r>
      <w:r>
        <w:rPr>
          <w:b/>
          <w:color w:val="0D0D0D"/>
          <w:spacing w:val="-2"/>
          <w:sz w:val="22"/>
        </w:rPr>
        <w:t>de</w:t>
      </w:r>
      <w:r>
        <w:rPr>
          <w:b/>
          <w:color w:val="0D0D0D"/>
          <w:spacing w:val="-5"/>
          <w:sz w:val="22"/>
        </w:rPr>
        <w:t> </w:t>
      </w:r>
      <w:r>
        <w:rPr>
          <w:b/>
          <w:color w:val="0D0D0D"/>
          <w:spacing w:val="-2"/>
          <w:sz w:val="22"/>
        </w:rPr>
        <w:t>Medicina</w:t>
      </w:r>
      <w:r>
        <w:rPr>
          <w:b/>
          <w:color w:val="0D0D0D"/>
          <w:spacing w:val="-5"/>
          <w:sz w:val="22"/>
        </w:rPr>
        <w:t> </w:t>
      </w:r>
      <w:r>
        <w:rPr>
          <w:b/>
          <w:color w:val="0D0D0D"/>
          <w:spacing w:val="-2"/>
          <w:sz w:val="22"/>
        </w:rPr>
        <w:t>Veterinaria</w:t>
      </w:r>
      <w:r>
        <w:rPr>
          <w:b/>
          <w:color w:val="0D0D0D"/>
          <w:spacing w:val="-2"/>
          <w:sz w:val="24"/>
        </w:rPr>
        <w:t>.</w:t>
      </w:r>
    </w:p>
    <w:p>
      <w:pPr>
        <w:pStyle w:val="Heading3"/>
        <w:spacing w:before="240"/>
        <w:ind w:left="606" w:right="180" w:firstLine="0"/>
        <w:jc w:val="center"/>
      </w:pPr>
      <w:r>
        <w:rPr>
          <w:color w:val="0D0D0D"/>
          <w:spacing w:val="-2"/>
        </w:rPr>
        <w:t>Autores:</w:t>
      </w:r>
    </w:p>
    <w:p>
      <w:pPr>
        <w:pStyle w:val="BodyText"/>
        <w:rPr>
          <w:b/>
        </w:rPr>
      </w:pPr>
    </w:p>
    <w:p>
      <w:pPr>
        <w:pStyle w:val="BodyText"/>
        <w:spacing w:line="480" w:lineRule="auto"/>
        <w:ind w:left="1880" w:right="1456"/>
        <w:jc w:val="center"/>
      </w:pPr>
      <w:r>
        <w:rPr>
          <w:color w:val="0D0D0D"/>
          <w:spacing w:val="-4"/>
        </w:rPr>
        <w:t>JOSELYN</w:t>
      </w:r>
      <w:r>
        <w:rPr>
          <w:color w:val="0D0D0D"/>
          <w:spacing w:val="-11"/>
        </w:rPr>
        <w:t> </w:t>
      </w:r>
      <w:r>
        <w:rPr>
          <w:color w:val="0D0D0D"/>
          <w:spacing w:val="-4"/>
        </w:rPr>
        <w:t>KATHERINE</w:t>
      </w:r>
      <w:r>
        <w:rPr>
          <w:color w:val="0D0D0D"/>
          <w:spacing w:val="-11"/>
        </w:rPr>
        <w:t> </w:t>
      </w:r>
      <w:r>
        <w:rPr>
          <w:color w:val="0D0D0D"/>
          <w:spacing w:val="-4"/>
        </w:rPr>
        <w:t>GUEVARA</w:t>
      </w:r>
      <w:r>
        <w:rPr>
          <w:color w:val="0D0D0D"/>
          <w:spacing w:val="-22"/>
        </w:rPr>
        <w:t> </w:t>
      </w:r>
      <w:r>
        <w:rPr>
          <w:color w:val="0D0D0D"/>
          <w:spacing w:val="-4"/>
        </w:rPr>
        <w:t>YANCHA </w:t>
      </w:r>
      <w:r>
        <w:rPr>
          <w:color w:val="0D0D0D"/>
        </w:rPr>
        <w:t>ERICK ADRIÁN BAÑO ERAZO</w:t>
      </w:r>
    </w:p>
    <w:p>
      <w:pPr>
        <w:pStyle w:val="Heading3"/>
        <w:spacing w:before="241"/>
        <w:ind w:left="605" w:right="180" w:firstLine="0"/>
        <w:jc w:val="center"/>
        <w:rPr>
          <w:b w:val="0"/>
        </w:rPr>
      </w:pPr>
      <w:r>
        <w:rPr>
          <w:color w:val="0D0D0D"/>
          <w:spacing w:val="-2"/>
        </w:rPr>
        <w:t>Tutor</w:t>
      </w:r>
      <w:r>
        <w:rPr>
          <w:b w:val="0"/>
          <w:color w:val="0D0D0D"/>
          <w:spacing w:val="-2"/>
        </w:rPr>
        <w:t>:</w:t>
      </w:r>
    </w:p>
    <w:p>
      <w:pPr>
        <w:pStyle w:val="BodyText"/>
      </w:pPr>
    </w:p>
    <w:p>
      <w:pPr>
        <w:pStyle w:val="BodyText"/>
        <w:ind w:left="602" w:right="180"/>
        <w:jc w:val="center"/>
      </w:pPr>
      <w:r>
        <w:rPr>
          <w:color w:val="0D0D0D"/>
        </w:rPr>
        <w:t>Dr.</w:t>
      </w:r>
      <w:r>
        <w:rPr>
          <w:color w:val="0D0D0D"/>
          <w:spacing w:val="-15"/>
        </w:rPr>
        <w:t> </w:t>
      </w:r>
      <w:r>
        <w:rPr>
          <w:color w:val="0D0D0D"/>
        </w:rPr>
        <w:t>WASHINGTON</w:t>
      </w:r>
      <w:r>
        <w:rPr>
          <w:color w:val="0D0D0D"/>
          <w:spacing w:val="-15"/>
        </w:rPr>
        <w:t> </w:t>
      </w:r>
      <w:r>
        <w:rPr>
          <w:color w:val="0D0D0D"/>
        </w:rPr>
        <w:t>FERNANDO</w:t>
      </w:r>
      <w:r>
        <w:rPr>
          <w:color w:val="0D0D0D"/>
          <w:spacing w:val="-15"/>
        </w:rPr>
        <w:t> </w:t>
      </w:r>
      <w:r>
        <w:rPr>
          <w:color w:val="0D0D0D"/>
        </w:rPr>
        <w:t>CARRASCO</w:t>
      </w:r>
      <w:r>
        <w:rPr>
          <w:color w:val="0D0D0D"/>
          <w:spacing w:val="-15"/>
        </w:rPr>
        <w:t> </w:t>
      </w:r>
      <w:r>
        <w:rPr>
          <w:color w:val="0D0D0D"/>
        </w:rPr>
        <w:t>SANGACHE</w:t>
      </w:r>
      <w:r>
        <w:rPr>
          <w:color w:val="0D0D0D"/>
          <w:spacing w:val="-11"/>
        </w:rPr>
        <w:t> </w:t>
      </w:r>
      <w:r>
        <w:rPr>
          <w:color w:val="0D0D0D"/>
          <w:spacing w:val="-4"/>
        </w:rPr>
        <w:t>PhD.</w:t>
      </w:r>
    </w:p>
    <w:p>
      <w:pPr>
        <w:pStyle w:val="BodyText"/>
        <w:spacing w:before="240"/>
      </w:pPr>
    </w:p>
    <w:p>
      <w:pPr>
        <w:spacing w:line="571" w:lineRule="auto" w:before="0"/>
        <w:ind w:left="3277" w:right="2846" w:firstLine="0"/>
        <w:jc w:val="center"/>
        <w:rPr>
          <w:b/>
          <w:sz w:val="24"/>
        </w:rPr>
      </w:pPr>
      <w:r>
        <w:rPr>
          <w:b/>
          <w:color w:val="0D0D0D"/>
          <w:sz w:val="24"/>
        </w:rPr>
        <w:t>Guaranda</w:t>
      </w:r>
      <w:r>
        <w:rPr>
          <w:b/>
          <w:color w:val="0D0D0D"/>
          <w:spacing w:val="-15"/>
          <w:sz w:val="24"/>
        </w:rPr>
        <w:t> </w:t>
      </w:r>
      <w:r>
        <w:rPr>
          <w:b/>
          <w:color w:val="0D0D0D"/>
          <w:sz w:val="24"/>
        </w:rPr>
        <w:t>-</w:t>
      </w:r>
      <w:r>
        <w:rPr>
          <w:b/>
          <w:color w:val="0D0D0D"/>
          <w:spacing w:val="-15"/>
          <w:sz w:val="24"/>
        </w:rPr>
        <w:t> </w:t>
      </w:r>
      <w:r>
        <w:rPr>
          <w:b/>
          <w:color w:val="0D0D0D"/>
          <w:sz w:val="24"/>
        </w:rPr>
        <w:t>Ecuador </w:t>
      </w:r>
      <w:r>
        <w:rPr>
          <w:b/>
          <w:color w:val="0D0D0D"/>
          <w:spacing w:val="-4"/>
          <w:sz w:val="24"/>
        </w:rPr>
        <w:t>2026</w:t>
      </w:r>
    </w:p>
    <w:p>
      <w:pPr>
        <w:spacing w:after="0" w:line="571" w:lineRule="auto"/>
        <w:jc w:val="center"/>
        <w:rPr>
          <w:b/>
          <w:sz w:val="24"/>
        </w:rPr>
        <w:sectPr>
          <w:type w:val="continuous"/>
          <w:pgSz w:w="11910" w:h="16840"/>
          <w:pgMar w:top="1920" w:bottom="280" w:left="1700" w:right="1559"/>
        </w:sectPr>
      </w:pPr>
    </w:p>
    <w:p>
      <w:pPr>
        <w:pStyle w:val="BodyText"/>
        <w:spacing w:before="4"/>
        <w:rPr>
          <w:b/>
          <w:sz w:val="17"/>
        </w:rPr>
      </w:pPr>
      <w:r>
        <w:rPr>
          <w:b/>
          <w:sz w:val="17"/>
        </w:rPr>
        <w:drawing>
          <wp:anchor distT="0" distB="0" distL="0" distR="0" allowOverlap="1" layoutInCell="1" locked="0" behindDoc="0" simplePos="0" relativeHeight="15728640">
            <wp:simplePos x="0" y="0"/>
            <wp:positionH relativeFrom="page">
              <wp:posOffset>366490</wp:posOffset>
            </wp:positionH>
            <wp:positionV relativeFrom="page">
              <wp:posOffset>0</wp:posOffset>
            </wp:positionV>
            <wp:extent cx="6823518" cy="10033000"/>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823518" cy="100330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152">
            <wp:simplePos x="0" y="0"/>
            <wp:positionH relativeFrom="page">
              <wp:posOffset>356398</wp:posOffset>
            </wp:positionH>
            <wp:positionV relativeFrom="page">
              <wp:posOffset>0</wp:posOffset>
            </wp:positionV>
            <wp:extent cx="6843702" cy="9727358"/>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843702" cy="9727358"/>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29664">
            <wp:simplePos x="0" y="0"/>
            <wp:positionH relativeFrom="page">
              <wp:posOffset>310228</wp:posOffset>
            </wp:positionH>
            <wp:positionV relativeFrom="page">
              <wp:posOffset>0</wp:posOffset>
            </wp:positionV>
            <wp:extent cx="6936042" cy="100330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6936042" cy="100330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BodyText"/>
        <w:spacing w:before="4"/>
        <w:rPr>
          <w:b/>
          <w:sz w:val="17"/>
        </w:rPr>
      </w:pPr>
      <w:r>
        <w:rPr>
          <w:b/>
          <w:sz w:val="17"/>
        </w:rPr>
        <w:drawing>
          <wp:anchor distT="0" distB="0" distL="0" distR="0" allowOverlap="1" layoutInCell="1" locked="0" behindDoc="0" simplePos="0" relativeHeight="15730176">
            <wp:simplePos x="0" y="0"/>
            <wp:positionH relativeFrom="page">
              <wp:posOffset>321972</wp:posOffset>
            </wp:positionH>
            <wp:positionV relativeFrom="page">
              <wp:posOffset>0</wp:posOffset>
            </wp:positionV>
            <wp:extent cx="6912555" cy="10033000"/>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6912555" cy="10033000"/>
                    </a:xfrm>
                    <a:prstGeom prst="rect">
                      <a:avLst/>
                    </a:prstGeom>
                  </pic:spPr>
                </pic:pic>
              </a:graphicData>
            </a:graphic>
          </wp:anchor>
        </w:drawing>
      </w:r>
    </w:p>
    <w:p>
      <w:pPr>
        <w:pStyle w:val="BodyText"/>
        <w:spacing w:after="0"/>
        <w:rPr>
          <w:b/>
          <w:sz w:val="17"/>
        </w:rPr>
        <w:sectPr>
          <w:pgSz w:w="11900" w:h="16840"/>
          <w:pgMar w:top="1940" w:bottom="280" w:left="1700" w:right="1700"/>
        </w:sectPr>
      </w:pPr>
    </w:p>
    <w:p>
      <w:pPr>
        <w:pStyle w:val="Heading1"/>
        <w:ind w:left="603" w:right="180"/>
      </w:pPr>
      <w:r>
        <w:rPr>
          <w:spacing w:val="-2"/>
        </w:rPr>
        <w:t>DEDICATORIA</w:t>
      </w:r>
    </w:p>
    <w:p>
      <w:pPr>
        <w:pStyle w:val="BodyText"/>
        <w:spacing w:before="77"/>
        <w:rPr>
          <w:b/>
          <w:sz w:val="28"/>
        </w:rPr>
      </w:pPr>
    </w:p>
    <w:p>
      <w:pPr>
        <w:pStyle w:val="BodyText"/>
        <w:spacing w:line="480" w:lineRule="auto"/>
        <w:ind w:left="568" w:right="136"/>
        <w:jc w:val="both"/>
      </w:pPr>
      <w:r>
        <w:rPr/>
        <w:t>Dedico esta tesis, en primer lugar, a Dios y a mi abuelito, quienes, desde el cielo, han guiado mis pasos y me han dado la fortaleza necesaria para continuar en este camino. Su amor y protección han sido fundamentales para que hoy este</w:t>
      </w:r>
      <w:r>
        <w:rPr>
          <w:spacing w:val="-1"/>
        </w:rPr>
        <w:t> </w:t>
      </w:r>
      <w:r>
        <w:rPr/>
        <w:t>logro sea posible. A mi madre, por ser mi mayor motor e inspiración, por su apoyo incondicional, por su esfuerzo, su ayuda económica y, sobre todo, por su fortaleza moral. Gracias por enseñarme que un tropiezo no significa derrota y que, aun después</w:t>
      </w:r>
      <w:r>
        <w:rPr>
          <w:spacing w:val="-15"/>
        </w:rPr>
        <w:t> </w:t>
      </w:r>
      <w:r>
        <w:rPr/>
        <w:t>de</w:t>
      </w:r>
      <w:r>
        <w:rPr>
          <w:spacing w:val="-15"/>
        </w:rPr>
        <w:t> </w:t>
      </w:r>
      <w:r>
        <w:rPr/>
        <w:t>caer,</w:t>
      </w:r>
      <w:r>
        <w:rPr>
          <w:spacing w:val="-13"/>
        </w:rPr>
        <w:t> </w:t>
      </w:r>
      <w:r>
        <w:rPr/>
        <w:t>siempre</w:t>
      </w:r>
      <w:r>
        <w:rPr>
          <w:spacing w:val="-8"/>
        </w:rPr>
        <w:t> </w:t>
      </w:r>
      <w:r>
        <w:rPr/>
        <w:t>es</w:t>
      </w:r>
      <w:r>
        <w:rPr>
          <w:spacing w:val="-11"/>
        </w:rPr>
        <w:t> </w:t>
      </w:r>
      <w:r>
        <w:rPr/>
        <w:t>posible</w:t>
      </w:r>
      <w:r>
        <w:rPr>
          <w:spacing w:val="-8"/>
        </w:rPr>
        <w:t> </w:t>
      </w:r>
      <w:r>
        <w:rPr/>
        <w:t>levantarse</w:t>
      </w:r>
      <w:r>
        <w:rPr>
          <w:spacing w:val="-8"/>
        </w:rPr>
        <w:t> </w:t>
      </w:r>
      <w:r>
        <w:rPr/>
        <w:t>con</w:t>
      </w:r>
      <w:r>
        <w:rPr>
          <w:spacing w:val="-13"/>
        </w:rPr>
        <w:t> </w:t>
      </w:r>
      <w:r>
        <w:rPr/>
        <w:t>más</w:t>
      </w:r>
      <w:r>
        <w:rPr>
          <w:spacing w:val="-11"/>
        </w:rPr>
        <w:t> </w:t>
      </w:r>
      <w:r>
        <w:rPr/>
        <w:t>fuerza.</w:t>
      </w:r>
      <w:r>
        <w:rPr>
          <w:spacing w:val="-15"/>
        </w:rPr>
        <w:t> </w:t>
      </w:r>
      <w:r>
        <w:rPr/>
        <w:t>A</w:t>
      </w:r>
      <w:r>
        <w:rPr>
          <w:spacing w:val="-15"/>
        </w:rPr>
        <w:t> </w:t>
      </w:r>
      <w:r>
        <w:rPr/>
        <w:t>mi</w:t>
      </w:r>
      <w:r>
        <w:rPr>
          <w:spacing w:val="-9"/>
        </w:rPr>
        <w:t> </w:t>
      </w:r>
      <w:r>
        <w:rPr/>
        <w:t>hermana</w:t>
      </w:r>
      <w:r>
        <w:rPr>
          <w:spacing w:val="-6"/>
        </w:rPr>
        <w:t> </w:t>
      </w:r>
      <w:r>
        <w:rPr/>
        <w:t>y,</w:t>
      </w:r>
      <w:r>
        <w:rPr>
          <w:spacing w:val="-10"/>
        </w:rPr>
        <w:t> </w:t>
      </w:r>
      <w:r>
        <w:rPr/>
        <w:t>por sus palabras de aliento, por su compañía y por estar siempre presente cuando más la</w:t>
      </w:r>
      <w:r>
        <w:rPr>
          <w:spacing w:val="-9"/>
        </w:rPr>
        <w:t> </w:t>
      </w:r>
      <w:r>
        <w:rPr/>
        <w:t>he</w:t>
      </w:r>
      <w:r>
        <w:rPr>
          <w:spacing w:val="-9"/>
        </w:rPr>
        <w:t> </w:t>
      </w:r>
      <w:r>
        <w:rPr/>
        <w:t>necesitado.</w:t>
      </w:r>
      <w:r>
        <w:rPr>
          <w:spacing w:val="-10"/>
        </w:rPr>
        <w:t> </w:t>
      </w:r>
      <w:r>
        <w:rPr/>
        <w:t>De</w:t>
      </w:r>
      <w:r>
        <w:rPr>
          <w:spacing w:val="-9"/>
        </w:rPr>
        <w:t> </w:t>
      </w:r>
      <w:r>
        <w:rPr/>
        <w:t>igual</w:t>
      </w:r>
      <w:r>
        <w:rPr>
          <w:spacing w:val="-9"/>
        </w:rPr>
        <w:t> </w:t>
      </w:r>
      <w:r>
        <w:rPr/>
        <w:t>manera,</w:t>
      </w:r>
      <w:r>
        <w:rPr>
          <w:spacing w:val="-10"/>
        </w:rPr>
        <w:t> </w:t>
      </w:r>
      <w:r>
        <w:rPr/>
        <w:t>a</w:t>
      </w:r>
      <w:r>
        <w:rPr>
          <w:spacing w:val="-9"/>
        </w:rPr>
        <w:t> </w:t>
      </w:r>
      <w:r>
        <w:rPr/>
        <w:t>toda</w:t>
      </w:r>
      <w:r>
        <w:rPr>
          <w:spacing w:val="-13"/>
        </w:rPr>
        <w:t> </w:t>
      </w:r>
      <w:r>
        <w:rPr/>
        <w:t>mi</w:t>
      </w:r>
      <w:r>
        <w:rPr>
          <w:spacing w:val="-9"/>
        </w:rPr>
        <w:t> </w:t>
      </w:r>
      <w:r>
        <w:rPr/>
        <w:t>familia,</w:t>
      </w:r>
      <w:r>
        <w:rPr>
          <w:spacing w:val="-10"/>
        </w:rPr>
        <w:t> </w:t>
      </w:r>
      <w:r>
        <w:rPr/>
        <w:t>cuyo</w:t>
      </w:r>
      <w:r>
        <w:rPr>
          <w:spacing w:val="-14"/>
        </w:rPr>
        <w:t> </w:t>
      </w:r>
      <w:r>
        <w:rPr/>
        <w:t>cariño,</w:t>
      </w:r>
      <w:r>
        <w:rPr>
          <w:spacing w:val="-14"/>
        </w:rPr>
        <w:t> </w:t>
      </w:r>
      <w:r>
        <w:rPr/>
        <w:t>consejos</w:t>
      </w:r>
      <w:r>
        <w:rPr>
          <w:spacing w:val="-12"/>
        </w:rPr>
        <w:t> </w:t>
      </w:r>
      <w:r>
        <w:rPr/>
        <w:t>han</w:t>
      </w:r>
      <w:r>
        <w:rPr>
          <w:spacing w:val="-10"/>
        </w:rPr>
        <w:t> </w:t>
      </w:r>
      <w:r>
        <w:rPr/>
        <w:t>sido un sostén invaluable a lo largo de este proceso.</w:t>
      </w:r>
    </w:p>
    <w:p>
      <w:pPr>
        <w:pStyle w:val="BodyText"/>
        <w:spacing w:line="480" w:lineRule="auto" w:before="242"/>
        <w:ind w:left="568" w:right="148"/>
        <w:jc w:val="both"/>
      </w:pPr>
      <w:r>
        <w:rPr/>
        <w:t>A</w:t>
      </w:r>
      <w:r>
        <w:rPr>
          <w:spacing w:val="-7"/>
        </w:rPr>
        <w:t> </w:t>
      </w:r>
      <w:r>
        <w:rPr/>
        <w:t>mi novio, Erick, por acompañarme en cada etapa de este camino, por secar mis lágrimas</w:t>
      </w:r>
      <w:r>
        <w:rPr>
          <w:spacing w:val="-8"/>
        </w:rPr>
        <w:t> </w:t>
      </w:r>
      <w:r>
        <w:rPr/>
        <w:t>en</w:t>
      </w:r>
      <w:r>
        <w:rPr>
          <w:spacing w:val="-7"/>
        </w:rPr>
        <w:t> </w:t>
      </w:r>
      <w:r>
        <w:rPr/>
        <w:t>los</w:t>
      </w:r>
      <w:r>
        <w:rPr>
          <w:spacing w:val="-8"/>
        </w:rPr>
        <w:t> </w:t>
      </w:r>
      <w:r>
        <w:rPr/>
        <w:t>momentos</w:t>
      </w:r>
      <w:r>
        <w:rPr>
          <w:spacing w:val="-8"/>
        </w:rPr>
        <w:t> </w:t>
      </w:r>
      <w:r>
        <w:rPr/>
        <w:t>de</w:t>
      </w:r>
      <w:r>
        <w:rPr>
          <w:spacing w:val="-5"/>
        </w:rPr>
        <w:t> </w:t>
      </w:r>
      <w:r>
        <w:rPr/>
        <w:t>mayor</w:t>
      </w:r>
      <w:r>
        <w:rPr>
          <w:spacing w:val="-6"/>
        </w:rPr>
        <w:t> </w:t>
      </w:r>
      <w:r>
        <w:rPr/>
        <w:t>dificultad,</w:t>
      </w:r>
      <w:r>
        <w:rPr>
          <w:spacing w:val="-7"/>
        </w:rPr>
        <w:t> </w:t>
      </w:r>
      <w:r>
        <w:rPr/>
        <w:t>por</w:t>
      </w:r>
      <w:r>
        <w:rPr>
          <w:spacing w:val="-6"/>
        </w:rPr>
        <w:t> </w:t>
      </w:r>
      <w:r>
        <w:rPr/>
        <w:t>alentarme</w:t>
      </w:r>
      <w:r>
        <w:rPr>
          <w:spacing w:val="-5"/>
        </w:rPr>
        <w:t> </w:t>
      </w:r>
      <w:r>
        <w:rPr/>
        <w:t>cuando</w:t>
      </w:r>
      <w:r>
        <w:rPr>
          <w:spacing w:val="-7"/>
        </w:rPr>
        <w:t> </w:t>
      </w:r>
      <w:r>
        <w:rPr/>
        <w:t>sentía</w:t>
      </w:r>
      <w:r>
        <w:rPr>
          <w:spacing w:val="-5"/>
        </w:rPr>
        <w:t> </w:t>
      </w:r>
      <w:r>
        <w:rPr/>
        <w:t>que</w:t>
      </w:r>
      <w:r>
        <w:rPr>
          <w:spacing w:val="-5"/>
        </w:rPr>
        <w:t> </w:t>
      </w:r>
      <w:r>
        <w:rPr/>
        <w:t>ya no podía continuar y por no soltarme nunca, aun cuando el trayecto parecía más difícil. Su amor y apoyo han sido esenciales para seguir adelante.</w:t>
      </w:r>
    </w:p>
    <w:p>
      <w:pPr>
        <w:pStyle w:val="BodyText"/>
        <w:spacing w:line="480" w:lineRule="auto" w:before="241"/>
        <w:ind w:left="568" w:right="137"/>
        <w:jc w:val="both"/>
      </w:pPr>
      <w:r>
        <w:rPr/>
        <w:t>A</w:t>
      </w:r>
      <w:r>
        <w:rPr>
          <w:spacing w:val="-15"/>
        </w:rPr>
        <w:t> </w:t>
      </w:r>
      <w:r>
        <w:rPr/>
        <w:t>mis</w:t>
      </w:r>
      <w:r>
        <w:rPr>
          <w:spacing w:val="-4"/>
        </w:rPr>
        <w:t> </w:t>
      </w:r>
      <w:r>
        <w:rPr/>
        <w:t>mascotas,</w:t>
      </w:r>
      <w:r>
        <w:rPr>
          <w:spacing w:val="-2"/>
        </w:rPr>
        <w:t> </w:t>
      </w:r>
      <w:r>
        <w:rPr/>
        <w:t>a</w:t>
      </w:r>
      <w:r>
        <w:rPr>
          <w:spacing w:val="-1"/>
        </w:rPr>
        <w:t> </w:t>
      </w:r>
      <w:r>
        <w:rPr/>
        <w:t>las</w:t>
      </w:r>
      <w:r>
        <w:rPr>
          <w:spacing w:val="-4"/>
        </w:rPr>
        <w:t> </w:t>
      </w:r>
      <w:r>
        <w:rPr/>
        <w:t>que</w:t>
      </w:r>
      <w:r>
        <w:rPr>
          <w:spacing w:val="-1"/>
        </w:rPr>
        <w:t> </w:t>
      </w:r>
      <w:r>
        <w:rPr/>
        <w:t>aún</w:t>
      </w:r>
      <w:r>
        <w:rPr>
          <w:spacing w:val="-2"/>
        </w:rPr>
        <w:t> </w:t>
      </w:r>
      <w:r>
        <w:rPr/>
        <w:t>me</w:t>
      </w:r>
      <w:r>
        <w:rPr>
          <w:spacing w:val="-1"/>
        </w:rPr>
        <w:t> </w:t>
      </w:r>
      <w:r>
        <w:rPr/>
        <w:t>acompañan</w:t>
      </w:r>
      <w:r>
        <w:rPr>
          <w:spacing w:val="-2"/>
        </w:rPr>
        <w:t> </w:t>
      </w:r>
      <w:r>
        <w:rPr/>
        <w:t>y</w:t>
      </w:r>
      <w:r>
        <w:rPr>
          <w:spacing w:val="-2"/>
        </w:rPr>
        <w:t> </w:t>
      </w:r>
      <w:r>
        <w:rPr/>
        <w:t>a</w:t>
      </w:r>
      <w:r>
        <w:rPr>
          <w:spacing w:val="-1"/>
        </w:rPr>
        <w:t> </w:t>
      </w:r>
      <w:r>
        <w:rPr/>
        <w:t>las</w:t>
      </w:r>
      <w:r>
        <w:rPr>
          <w:spacing w:val="-4"/>
        </w:rPr>
        <w:t> </w:t>
      </w:r>
      <w:r>
        <w:rPr/>
        <w:t>que</w:t>
      </w:r>
      <w:r>
        <w:rPr>
          <w:spacing w:val="-1"/>
        </w:rPr>
        <w:t> </w:t>
      </w:r>
      <w:r>
        <w:rPr/>
        <w:t>partieron</w:t>
      </w:r>
      <w:r>
        <w:rPr>
          <w:spacing w:val="-6"/>
        </w:rPr>
        <w:t> </w:t>
      </w:r>
      <w:r>
        <w:rPr/>
        <w:t>al</w:t>
      </w:r>
      <w:r>
        <w:rPr>
          <w:spacing w:val="-1"/>
        </w:rPr>
        <w:t> </w:t>
      </w:r>
      <w:r>
        <w:rPr/>
        <w:t>cielo,</w:t>
      </w:r>
      <w:r>
        <w:rPr>
          <w:spacing w:val="-2"/>
        </w:rPr>
        <w:t> </w:t>
      </w:r>
      <w:r>
        <w:rPr/>
        <w:t>porque cada</w:t>
      </w:r>
      <w:r>
        <w:rPr>
          <w:spacing w:val="-15"/>
        </w:rPr>
        <w:t> </w:t>
      </w:r>
      <w:r>
        <w:rPr/>
        <w:t>una</w:t>
      </w:r>
      <w:r>
        <w:rPr>
          <w:spacing w:val="-15"/>
        </w:rPr>
        <w:t> </w:t>
      </w:r>
      <w:r>
        <w:rPr/>
        <w:t>ha</w:t>
      </w:r>
      <w:r>
        <w:rPr>
          <w:spacing w:val="-15"/>
        </w:rPr>
        <w:t> </w:t>
      </w:r>
      <w:r>
        <w:rPr/>
        <w:t>dejado</w:t>
      </w:r>
      <w:r>
        <w:rPr>
          <w:spacing w:val="-15"/>
        </w:rPr>
        <w:t> </w:t>
      </w:r>
      <w:r>
        <w:rPr/>
        <w:t>en</w:t>
      </w:r>
      <w:r>
        <w:rPr>
          <w:spacing w:val="-14"/>
        </w:rPr>
        <w:t> </w:t>
      </w:r>
      <w:r>
        <w:rPr/>
        <w:t>mi</w:t>
      </w:r>
      <w:r>
        <w:rPr>
          <w:spacing w:val="-14"/>
        </w:rPr>
        <w:t> </w:t>
      </w:r>
      <w:r>
        <w:rPr/>
        <w:t>vida</w:t>
      </w:r>
      <w:r>
        <w:rPr>
          <w:spacing w:val="-14"/>
        </w:rPr>
        <w:t> </w:t>
      </w:r>
      <w:r>
        <w:rPr/>
        <w:t>compañía,</w:t>
      </w:r>
      <w:r>
        <w:rPr>
          <w:spacing w:val="-9"/>
        </w:rPr>
        <w:t> </w:t>
      </w:r>
      <w:r>
        <w:rPr/>
        <w:t>amor</w:t>
      </w:r>
      <w:r>
        <w:rPr>
          <w:spacing w:val="-15"/>
        </w:rPr>
        <w:t> </w:t>
      </w:r>
      <w:r>
        <w:rPr/>
        <w:t>y</w:t>
      </w:r>
      <w:r>
        <w:rPr>
          <w:spacing w:val="-15"/>
        </w:rPr>
        <w:t> </w:t>
      </w:r>
      <w:r>
        <w:rPr/>
        <w:t>aprendizajes</w:t>
      </w:r>
      <w:r>
        <w:rPr>
          <w:spacing w:val="-15"/>
        </w:rPr>
        <w:t> </w:t>
      </w:r>
      <w:r>
        <w:rPr/>
        <w:t>profundos.</w:t>
      </w:r>
      <w:r>
        <w:rPr>
          <w:spacing w:val="-15"/>
        </w:rPr>
        <w:t> </w:t>
      </w:r>
      <w:r>
        <w:rPr/>
        <w:t>Este</w:t>
      </w:r>
      <w:r>
        <w:rPr>
          <w:spacing w:val="-14"/>
        </w:rPr>
        <w:t> </w:t>
      </w:r>
      <w:r>
        <w:rPr/>
        <w:t>logro no</w:t>
      </w:r>
      <w:r>
        <w:rPr>
          <w:spacing w:val="-7"/>
        </w:rPr>
        <w:t> </w:t>
      </w:r>
      <w:r>
        <w:rPr/>
        <w:t>me</w:t>
      </w:r>
      <w:r>
        <w:rPr>
          <w:spacing w:val="-5"/>
        </w:rPr>
        <w:t> </w:t>
      </w:r>
      <w:r>
        <w:rPr/>
        <w:t>pertenece</w:t>
      </w:r>
      <w:r>
        <w:rPr>
          <w:spacing w:val="-5"/>
        </w:rPr>
        <w:t> </w:t>
      </w:r>
      <w:r>
        <w:rPr/>
        <w:t>únicamente</w:t>
      </w:r>
      <w:r>
        <w:rPr>
          <w:spacing w:val="-5"/>
        </w:rPr>
        <w:t> </w:t>
      </w:r>
      <w:r>
        <w:rPr/>
        <w:t>a</w:t>
      </w:r>
      <w:r>
        <w:rPr>
          <w:spacing w:val="-9"/>
        </w:rPr>
        <w:t> </w:t>
      </w:r>
      <w:r>
        <w:rPr/>
        <w:t>mí,</w:t>
      </w:r>
      <w:r>
        <w:rPr>
          <w:spacing w:val="-7"/>
        </w:rPr>
        <w:t> </w:t>
      </w:r>
      <w:r>
        <w:rPr/>
        <w:t>sino</w:t>
      </w:r>
      <w:r>
        <w:rPr>
          <w:spacing w:val="-10"/>
        </w:rPr>
        <w:t> </w:t>
      </w:r>
      <w:r>
        <w:rPr/>
        <w:t>también</w:t>
      </w:r>
      <w:r>
        <w:rPr>
          <w:spacing w:val="-10"/>
        </w:rPr>
        <w:t> </w:t>
      </w:r>
      <w:r>
        <w:rPr/>
        <w:t>a</w:t>
      </w:r>
      <w:r>
        <w:rPr>
          <w:spacing w:val="-5"/>
        </w:rPr>
        <w:t> </w:t>
      </w:r>
      <w:r>
        <w:rPr/>
        <w:t>todas</w:t>
      </w:r>
      <w:r>
        <w:rPr>
          <w:spacing w:val="-12"/>
        </w:rPr>
        <w:t> </w:t>
      </w:r>
      <w:r>
        <w:rPr/>
        <w:t>las</w:t>
      </w:r>
      <w:r>
        <w:rPr>
          <w:spacing w:val="-8"/>
        </w:rPr>
        <w:t> </w:t>
      </w:r>
      <w:r>
        <w:rPr/>
        <w:t>personas</w:t>
      </w:r>
      <w:r>
        <w:rPr>
          <w:spacing w:val="-8"/>
        </w:rPr>
        <w:t> </w:t>
      </w:r>
      <w:r>
        <w:rPr/>
        <w:t>que</w:t>
      </w:r>
      <w:r>
        <w:rPr>
          <w:spacing w:val="-9"/>
        </w:rPr>
        <w:t> </w:t>
      </w:r>
      <w:r>
        <w:rPr/>
        <w:t>estuvieron a</w:t>
      </w:r>
      <w:r>
        <w:rPr>
          <w:spacing w:val="-8"/>
        </w:rPr>
        <w:t> </w:t>
      </w:r>
      <w:r>
        <w:rPr/>
        <w:t>mi</w:t>
      </w:r>
      <w:r>
        <w:rPr>
          <w:spacing w:val="-8"/>
        </w:rPr>
        <w:t> </w:t>
      </w:r>
      <w:r>
        <w:rPr/>
        <w:t>lado</w:t>
      </w:r>
      <w:r>
        <w:rPr>
          <w:spacing w:val="-9"/>
        </w:rPr>
        <w:t> </w:t>
      </w:r>
      <w:r>
        <w:rPr/>
        <w:t>durante</w:t>
      </w:r>
      <w:r>
        <w:rPr>
          <w:spacing w:val="-8"/>
        </w:rPr>
        <w:t> </w:t>
      </w:r>
      <w:r>
        <w:rPr/>
        <w:t>este</w:t>
      </w:r>
      <w:r>
        <w:rPr>
          <w:spacing w:val="-8"/>
        </w:rPr>
        <w:t> </w:t>
      </w:r>
      <w:r>
        <w:rPr/>
        <w:t>proceso,</w:t>
      </w:r>
      <w:r>
        <w:rPr>
          <w:spacing w:val="-9"/>
        </w:rPr>
        <w:t> </w:t>
      </w:r>
      <w:r>
        <w:rPr/>
        <w:t>incluyendo</w:t>
      </w:r>
      <w:r>
        <w:rPr>
          <w:spacing w:val="-13"/>
        </w:rPr>
        <w:t> </w:t>
      </w:r>
      <w:r>
        <w:rPr/>
        <w:t>a</w:t>
      </w:r>
      <w:r>
        <w:rPr>
          <w:spacing w:val="-8"/>
        </w:rPr>
        <w:t> </w:t>
      </w:r>
      <w:r>
        <w:rPr/>
        <w:t>mis</w:t>
      </w:r>
      <w:r>
        <w:rPr>
          <w:spacing w:val="-11"/>
        </w:rPr>
        <w:t> </w:t>
      </w:r>
      <w:r>
        <w:rPr/>
        <w:t>compañeros</w:t>
      </w:r>
      <w:r>
        <w:rPr>
          <w:spacing w:val="-11"/>
        </w:rPr>
        <w:t> </w:t>
      </w:r>
      <w:r>
        <w:rPr/>
        <w:t>de</w:t>
      </w:r>
      <w:r>
        <w:rPr>
          <w:spacing w:val="-8"/>
        </w:rPr>
        <w:t> </w:t>
      </w:r>
      <w:r>
        <w:rPr/>
        <w:t>curso,</w:t>
      </w:r>
      <w:r>
        <w:rPr>
          <w:spacing w:val="-9"/>
        </w:rPr>
        <w:t> </w:t>
      </w:r>
      <w:r>
        <w:rPr/>
        <w:t>quienes</w:t>
      </w:r>
      <w:r>
        <w:rPr>
          <w:spacing w:val="-11"/>
        </w:rPr>
        <w:t> </w:t>
      </w:r>
      <w:r>
        <w:rPr/>
        <w:t>con el tiempo se convirtieron en una verdadera familia.</w:t>
      </w:r>
      <w:r>
        <w:rPr>
          <w:spacing w:val="40"/>
        </w:rPr>
        <w:t> </w:t>
      </w:r>
      <w:r>
        <w:rPr/>
        <w:t>Finalmente, dedico a la Universidad Estatal de Bolívar que me acogió, y me brindo el espacio y la oportunidad para formarme y crecer como futura profesional.</w:t>
      </w:r>
    </w:p>
    <w:p>
      <w:pPr>
        <w:spacing w:before="241"/>
        <w:ind w:left="6882" w:right="0" w:firstLine="0"/>
        <w:jc w:val="both"/>
        <w:rPr>
          <w:i/>
          <w:sz w:val="24"/>
        </w:rPr>
      </w:pPr>
      <w:r>
        <w:rPr>
          <w:i/>
          <w:color w:val="0D0D0D"/>
          <w:sz w:val="24"/>
        </w:rPr>
        <w:t>Joselyn</w:t>
      </w:r>
      <w:r>
        <w:rPr>
          <w:i/>
          <w:color w:val="0D0D0D"/>
          <w:spacing w:val="1"/>
          <w:sz w:val="24"/>
        </w:rPr>
        <w:t> </w:t>
      </w:r>
      <w:r>
        <w:rPr>
          <w:i/>
          <w:color w:val="0D0D0D"/>
          <w:spacing w:val="-2"/>
          <w:sz w:val="24"/>
        </w:rPr>
        <w:t>Guevara</w:t>
      </w:r>
    </w:p>
    <w:p>
      <w:pPr>
        <w:spacing w:after="0"/>
        <w:jc w:val="both"/>
        <w:rPr>
          <w:i/>
          <w:sz w:val="24"/>
        </w:rPr>
        <w:sectPr>
          <w:footerReference w:type="default" r:id="rId10"/>
          <w:pgSz w:w="11910" w:h="16840"/>
          <w:pgMar w:header="0" w:footer="1038" w:top="1620" w:bottom="1220" w:left="1700" w:right="1559"/>
          <w:pgNumType w:start="4"/>
        </w:sectPr>
      </w:pPr>
    </w:p>
    <w:p>
      <w:pPr>
        <w:pStyle w:val="Heading1"/>
        <w:ind w:left="603" w:right="180"/>
      </w:pPr>
      <w:r>
        <w:rPr>
          <w:spacing w:val="-2"/>
        </w:rPr>
        <w:t>DEDICATORIA</w:t>
      </w:r>
    </w:p>
    <w:p>
      <w:pPr>
        <w:pStyle w:val="BodyText"/>
        <w:spacing w:before="77"/>
        <w:rPr>
          <w:b/>
          <w:sz w:val="28"/>
        </w:rPr>
      </w:pPr>
    </w:p>
    <w:p>
      <w:pPr>
        <w:pStyle w:val="BodyText"/>
        <w:spacing w:line="480" w:lineRule="auto"/>
        <w:ind w:left="568" w:right="147"/>
        <w:jc w:val="both"/>
      </w:pPr>
      <w:r>
        <w:rPr>
          <w:color w:val="0D0D0D"/>
        </w:rPr>
        <w:t>Dedico</w:t>
      </w:r>
      <w:r>
        <w:rPr>
          <w:color w:val="0D0D0D"/>
          <w:spacing w:val="-9"/>
        </w:rPr>
        <w:t> </w:t>
      </w:r>
      <w:r>
        <w:rPr>
          <w:color w:val="0D0D0D"/>
        </w:rPr>
        <w:t>este</w:t>
      </w:r>
      <w:r>
        <w:rPr>
          <w:color w:val="0D0D0D"/>
          <w:spacing w:val="-11"/>
        </w:rPr>
        <w:t> </w:t>
      </w:r>
      <w:r>
        <w:rPr>
          <w:color w:val="0D0D0D"/>
        </w:rPr>
        <w:t>trabajo</w:t>
      </w:r>
      <w:r>
        <w:rPr>
          <w:color w:val="0D0D0D"/>
          <w:spacing w:val="-9"/>
        </w:rPr>
        <w:t> </w:t>
      </w:r>
      <w:r>
        <w:rPr>
          <w:color w:val="0D0D0D"/>
        </w:rPr>
        <w:t>de</w:t>
      </w:r>
      <w:r>
        <w:rPr>
          <w:color w:val="0D0D0D"/>
          <w:spacing w:val="-11"/>
        </w:rPr>
        <w:t> </w:t>
      </w:r>
      <w:r>
        <w:rPr>
          <w:color w:val="0D0D0D"/>
        </w:rPr>
        <w:t>tesis,</w:t>
      </w:r>
      <w:r>
        <w:rPr>
          <w:color w:val="0D0D0D"/>
          <w:spacing w:val="-9"/>
        </w:rPr>
        <w:t> </w:t>
      </w:r>
      <w:r>
        <w:rPr>
          <w:color w:val="0D0D0D"/>
        </w:rPr>
        <w:t>fruto</w:t>
      </w:r>
      <w:r>
        <w:rPr>
          <w:color w:val="0D0D0D"/>
          <w:spacing w:val="-9"/>
        </w:rPr>
        <w:t> </w:t>
      </w:r>
      <w:r>
        <w:rPr>
          <w:color w:val="0D0D0D"/>
        </w:rPr>
        <w:t>de</w:t>
      </w:r>
      <w:r>
        <w:rPr>
          <w:color w:val="0D0D0D"/>
          <w:spacing w:val="-7"/>
        </w:rPr>
        <w:t> </w:t>
      </w:r>
      <w:r>
        <w:rPr>
          <w:color w:val="0D0D0D"/>
        </w:rPr>
        <w:t>años</w:t>
      </w:r>
      <w:r>
        <w:rPr>
          <w:color w:val="0D0D0D"/>
          <w:spacing w:val="-14"/>
        </w:rPr>
        <w:t> </w:t>
      </w:r>
      <w:r>
        <w:rPr>
          <w:color w:val="0D0D0D"/>
        </w:rPr>
        <w:t>de</w:t>
      </w:r>
      <w:r>
        <w:rPr>
          <w:color w:val="0D0D0D"/>
          <w:spacing w:val="-7"/>
        </w:rPr>
        <w:t> </w:t>
      </w:r>
      <w:r>
        <w:rPr>
          <w:color w:val="0D0D0D"/>
        </w:rPr>
        <w:t>esfuerzo,</w:t>
      </w:r>
      <w:r>
        <w:rPr>
          <w:color w:val="0D0D0D"/>
          <w:spacing w:val="-9"/>
        </w:rPr>
        <w:t> </w:t>
      </w:r>
      <w:r>
        <w:rPr>
          <w:color w:val="0D0D0D"/>
        </w:rPr>
        <w:t>aprendizaje</w:t>
      </w:r>
      <w:r>
        <w:rPr>
          <w:color w:val="0D0D0D"/>
          <w:spacing w:val="-11"/>
        </w:rPr>
        <w:t> </w:t>
      </w:r>
      <w:r>
        <w:rPr>
          <w:color w:val="0D0D0D"/>
        </w:rPr>
        <w:t>y</w:t>
      </w:r>
      <w:r>
        <w:rPr>
          <w:color w:val="0D0D0D"/>
          <w:spacing w:val="-9"/>
        </w:rPr>
        <w:t> </w:t>
      </w:r>
      <w:r>
        <w:rPr>
          <w:color w:val="0D0D0D"/>
        </w:rPr>
        <w:t>perseverancia, a las personas que han sido mi mayor fortaleza a lo largo de este camino.</w:t>
      </w:r>
    </w:p>
    <w:p>
      <w:pPr>
        <w:pStyle w:val="BodyText"/>
        <w:spacing w:line="480" w:lineRule="auto" w:before="241"/>
        <w:ind w:left="568" w:right="140"/>
        <w:jc w:val="both"/>
      </w:pPr>
      <w:r>
        <w:rPr>
          <w:color w:val="0D0D0D"/>
        </w:rPr>
        <w:t>A</w:t>
      </w:r>
      <w:r>
        <w:rPr>
          <w:color w:val="0D0D0D"/>
          <w:spacing w:val="-7"/>
        </w:rPr>
        <w:t> </w:t>
      </w:r>
      <w:r>
        <w:rPr>
          <w:color w:val="0D0D0D"/>
        </w:rPr>
        <w:t>mi madre, Isabel, por su amor infinito y su apoyo emocional incondicional, por sostenerme en los momentos de duda y por enseñarme con su ejemplo el valor de la constancia y la fe.</w:t>
      </w:r>
      <w:r>
        <w:rPr>
          <w:color w:val="0D0D0D"/>
          <w:spacing w:val="-7"/>
        </w:rPr>
        <w:t> </w:t>
      </w:r>
      <w:r>
        <w:rPr>
          <w:color w:val="0D0D0D"/>
        </w:rPr>
        <w:t>A</w:t>
      </w:r>
      <w:r>
        <w:rPr>
          <w:color w:val="0D0D0D"/>
          <w:spacing w:val="-12"/>
        </w:rPr>
        <w:t> </w:t>
      </w:r>
      <w:r>
        <w:rPr>
          <w:color w:val="0D0D0D"/>
        </w:rPr>
        <w:t>mi padre,</w:t>
      </w:r>
      <w:r>
        <w:rPr>
          <w:color w:val="0D0D0D"/>
          <w:spacing w:val="-3"/>
        </w:rPr>
        <w:t> </w:t>
      </w:r>
      <w:r>
        <w:rPr>
          <w:color w:val="0D0D0D"/>
        </w:rPr>
        <w:t>Víctor,</w:t>
      </w:r>
      <w:r>
        <w:rPr>
          <w:color w:val="0D0D0D"/>
          <w:spacing w:val="-4"/>
        </w:rPr>
        <w:t> </w:t>
      </w:r>
      <w:r>
        <w:rPr>
          <w:color w:val="0D0D0D"/>
        </w:rPr>
        <w:t>mi pilar fundamental, por ser el cimiento sobre el cual he construido mis sueños. Gracias por tu esfuerzo incansable, por tu apoyo económico y, sobre todo, por tu respaldo incondicional en cada etapa de mi vida.</w:t>
      </w:r>
      <w:r>
        <w:rPr>
          <w:color w:val="0D0D0D"/>
          <w:spacing w:val="-15"/>
        </w:rPr>
        <w:t> </w:t>
      </w:r>
      <w:r>
        <w:rPr>
          <w:color w:val="0D0D0D"/>
        </w:rPr>
        <w:t>Tu</w:t>
      </w:r>
      <w:r>
        <w:rPr>
          <w:color w:val="0D0D0D"/>
          <w:spacing w:val="-11"/>
        </w:rPr>
        <w:t> </w:t>
      </w:r>
      <w:r>
        <w:rPr>
          <w:color w:val="0D0D0D"/>
        </w:rPr>
        <w:t>sacrificio,</w:t>
      </w:r>
      <w:r>
        <w:rPr>
          <w:color w:val="0D0D0D"/>
          <w:spacing w:val="-11"/>
        </w:rPr>
        <w:t> </w:t>
      </w:r>
      <w:r>
        <w:rPr>
          <w:color w:val="0D0D0D"/>
        </w:rPr>
        <w:t>confianza</w:t>
      </w:r>
      <w:r>
        <w:rPr>
          <w:color w:val="0D0D0D"/>
          <w:spacing w:val="-6"/>
        </w:rPr>
        <w:t> </w:t>
      </w:r>
      <w:r>
        <w:rPr>
          <w:color w:val="0D0D0D"/>
        </w:rPr>
        <w:t>y</w:t>
      </w:r>
      <w:r>
        <w:rPr>
          <w:color w:val="0D0D0D"/>
          <w:spacing w:val="-11"/>
        </w:rPr>
        <w:t> </w:t>
      </w:r>
      <w:r>
        <w:rPr>
          <w:color w:val="0D0D0D"/>
        </w:rPr>
        <w:t>ejemplo</w:t>
      </w:r>
      <w:r>
        <w:rPr>
          <w:color w:val="0D0D0D"/>
          <w:spacing w:val="-11"/>
        </w:rPr>
        <w:t> </w:t>
      </w:r>
      <w:r>
        <w:rPr>
          <w:color w:val="0D0D0D"/>
        </w:rPr>
        <w:t>de</w:t>
      </w:r>
      <w:r>
        <w:rPr>
          <w:color w:val="0D0D0D"/>
          <w:spacing w:val="-14"/>
        </w:rPr>
        <w:t> </w:t>
      </w:r>
      <w:r>
        <w:rPr>
          <w:color w:val="0D0D0D"/>
        </w:rPr>
        <w:t>trabajo</w:t>
      </w:r>
      <w:r>
        <w:rPr>
          <w:color w:val="0D0D0D"/>
          <w:spacing w:val="-11"/>
        </w:rPr>
        <w:t> </w:t>
      </w:r>
      <w:r>
        <w:rPr>
          <w:color w:val="0D0D0D"/>
        </w:rPr>
        <w:t>han</w:t>
      </w:r>
      <w:r>
        <w:rPr>
          <w:color w:val="0D0D0D"/>
          <w:spacing w:val="-11"/>
        </w:rPr>
        <w:t> </w:t>
      </w:r>
      <w:r>
        <w:rPr>
          <w:color w:val="0D0D0D"/>
        </w:rPr>
        <w:t>sido</w:t>
      </w:r>
      <w:r>
        <w:rPr>
          <w:color w:val="0D0D0D"/>
          <w:spacing w:val="-11"/>
        </w:rPr>
        <w:t> </w:t>
      </w:r>
      <w:r>
        <w:rPr>
          <w:color w:val="0D0D0D"/>
        </w:rPr>
        <w:t>la</w:t>
      </w:r>
      <w:r>
        <w:rPr>
          <w:color w:val="0D0D0D"/>
          <w:spacing w:val="-10"/>
        </w:rPr>
        <w:t> </w:t>
      </w:r>
      <w:r>
        <w:rPr>
          <w:color w:val="0D0D0D"/>
        </w:rPr>
        <w:t>base</w:t>
      </w:r>
      <w:r>
        <w:rPr>
          <w:color w:val="0D0D0D"/>
          <w:spacing w:val="-10"/>
        </w:rPr>
        <w:t> </w:t>
      </w:r>
      <w:r>
        <w:rPr>
          <w:color w:val="0D0D0D"/>
        </w:rPr>
        <w:t>que</w:t>
      </w:r>
      <w:r>
        <w:rPr>
          <w:color w:val="0D0D0D"/>
          <w:spacing w:val="-10"/>
        </w:rPr>
        <w:t> </w:t>
      </w:r>
      <w:r>
        <w:rPr>
          <w:color w:val="0D0D0D"/>
        </w:rPr>
        <w:t>me</w:t>
      </w:r>
      <w:r>
        <w:rPr>
          <w:color w:val="0D0D0D"/>
          <w:spacing w:val="-10"/>
        </w:rPr>
        <w:t> </w:t>
      </w:r>
      <w:r>
        <w:rPr>
          <w:color w:val="0D0D0D"/>
        </w:rPr>
        <w:t>permitió llegar hasta aquí. Este logro es también tuyo. A mi hermano, Andrés, por estar siempre pendiente de mí, por su apoyo constante y por acompañarme con ánimo sincero en cada paso de este proceso.</w:t>
      </w:r>
    </w:p>
    <w:p>
      <w:pPr>
        <w:pStyle w:val="BodyText"/>
        <w:spacing w:line="480" w:lineRule="auto" w:before="241"/>
        <w:ind w:left="568" w:right="145"/>
        <w:jc w:val="both"/>
      </w:pPr>
      <w:r>
        <w:rPr>
          <w:color w:val="0D0D0D"/>
        </w:rPr>
        <w:t>A</w:t>
      </w:r>
      <w:r>
        <w:rPr>
          <w:color w:val="0D0D0D"/>
          <w:spacing w:val="-8"/>
        </w:rPr>
        <w:t> </w:t>
      </w:r>
      <w:r>
        <w:rPr>
          <w:color w:val="0D0D0D"/>
        </w:rPr>
        <w:t>mi novia, Joselyn, quien estuvo a mi lado durante todo el proceso universitario, acompañándome con paciencia, amor incondicional y palabras de aliento.</w:t>
      </w:r>
      <w:r>
        <w:rPr>
          <w:color w:val="0D0D0D"/>
          <w:spacing w:val="-1"/>
        </w:rPr>
        <w:t> </w:t>
      </w:r>
      <w:r>
        <w:rPr>
          <w:color w:val="0D0D0D"/>
        </w:rPr>
        <w:t>Gracias por</w:t>
      </w:r>
      <w:r>
        <w:rPr>
          <w:color w:val="0D0D0D"/>
          <w:spacing w:val="-6"/>
        </w:rPr>
        <w:t> </w:t>
      </w:r>
      <w:r>
        <w:rPr>
          <w:color w:val="0D0D0D"/>
        </w:rPr>
        <w:t>ser</w:t>
      </w:r>
      <w:r>
        <w:rPr>
          <w:color w:val="0D0D0D"/>
          <w:spacing w:val="-6"/>
        </w:rPr>
        <w:t> </w:t>
      </w:r>
      <w:r>
        <w:rPr>
          <w:color w:val="0D0D0D"/>
        </w:rPr>
        <w:t>mi</w:t>
      </w:r>
      <w:r>
        <w:rPr>
          <w:color w:val="0D0D0D"/>
          <w:spacing w:val="-6"/>
        </w:rPr>
        <w:t> </w:t>
      </w:r>
      <w:r>
        <w:rPr>
          <w:color w:val="0D0D0D"/>
        </w:rPr>
        <w:t>compañera</w:t>
      </w:r>
      <w:r>
        <w:rPr>
          <w:color w:val="0D0D0D"/>
          <w:spacing w:val="-5"/>
        </w:rPr>
        <w:t> </w:t>
      </w:r>
      <w:r>
        <w:rPr>
          <w:color w:val="0D0D0D"/>
        </w:rPr>
        <w:t>fiel,</w:t>
      </w:r>
      <w:r>
        <w:rPr>
          <w:color w:val="0D0D0D"/>
          <w:spacing w:val="-7"/>
        </w:rPr>
        <w:t> </w:t>
      </w:r>
      <w:r>
        <w:rPr>
          <w:color w:val="0D0D0D"/>
        </w:rPr>
        <w:t>por</w:t>
      </w:r>
      <w:r>
        <w:rPr>
          <w:color w:val="0D0D0D"/>
          <w:spacing w:val="-6"/>
        </w:rPr>
        <w:t> </w:t>
      </w:r>
      <w:r>
        <w:rPr>
          <w:color w:val="0D0D0D"/>
        </w:rPr>
        <w:t>motivarme</w:t>
      </w:r>
      <w:r>
        <w:rPr>
          <w:color w:val="0D0D0D"/>
          <w:spacing w:val="-9"/>
        </w:rPr>
        <w:t> </w:t>
      </w:r>
      <w:r>
        <w:rPr>
          <w:color w:val="0D0D0D"/>
        </w:rPr>
        <w:t>a</w:t>
      </w:r>
      <w:r>
        <w:rPr>
          <w:color w:val="0D0D0D"/>
          <w:spacing w:val="-5"/>
        </w:rPr>
        <w:t> </w:t>
      </w:r>
      <w:r>
        <w:rPr>
          <w:color w:val="0D0D0D"/>
        </w:rPr>
        <w:t>no</w:t>
      </w:r>
      <w:r>
        <w:rPr>
          <w:color w:val="0D0D0D"/>
          <w:spacing w:val="-7"/>
        </w:rPr>
        <w:t> </w:t>
      </w:r>
      <w:r>
        <w:rPr>
          <w:color w:val="0D0D0D"/>
        </w:rPr>
        <w:t>rendirme</w:t>
      </w:r>
      <w:r>
        <w:rPr>
          <w:color w:val="0D0D0D"/>
          <w:spacing w:val="-5"/>
        </w:rPr>
        <w:t> </w:t>
      </w:r>
      <w:r>
        <w:rPr>
          <w:color w:val="0D0D0D"/>
        </w:rPr>
        <w:t>y</w:t>
      </w:r>
      <w:r>
        <w:rPr>
          <w:color w:val="0D0D0D"/>
          <w:spacing w:val="-7"/>
        </w:rPr>
        <w:t> </w:t>
      </w:r>
      <w:r>
        <w:rPr>
          <w:color w:val="0D0D0D"/>
        </w:rPr>
        <w:t>por</w:t>
      </w:r>
      <w:r>
        <w:rPr>
          <w:color w:val="0D0D0D"/>
          <w:spacing w:val="-6"/>
        </w:rPr>
        <w:t> </w:t>
      </w:r>
      <w:r>
        <w:rPr>
          <w:color w:val="0D0D0D"/>
        </w:rPr>
        <w:t>demostrarme</w:t>
      </w:r>
      <w:r>
        <w:rPr>
          <w:color w:val="0D0D0D"/>
          <w:spacing w:val="-5"/>
        </w:rPr>
        <w:t> </w:t>
      </w:r>
      <w:r>
        <w:rPr>
          <w:color w:val="0D0D0D"/>
        </w:rPr>
        <w:t>que</w:t>
      </w:r>
      <w:r>
        <w:rPr>
          <w:color w:val="0D0D0D"/>
          <w:spacing w:val="-5"/>
        </w:rPr>
        <w:t> </w:t>
      </w:r>
      <w:r>
        <w:rPr>
          <w:color w:val="0D0D0D"/>
        </w:rPr>
        <w:t>no estaba solo en ningún momento.</w:t>
      </w:r>
    </w:p>
    <w:p>
      <w:pPr>
        <w:pStyle w:val="BodyText"/>
        <w:spacing w:line="480" w:lineRule="auto" w:before="241"/>
        <w:ind w:left="568" w:right="144"/>
        <w:jc w:val="both"/>
      </w:pPr>
      <w:r>
        <w:rPr>
          <w:color w:val="0D0D0D"/>
          <w:spacing w:val="-2"/>
        </w:rPr>
        <w:t>Y</w:t>
      </w:r>
      <w:r>
        <w:rPr>
          <w:color w:val="0D0D0D"/>
          <w:spacing w:val="-13"/>
        </w:rPr>
        <w:t> </w:t>
      </w:r>
      <w:r>
        <w:rPr>
          <w:color w:val="0D0D0D"/>
          <w:spacing w:val="-2"/>
        </w:rPr>
        <w:t>a</w:t>
      </w:r>
      <w:r>
        <w:rPr>
          <w:color w:val="0D0D0D"/>
          <w:spacing w:val="-11"/>
        </w:rPr>
        <w:t> </w:t>
      </w:r>
      <w:r>
        <w:rPr>
          <w:color w:val="0D0D0D"/>
          <w:spacing w:val="-2"/>
        </w:rPr>
        <w:t>mis</w:t>
      </w:r>
      <w:r>
        <w:rPr>
          <w:color w:val="0D0D0D"/>
          <w:spacing w:val="-9"/>
        </w:rPr>
        <w:t> </w:t>
      </w:r>
      <w:r>
        <w:rPr>
          <w:color w:val="0D0D0D"/>
          <w:spacing w:val="-2"/>
        </w:rPr>
        <w:t>mascotas,</w:t>
      </w:r>
      <w:r>
        <w:rPr>
          <w:color w:val="0D0D0D"/>
          <w:spacing w:val="-8"/>
        </w:rPr>
        <w:t> </w:t>
      </w:r>
      <w:r>
        <w:rPr>
          <w:color w:val="0D0D0D"/>
          <w:spacing w:val="-2"/>
        </w:rPr>
        <w:t>Maverick</w:t>
      </w:r>
      <w:r>
        <w:rPr>
          <w:color w:val="0D0D0D"/>
          <w:spacing w:val="-8"/>
        </w:rPr>
        <w:t> </w:t>
      </w:r>
      <w:r>
        <w:rPr>
          <w:color w:val="0D0D0D"/>
          <w:spacing w:val="-2"/>
        </w:rPr>
        <w:t>y</w:t>
      </w:r>
      <w:r>
        <w:rPr>
          <w:color w:val="0D0D0D"/>
          <w:spacing w:val="-8"/>
        </w:rPr>
        <w:t> </w:t>
      </w:r>
      <w:r>
        <w:rPr>
          <w:color w:val="0D0D0D"/>
          <w:spacing w:val="-2"/>
        </w:rPr>
        <w:t>Gomita,</w:t>
      </w:r>
      <w:r>
        <w:rPr>
          <w:color w:val="0D0D0D"/>
          <w:spacing w:val="-8"/>
        </w:rPr>
        <w:t> </w:t>
      </w:r>
      <w:r>
        <w:rPr>
          <w:color w:val="0D0D0D"/>
          <w:spacing w:val="-2"/>
        </w:rPr>
        <w:t>quienes</w:t>
      </w:r>
      <w:r>
        <w:rPr>
          <w:color w:val="0D0D0D"/>
          <w:spacing w:val="-9"/>
        </w:rPr>
        <w:t> </w:t>
      </w:r>
      <w:r>
        <w:rPr>
          <w:color w:val="0D0D0D"/>
          <w:spacing w:val="-2"/>
        </w:rPr>
        <w:t>con</w:t>
      </w:r>
      <w:r>
        <w:rPr>
          <w:color w:val="0D0D0D"/>
          <w:spacing w:val="-8"/>
        </w:rPr>
        <w:t> </w:t>
      </w:r>
      <w:r>
        <w:rPr>
          <w:color w:val="0D0D0D"/>
          <w:spacing w:val="-2"/>
        </w:rPr>
        <w:t>su</w:t>
      </w:r>
      <w:r>
        <w:rPr>
          <w:color w:val="0D0D0D"/>
          <w:spacing w:val="-8"/>
        </w:rPr>
        <w:t> </w:t>
      </w:r>
      <w:r>
        <w:rPr>
          <w:color w:val="0D0D0D"/>
          <w:spacing w:val="-2"/>
        </w:rPr>
        <w:t>ternura</w:t>
      </w:r>
      <w:r>
        <w:rPr>
          <w:color w:val="0D0D0D"/>
          <w:spacing w:val="-5"/>
        </w:rPr>
        <w:t> </w:t>
      </w:r>
      <w:r>
        <w:rPr>
          <w:color w:val="0D0D0D"/>
          <w:spacing w:val="-2"/>
        </w:rPr>
        <w:t>y</w:t>
      </w:r>
      <w:r>
        <w:rPr>
          <w:color w:val="0D0D0D"/>
          <w:spacing w:val="-8"/>
        </w:rPr>
        <w:t> </w:t>
      </w:r>
      <w:r>
        <w:rPr>
          <w:color w:val="0D0D0D"/>
          <w:spacing w:val="-2"/>
        </w:rPr>
        <w:t>compañía</w:t>
      </w:r>
      <w:r>
        <w:rPr>
          <w:color w:val="0D0D0D"/>
          <w:spacing w:val="-5"/>
        </w:rPr>
        <w:t> </w:t>
      </w:r>
      <w:r>
        <w:rPr>
          <w:color w:val="0D0D0D"/>
          <w:spacing w:val="-2"/>
        </w:rPr>
        <w:t>silenciosa </w:t>
      </w:r>
      <w:r>
        <w:rPr>
          <w:color w:val="0D0D0D"/>
        </w:rPr>
        <w:t>hicieron más llevaderos los días largos de estudio. Su alegría y cariño fueron un recordatorio constante de que siempre hay motivos para sonreír, incluso en los momentos de mayor presión.</w:t>
      </w:r>
      <w:r>
        <w:rPr>
          <w:color w:val="0D0D0D"/>
          <w:spacing w:val="-9"/>
        </w:rPr>
        <w:t> </w:t>
      </w:r>
      <w:r>
        <w:rPr>
          <w:color w:val="0D0D0D"/>
        </w:rPr>
        <w:t>A</w:t>
      </w:r>
      <w:r>
        <w:rPr>
          <w:color w:val="0D0D0D"/>
          <w:spacing w:val="-12"/>
        </w:rPr>
        <w:t> </w:t>
      </w:r>
      <w:r>
        <w:rPr>
          <w:color w:val="0D0D0D"/>
        </w:rPr>
        <w:t>todos ustedes, gracias por ser mi fuerza, mi apoyo y mi inspiración. Este logro también les pertenece.</w:t>
      </w:r>
    </w:p>
    <w:p>
      <w:pPr>
        <w:spacing w:before="241"/>
        <w:ind w:left="7415" w:right="0" w:firstLine="0"/>
        <w:jc w:val="both"/>
        <w:rPr>
          <w:i/>
          <w:sz w:val="24"/>
        </w:rPr>
      </w:pPr>
      <w:r>
        <w:rPr>
          <w:i/>
          <w:color w:val="0D0D0D"/>
          <w:sz w:val="24"/>
        </w:rPr>
        <w:t>Erick</w:t>
      </w:r>
      <w:r>
        <w:rPr>
          <w:i/>
          <w:color w:val="0D0D0D"/>
          <w:spacing w:val="2"/>
          <w:sz w:val="24"/>
        </w:rPr>
        <w:t> </w:t>
      </w:r>
      <w:r>
        <w:rPr>
          <w:i/>
          <w:color w:val="0D0D0D"/>
          <w:spacing w:val="-4"/>
          <w:sz w:val="24"/>
        </w:rPr>
        <w:t>Baño</w:t>
      </w:r>
    </w:p>
    <w:p>
      <w:pPr>
        <w:spacing w:after="0"/>
        <w:jc w:val="both"/>
        <w:rPr>
          <w:i/>
          <w:sz w:val="24"/>
        </w:rPr>
        <w:sectPr>
          <w:pgSz w:w="11910" w:h="16840"/>
          <w:pgMar w:header="0" w:footer="1038" w:top="1620" w:bottom="1220" w:left="1700" w:right="1559"/>
        </w:sectPr>
      </w:pPr>
    </w:p>
    <w:p>
      <w:pPr>
        <w:pStyle w:val="Heading1"/>
        <w:ind w:left="606" w:right="180"/>
      </w:pPr>
      <w:r>
        <w:rPr>
          <w:spacing w:val="-2"/>
        </w:rPr>
        <w:t>AGRADECIMIENTO</w:t>
      </w:r>
    </w:p>
    <w:p>
      <w:pPr>
        <w:pStyle w:val="BodyText"/>
        <w:spacing w:before="77"/>
        <w:rPr>
          <w:b/>
          <w:sz w:val="28"/>
        </w:rPr>
      </w:pPr>
    </w:p>
    <w:p>
      <w:pPr>
        <w:pStyle w:val="BodyText"/>
        <w:spacing w:line="480" w:lineRule="auto"/>
        <w:ind w:left="568" w:right="139"/>
        <w:jc w:val="both"/>
      </w:pPr>
      <w:r>
        <w:rPr>
          <w:color w:val="0D0D0D"/>
        </w:rPr>
        <w:t>Expresamos nuestro sincero agradecimiento a las autoridades y docentes de la </w:t>
      </w:r>
      <w:r>
        <w:rPr>
          <w:color w:val="0D0D0D"/>
          <w:spacing w:val="-2"/>
        </w:rPr>
        <w:t>Universidad</w:t>
      </w:r>
      <w:r>
        <w:rPr>
          <w:color w:val="0D0D0D"/>
          <w:spacing w:val="-13"/>
        </w:rPr>
        <w:t> </w:t>
      </w:r>
      <w:r>
        <w:rPr>
          <w:color w:val="0D0D0D"/>
          <w:spacing w:val="-2"/>
        </w:rPr>
        <w:t>Estatal</w:t>
      </w:r>
      <w:r>
        <w:rPr>
          <w:color w:val="0D0D0D"/>
          <w:spacing w:val="-3"/>
        </w:rPr>
        <w:t> </w:t>
      </w:r>
      <w:r>
        <w:rPr>
          <w:color w:val="0D0D0D"/>
          <w:spacing w:val="-2"/>
        </w:rPr>
        <w:t>de Bolívar,</w:t>
      </w:r>
      <w:r>
        <w:rPr>
          <w:color w:val="0D0D0D"/>
          <w:spacing w:val="-9"/>
        </w:rPr>
        <w:t> </w:t>
      </w:r>
      <w:r>
        <w:rPr>
          <w:color w:val="0D0D0D"/>
          <w:spacing w:val="-2"/>
        </w:rPr>
        <w:t>en</w:t>
      </w:r>
      <w:r>
        <w:rPr>
          <w:color w:val="0D0D0D"/>
          <w:spacing w:val="-3"/>
        </w:rPr>
        <w:t> </w:t>
      </w:r>
      <w:r>
        <w:rPr>
          <w:color w:val="0D0D0D"/>
          <w:spacing w:val="-2"/>
        </w:rPr>
        <w:t>especial</w:t>
      </w:r>
      <w:r>
        <w:rPr>
          <w:color w:val="0D0D0D"/>
          <w:spacing w:val="-6"/>
        </w:rPr>
        <w:t> </w:t>
      </w:r>
      <w:r>
        <w:rPr>
          <w:color w:val="0D0D0D"/>
          <w:spacing w:val="-2"/>
        </w:rPr>
        <w:t>a</w:t>
      </w:r>
      <w:r>
        <w:rPr>
          <w:color w:val="0D0D0D"/>
          <w:spacing w:val="-6"/>
        </w:rPr>
        <w:t> </w:t>
      </w:r>
      <w:r>
        <w:rPr>
          <w:color w:val="0D0D0D"/>
          <w:spacing w:val="-2"/>
        </w:rPr>
        <w:t>la</w:t>
      </w:r>
      <w:r>
        <w:rPr>
          <w:color w:val="0D0D0D"/>
          <w:spacing w:val="-6"/>
        </w:rPr>
        <w:t> </w:t>
      </w:r>
      <w:r>
        <w:rPr>
          <w:color w:val="0D0D0D"/>
          <w:spacing w:val="-2"/>
        </w:rPr>
        <w:t>Facultad</w:t>
      </w:r>
      <w:r>
        <w:rPr>
          <w:color w:val="0D0D0D"/>
          <w:spacing w:val="-3"/>
        </w:rPr>
        <w:t> </w:t>
      </w:r>
      <w:r>
        <w:rPr>
          <w:color w:val="0D0D0D"/>
          <w:spacing w:val="-2"/>
        </w:rPr>
        <w:t>de Ciencias</w:t>
      </w:r>
      <w:r>
        <w:rPr>
          <w:color w:val="0D0D0D"/>
          <w:spacing w:val="-13"/>
        </w:rPr>
        <w:t> </w:t>
      </w:r>
      <w:r>
        <w:rPr>
          <w:color w:val="0D0D0D"/>
          <w:spacing w:val="-2"/>
        </w:rPr>
        <w:t>Agropecuarias, </w:t>
      </w:r>
      <w:r>
        <w:rPr>
          <w:color w:val="0D0D0D"/>
        </w:rPr>
        <w:t>Recursos Naturales y del</w:t>
      </w:r>
      <w:r>
        <w:rPr>
          <w:color w:val="0D0D0D"/>
          <w:spacing w:val="-8"/>
        </w:rPr>
        <w:t> </w:t>
      </w:r>
      <w:r>
        <w:rPr>
          <w:color w:val="0D0D0D"/>
        </w:rPr>
        <w:t>Ambiente y a la Carrera de Medicina Veterinaria, por el respaldo académico brindado en conocimiento y experiencia para cumplir nuestra visión profesional y aún más personal. Mil gracias.</w:t>
      </w:r>
    </w:p>
    <w:p>
      <w:pPr>
        <w:pStyle w:val="BodyText"/>
        <w:spacing w:line="480" w:lineRule="auto" w:before="242"/>
        <w:ind w:left="568" w:right="139"/>
        <w:jc w:val="both"/>
      </w:pPr>
      <w:r>
        <w:rPr>
          <w:color w:val="0D0D0D"/>
        </w:rPr>
        <w:t>De</w:t>
      </w:r>
      <w:r>
        <w:rPr>
          <w:color w:val="0D0D0D"/>
          <w:spacing w:val="-9"/>
        </w:rPr>
        <w:t> </w:t>
      </w:r>
      <w:r>
        <w:rPr>
          <w:color w:val="0D0D0D"/>
        </w:rPr>
        <w:t>manera</w:t>
      </w:r>
      <w:r>
        <w:rPr>
          <w:color w:val="0D0D0D"/>
          <w:spacing w:val="-9"/>
        </w:rPr>
        <w:t> </w:t>
      </w:r>
      <w:r>
        <w:rPr>
          <w:color w:val="0D0D0D"/>
        </w:rPr>
        <w:t>especial,</w:t>
      </w:r>
      <w:r>
        <w:rPr>
          <w:color w:val="0D0D0D"/>
          <w:spacing w:val="-11"/>
        </w:rPr>
        <w:t> </w:t>
      </w:r>
      <w:r>
        <w:rPr>
          <w:color w:val="0D0D0D"/>
        </w:rPr>
        <w:t>agradecemos</w:t>
      </w:r>
      <w:r>
        <w:rPr>
          <w:color w:val="0D0D0D"/>
          <w:spacing w:val="-12"/>
        </w:rPr>
        <w:t> </w:t>
      </w:r>
      <w:r>
        <w:rPr>
          <w:color w:val="0D0D0D"/>
        </w:rPr>
        <w:t>al</w:t>
      </w:r>
      <w:r>
        <w:rPr>
          <w:color w:val="0D0D0D"/>
          <w:spacing w:val="-10"/>
        </w:rPr>
        <w:t> </w:t>
      </w:r>
      <w:r>
        <w:rPr>
          <w:color w:val="0D0D0D"/>
        </w:rPr>
        <w:t>Dr.</w:t>
      </w:r>
      <w:r>
        <w:rPr>
          <w:color w:val="0D0D0D"/>
          <w:spacing w:val="-14"/>
        </w:rPr>
        <w:t> </w:t>
      </w:r>
      <w:r>
        <w:rPr>
          <w:color w:val="0D0D0D"/>
        </w:rPr>
        <w:t>Washington</w:t>
      </w:r>
      <w:r>
        <w:rPr>
          <w:color w:val="0D0D0D"/>
          <w:spacing w:val="-11"/>
        </w:rPr>
        <w:t> </w:t>
      </w:r>
      <w:r>
        <w:rPr>
          <w:color w:val="0D0D0D"/>
        </w:rPr>
        <w:t>Fernando</w:t>
      </w:r>
      <w:r>
        <w:rPr>
          <w:color w:val="0D0D0D"/>
          <w:spacing w:val="-11"/>
        </w:rPr>
        <w:t> </w:t>
      </w:r>
      <w:r>
        <w:rPr>
          <w:color w:val="0D0D0D"/>
        </w:rPr>
        <w:t>Carrasco</w:t>
      </w:r>
      <w:r>
        <w:rPr>
          <w:color w:val="0D0D0D"/>
          <w:spacing w:val="-11"/>
        </w:rPr>
        <w:t> </w:t>
      </w:r>
      <w:r>
        <w:rPr>
          <w:color w:val="0D0D0D"/>
        </w:rPr>
        <w:t>Sangache, tutor</w:t>
      </w:r>
      <w:r>
        <w:rPr>
          <w:color w:val="0D0D0D"/>
          <w:spacing w:val="-15"/>
        </w:rPr>
        <w:t> </w:t>
      </w:r>
      <w:r>
        <w:rPr>
          <w:color w:val="0D0D0D"/>
        </w:rPr>
        <w:t>del</w:t>
      </w:r>
      <w:r>
        <w:rPr>
          <w:color w:val="0D0D0D"/>
          <w:spacing w:val="-15"/>
        </w:rPr>
        <w:t> </w:t>
      </w:r>
      <w:r>
        <w:rPr>
          <w:color w:val="0D0D0D"/>
        </w:rPr>
        <w:t>proyecto,</w:t>
      </w:r>
      <w:r>
        <w:rPr>
          <w:color w:val="0D0D0D"/>
          <w:spacing w:val="-15"/>
        </w:rPr>
        <w:t> </w:t>
      </w:r>
      <w:r>
        <w:rPr>
          <w:color w:val="0D0D0D"/>
        </w:rPr>
        <w:t>por</w:t>
      </w:r>
      <w:r>
        <w:rPr>
          <w:color w:val="0D0D0D"/>
          <w:spacing w:val="-15"/>
        </w:rPr>
        <w:t> </w:t>
      </w:r>
      <w:r>
        <w:rPr>
          <w:color w:val="0D0D0D"/>
        </w:rPr>
        <w:t>su</w:t>
      </w:r>
      <w:r>
        <w:rPr>
          <w:color w:val="0D0D0D"/>
          <w:spacing w:val="-15"/>
        </w:rPr>
        <w:t> </w:t>
      </w:r>
      <w:r>
        <w:rPr>
          <w:color w:val="0D0D0D"/>
        </w:rPr>
        <w:t>conocimiento,</w:t>
      </w:r>
      <w:r>
        <w:rPr>
          <w:color w:val="0D0D0D"/>
          <w:spacing w:val="-15"/>
        </w:rPr>
        <w:t> </w:t>
      </w:r>
      <w:r>
        <w:rPr>
          <w:color w:val="0D0D0D"/>
        </w:rPr>
        <w:t>orientación</w:t>
      </w:r>
      <w:r>
        <w:rPr>
          <w:color w:val="0D0D0D"/>
          <w:spacing w:val="-15"/>
        </w:rPr>
        <w:t> </w:t>
      </w:r>
      <w:r>
        <w:rPr>
          <w:color w:val="0D0D0D"/>
        </w:rPr>
        <w:t>y</w:t>
      </w:r>
      <w:r>
        <w:rPr>
          <w:color w:val="0D0D0D"/>
          <w:spacing w:val="-15"/>
        </w:rPr>
        <w:t> </w:t>
      </w:r>
      <w:r>
        <w:rPr>
          <w:color w:val="0D0D0D"/>
        </w:rPr>
        <w:t>acompañamiento</w:t>
      </w:r>
      <w:r>
        <w:rPr>
          <w:color w:val="0D0D0D"/>
          <w:spacing w:val="-15"/>
        </w:rPr>
        <w:t> </w:t>
      </w:r>
      <w:r>
        <w:rPr>
          <w:color w:val="0D0D0D"/>
        </w:rPr>
        <w:t>profesional, los</w:t>
      </w:r>
      <w:r>
        <w:rPr>
          <w:color w:val="0D0D0D"/>
          <w:spacing w:val="-1"/>
        </w:rPr>
        <w:t> </w:t>
      </w:r>
      <w:r>
        <w:rPr>
          <w:color w:val="0D0D0D"/>
        </w:rPr>
        <w:t>cuales</w:t>
      </w:r>
      <w:r>
        <w:rPr>
          <w:color w:val="0D0D0D"/>
          <w:spacing w:val="-1"/>
        </w:rPr>
        <w:t> </w:t>
      </w:r>
      <w:r>
        <w:rPr>
          <w:color w:val="0D0D0D"/>
        </w:rPr>
        <w:t>fueron</w:t>
      </w:r>
      <w:r>
        <w:rPr>
          <w:color w:val="0D0D0D"/>
          <w:spacing w:val="-3"/>
        </w:rPr>
        <w:t> </w:t>
      </w:r>
      <w:r>
        <w:rPr>
          <w:color w:val="0D0D0D"/>
        </w:rPr>
        <w:t>fundamentales</w:t>
      </w:r>
      <w:r>
        <w:rPr>
          <w:color w:val="0D0D0D"/>
          <w:spacing w:val="-5"/>
        </w:rPr>
        <w:t> </w:t>
      </w:r>
      <w:r>
        <w:rPr>
          <w:color w:val="0D0D0D"/>
        </w:rPr>
        <w:t>para</w:t>
      </w:r>
      <w:r>
        <w:rPr>
          <w:color w:val="0D0D0D"/>
          <w:spacing w:val="-2"/>
        </w:rPr>
        <w:t> </w:t>
      </w:r>
      <w:r>
        <w:rPr>
          <w:color w:val="0D0D0D"/>
        </w:rPr>
        <w:t>fortalecer</w:t>
      </w:r>
      <w:r>
        <w:rPr>
          <w:color w:val="0D0D0D"/>
          <w:spacing w:val="-3"/>
        </w:rPr>
        <w:t> </w:t>
      </w:r>
      <w:r>
        <w:rPr>
          <w:color w:val="0D0D0D"/>
        </w:rPr>
        <w:t>el proceso investigativo</w:t>
      </w:r>
      <w:r>
        <w:rPr>
          <w:color w:val="0D0D0D"/>
          <w:spacing w:val="-4"/>
        </w:rPr>
        <w:t> </w:t>
      </w:r>
      <w:r>
        <w:rPr>
          <w:color w:val="0D0D0D"/>
        </w:rPr>
        <w:t>y alcanzar los objetivos planteados propuestos.</w:t>
      </w:r>
    </w:p>
    <w:p>
      <w:pPr>
        <w:pStyle w:val="BodyText"/>
        <w:spacing w:line="480" w:lineRule="auto" w:before="240"/>
        <w:ind w:left="568" w:right="136"/>
        <w:jc w:val="both"/>
      </w:pPr>
      <w:r>
        <w:rPr>
          <w:color w:val="0D0D0D"/>
        </w:rPr>
        <w:t>De igual manera, extendemos nuestro agradecimiento al Dr. Darwin Villamarin propietario del Hospital de Especialidades Veterinarias Vital Pet de la ciudad de Ambato, por el apoyo institucional brindado mediante la facilitación de su equipamiento e instalaciones, lo cual hizo posible la realización de los procedimientos anestésicos y quirúrgicos en caninos. Su colaboración contribuyó al cumplimiento del protocolo establecido y al adecuado desarrollo del mismo.</w:t>
      </w:r>
    </w:p>
    <w:p>
      <w:pPr>
        <w:pStyle w:val="BodyText"/>
      </w:pPr>
    </w:p>
    <w:p>
      <w:pPr>
        <w:pStyle w:val="BodyText"/>
        <w:spacing w:before="101"/>
      </w:pPr>
    </w:p>
    <w:p>
      <w:pPr>
        <w:spacing w:before="0"/>
        <w:ind w:left="0" w:right="142" w:firstLine="0"/>
        <w:jc w:val="right"/>
        <w:rPr>
          <w:i/>
          <w:sz w:val="24"/>
        </w:rPr>
      </w:pPr>
      <w:r>
        <w:rPr>
          <w:i/>
          <w:color w:val="0D0D0D"/>
          <w:sz w:val="24"/>
        </w:rPr>
        <w:t>Joselyn</w:t>
      </w:r>
      <w:r>
        <w:rPr>
          <w:i/>
          <w:color w:val="0D0D0D"/>
          <w:spacing w:val="1"/>
          <w:sz w:val="24"/>
        </w:rPr>
        <w:t> </w:t>
      </w:r>
      <w:r>
        <w:rPr>
          <w:i/>
          <w:color w:val="0D0D0D"/>
          <w:spacing w:val="-2"/>
          <w:sz w:val="24"/>
        </w:rPr>
        <w:t>Guevara</w:t>
      </w:r>
    </w:p>
    <w:p>
      <w:pPr>
        <w:spacing w:before="140"/>
        <w:ind w:left="0" w:right="141" w:firstLine="0"/>
        <w:jc w:val="right"/>
        <w:rPr>
          <w:i/>
          <w:sz w:val="24"/>
        </w:rPr>
      </w:pPr>
      <w:r>
        <w:rPr>
          <w:i/>
          <w:color w:val="0D0D0D"/>
          <w:sz w:val="24"/>
        </w:rPr>
        <w:t>Erick</w:t>
      </w:r>
      <w:r>
        <w:rPr>
          <w:i/>
          <w:color w:val="0D0D0D"/>
          <w:spacing w:val="2"/>
          <w:sz w:val="24"/>
        </w:rPr>
        <w:t> </w:t>
      </w:r>
      <w:r>
        <w:rPr>
          <w:i/>
          <w:color w:val="0D0D0D"/>
          <w:spacing w:val="-4"/>
          <w:sz w:val="24"/>
        </w:rPr>
        <w:t>Baño</w:t>
      </w:r>
    </w:p>
    <w:p>
      <w:pPr>
        <w:spacing w:after="0"/>
        <w:jc w:val="right"/>
        <w:rPr>
          <w:i/>
          <w:sz w:val="24"/>
        </w:rPr>
        <w:sectPr>
          <w:pgSz w:w="11910" w:h="16840"/>
          <w:pgMar w:header="0" w:footer="1038" w:top="1620" w:bottom="1220" w:left="1700" w:right="1559"/>
        </w:sectPr>
      </w:pPr>
    </w:p>
    <w:p>
      <w:pPr>
        <w:pStyle w:val="Heading1"/>
        <w:ind w:left="3005"/>
        <w:jc w:val="left"/>
      </w:pPr>
      <w:r>
        <w:rPr/>
        <w:t>ÍNDICE</w:t>
      </w:r>
      <w:r>
        <w:rPr>
          <w:spacing w:val="-1"/>
        </w:rPr>
        <w:t> </w:t>
      </w:r>
      <w:r>
        <w:rPr/>
        <w:t>DE</w:t>
      </w:r>
      <w:r>
        <w:rPr>
          <w:spacing w:val="-1"/>
        </w:rPr>
        <w:t> </w:t>
      </w:r>
      <w:r>
        <w:rPr>
          <w:spacing w:val="-2"/>
        </w:rPr>
        <w:t>CONTENIDOS</w:t>
      </w:r>
    </w:p>
    <w:p>
      <w:pPr>
        <w:tabs>
          <w:tab w:pos="8078" w:val="left" w:leader="none"/>
        </w:tabs>
        <w:spacing w:before="318"/>
        <w:ind w:left="665" w:right="0" w:firstLine="0"/>
        <w:jc w:val="left"/>
        <w:rPr>
          <w:b/>
          <w:sz w:val="22"/>
        </w:rPr>
      </w:pPr>
      <w:r>
        <w:rPr>
          <w:b/>
          <w:spacing w:val="-2"/>
          <w:sz w:val="22"/>
        </w:rPr>
        <w:t>CONTENIDO</w:t>
      </w:r>
      <w:r>
        <w:rPr>
          <w:b/>
          <w:sz w:val="22"/>
        </w:rPr>
        <w:tab/>
      </w:r>
      <w:r>
        <w:rPr>
          <w:b/>
          <w:spacing w:val="-4"/>
          <w:sz w:val="22"/>
        </w:rPr>
        <w:t>Pág.</w:t>
      </w:r>
    </w:p>
    <w:p>
      <w:pPr>
        <w:spacing w:after="0"/>
        <w:jc w:val="left"/>
        <w:rPr>
          <w:b/>
          <w:sz w:val="22"/>
        </w:rPr>
        <w:sectPr>
          <w:pgSz w:w="11910" w:h="16840"/>
          <w:pgMar w:header="0" w:footer="1038" w:top="1620" w:bottom="1772" w:left="1700" w:right="1559"/>
        </w:sectPr>
      </w:pPr>
    </w:p>
    <w:sdt>
      <w:sdtPr>
        <w:docPartObj>
          <w:docPartGallery w:val="Table of Contents"/>
          <w:docPartUnique/>
        </w:docPartObj>
      </w:sdtPr>
      <w:sdtEndPr/>
      <w:sdtContent>
        <w:p>
          <w:pPr>
            <w:pStyle w:val="TOC2"/>
            <w:tabs>
              <w:tab w:pos="8496" w:val="right" w:leader="none"/>
            </w:tabs>
            <w:ind w:firstLine="0"/>
          </w:pPr>
          <w:hyperlink w:history="true" w:anchor="_bookmark0">
            <w:r>
              <w:rPr/>
              <w:t>CAPÍTULO</w:t>
            </w:r>
            <w:r>
              <w:rPr>
                <w:spacing w:val="-2"/>
              </w:rPr>
              <w:t> </w:t>
            </w:r>
            <w:r>
              <w:rPr>
                <w:spacing w:val="-10"/>
              </w:rPr>
              <w:t>I</w:t>
            </w:r>
            <w:r>
              <w:rPr/>
              <w:tab/>
            </w:r>
            <w:r>
              <w:rPr>
                <w:spacing w:val="-10"/>
              </w:rPr>
              <w:t>1</w:t>
            </w:r>
          </w:hyperlink>
        </w:p>
        <w:p>
          <w:pPr>
            <w:pStyle w:val="TOC1"/>
            <w:numPr>
              <w:ilvl w:val="1"/>
              <w:numId w:val="1"/>
            </w:numPr>
            <w:tabs>
              <w:tab w:pos="1137" w:val="left" w:leader="none"/>
              <w:tab w:pos="8498" w:val="right" w:leader="none"/>
            </w:tabs>
            <w:spacing w:line="240" w:lineRule="auto" w:before="253" w:after="0"/>
            <w:ind w:left="1137" w:right="0" w:hanging="424"/>
            <w:jc w:val="left"/>
          </w:pPr>
          <w:hyperlink w:history="true" w:anchor="_bookmark1">
            <w:r>
              <w:rPr>
                <w:spacing w:val="-2"/>
              </w:rPr>
              <w:t>INTRODUCCIÓN</w:t>
            </w:r>
            <w:r>
              <w:rPr/>
              <w:tab/>
            </w:r>
            <w:r>
              <w:rPr>
                <w:spacing w:val="-10"/>
              </w:rPr>
              <w:t>1</w:t>
            </w:r>
          </w:hyperlink>
        </w:p>
        <w:p>
          <w:pPr>
            <w:pStyle w:val="TOC1"/>
            <w:numPr>
              <w:ilvl w:val="1"/>
              <w:numId w:val="1"/>
            </w:numPr>
            <w:tabs>
              <w:tab w:pos="1137" w:val="left" w:leader="none"/>
              <w:tab w:pos="8498" w:val="right" w:leader="none"/>
            </w:tabs>
            <w:spacing w:line="240" w:lineRule="auto" w:before="276" w:after="0"/>
            <w:ind w:left="1137" w:right="0" w:hanging="424"/>
            <w:jc w:val="left"/>
          </w:pPr>
          <w:hyperlink w:history="true" w:anchor="_bookmark2">
            <w:r>
              <w:rPr>
                <w:spacing w:val="-2"/>
              </w:rPr>
              <w:t>PROBLEMA</w:t>
            </w:r>
            <w:r>
              <w:rPr/>
              <w:tab/>
            </w:r>
            <w:r>
              <w:rPr>
                <w:spacing w:val="-10"/>
              </w:rPr>
              <w:t>3</w:t>
            </w:r>
          </w:hyperlink>
        </w:p>
        <w:p>
          <w:pPr>
            <w:pStyle w:val="TOC1"/>
            <w:numPr>
              <w:ilvl w:val="1"/>
              <w:numId w:val="1"/>
            </w:numPr>
            <w:tabs>
              <w:tab w:pos="1137" w:val="left" w:leader="none"/>
              <w:tab w:pos="8498" w:val="right" w:leader="none"/>
            </w:tabs>
            <w:spacing w:line="240" w:lineRule="auto" w:before="276" w:after="0"/>
            <w:ind w:left="1137" w:right="0" w:hanging="424"/>
            <w:jc w:val="left"/>
          </w:pPr>
          <w:hyperlink w:history="true" w:anchor="_bookmark3">
            <w:r>
              <w:rPr>
                <w:spacing w:val="-2"/>
              </w:rPr>
              <w:t>OBJETIVOS</w:t>
            </w:r>
            <w:r>
              <w:rPr/>
              <w:tab/>
            </w:r>
            <w:r>
              <w:rPr>
                <w:spacing w:val="-10"/>
              </w:rPr>
              <w:t>4</w:t>
            </w:r>
          </w:hyperlink>
        </w:p>
        <w:p>
          <w:pPr>
            <w:pStyle w:val="TOC2"/>
            <w:tabs>
              <w:tab w:pos="8496" w:val="right" w:leader="none"/>
            </w:tabs>
            <w:spacing w:before="274"/>
            <w:ind w:firstLine="0"/>
          </w:pPr>
          <w:hyperlink w:history="true" w:anchor="_bookmark4">
            <w:r>
              <w:rPr/>
              <w:t>Objetivo</w:t>
            </w:r>
            <w:r>
              <w:rPr>
                <w:spacing w:val="-4"/>
              </w:rPr>
              <w:t> </w:t>
            </w:r>
            <w:r>
              <w:rPr>
                <w:spacing w:val="-2"/>
              </w:rPr>
              <w:t>General</w:t>
            </w:r>
            <w:r>
              <w:rPr/>
              <w:tab/>
            </w:r>
            <w:r>
              <w:rPr>
                <w:spacing w:val="-10"/>
              </w:rPr>
              <w:t>4</w:t>
            </w:r>
          </w:hyperlink>
        </w:p>
        <w:p>
          <w:pPr>
            <w:pStyle w:val="TOC2"/>
            <w:tabs>
              <w:tab w:pos="8496" w:val="right" w:leader="none"/>
            </w:tabs>
            <w:spacing w:before="256"/>
            <w:ind w:firstLine="0"/>
          </w:pPr>
          <w:hyperlink w:history="true" w:anchor="_bookmark5">
            <w:r>
              <w:rPr/>
              <w:t>Objetivos</w:t>
            </w:r>
            <w:r>
              <w:rPr>
                <w:spacing w:val="-6"/>
              </w:rPr>
              <w:t> </w:t>
            </w:r>
            <w:r>
              <w:rPr>
                <w:spacing w:val="-2"/>
              </w:rPr>
              <w:t>Específicos</w:t>
            </w:r>
            <w:r>
              <w:rPr/>
              <w:tab/>
            </w:r>
            <w:r>
              <w:rPr>
                <w:spacing w:val="-12"/>
              </w:rPr>
              <w:t>4</w:t>
            </w:r>
          </w:hyperlink>
        </w:p>
        <w:p>
          <w:pPr>
            <w:pStyle w:val="TOC1"/>
            <w:numPr>
              <w:ilvl w:val="1"/>
              <w:numId w:val="1"/>
            </w:numPr>
            <w:tabs>
              <w:tab w:pos="1137" w:val="left" w:leader="none"/>
              <w:tab w:pos="8498" w:val="right" w:leader="none"/>
            </w:tabs>
            <w:spacing w:line="240" w:lineRule="auto" w:before="252" w:after="0"/>
            <w:ind w:left="1137" w:right="0" w:hanging="424"/>
            <w:jc w:val="left"/>
          </w:pPr>
          <w:hyperlink w:history="true" w:anchor="_bookmark6">
            <w:r>
              <w:rPr>
                <w:spacing w:val="-2"/>
              </w:rPr>
              <w:t>HIPÓTESIS</w:t>
            </w:r>
            <w:r>
              <w:rPr/>
              <w:tab/>
            </w:r>
            <w:r>
              <w:rPr>
                <w:spacing w:val="-10"/>
              </w:rPr>
              <w:t>5</w:t>
            </w:r>
          </w:hyperlink>
        </w:p>
        <w:p>
          <w:pPr>
            <w:pStyle w:val="TOC3"/>
            <w:tabs>
              <w:tab w:pos="8496" w:val="right" w:leader="none"/>
            </w:tabs>
          </w:pPr>
          <w:hyperlink w:history="true" w:anchor="_bookmark7">
            <w:r>
              <w:rPr/>
              <w:t>CAPÍTULO</w:t>
            </w:r>
            <w:r>
              <w:rPr>
                <w:spacing w:val="-4"/>
              </w:rPr>
              <w:t> </w:t>
            </w:r>
            <w:r>
              <w:rPr>
                <w:spacing w:val="-7"/>
              </w:rPr>
              <w:t>II</w:t>
            </w:r>
            <w:r>
              <w:rPr/>
              <w:tab/>
            </w:r>
            <w:r>
              <w:rPr>
                <w:spacing w:val="-10"/>
              </w:rPr>
              <w:t>6</w:t>
            </w:r>
          </w:hyperlink>
        </w:p>
        <w:p>
          <w:pPr>
            <w:pStyle w:val="TOC2"/>
            <w:numPr>
              <w:ilvl w:val="0"/>
              <w:numId w:val="2"/>
            </w:numPr>
            <w:tabs>
              <w:tab w:pos="1288" w:val="left" w:leader="none"/>
              <w:tab w:pos="8496" w:val="right" w:leader="none"/>
            </w:tabs>
            <w:spacing w:line="240" w:lineRule="auto" w:before="255" w:after="0"/>
            <w:ind w:left="1288" w:right="0" w:hanging="575"/>
            <w:jc w:val="left"/>
          </w:pPr>
          <w:hyperlink w:history="true" w:anchor="_bookmark8">
            <w:r>
              <w:rPr/>
              <w:t>MARCO</w:t>
            </w:r>
            <w:r>
              <w:rPr>
                <w:spacing w:val="-4"/>
              </w:rPr>
              <w:t> </w:t>
            </w:r>
            <w:r>
              <w:rPr>
                <w:spacing w:val="-2"/>
              </w:rPr>
              <w:t>TEÓRICO</w:t>
            </w:r>
            <w:r>
              <w:rPr/>
              <w:tab/>
            </w:r>
            <w:r>
              <w:rPr>
                <w:spacing w:val="-10"/>
              </w:rPr>
              <w:t>6</w:t>
            </w:r>
          </w:hyperlink>
        </w:p>
        <w:p>
          <w:pPr>
            <w:pStyle w:val="TOC1"/>
            <w:numPr>
              <w:ilvl w:val="1"/>
              <w:numId w:val="2"/>
            </w:numPr>
            <w:tabs>
              <w:tab w:pos="1137" w:val="left" w:leader="none"/>
              <w:tab w:pos="8498" w:val="right" w:leader="none"/>
            </w:tabs>
            <w:spacing w:line="240" w:lineRule="auto" w:before="252" w:after="0"/>
            <w:ind w:left="1137" w:right="0" w:hanging="424"/>
            <w:jc w:val="left"/>
          </w:pPr>
          <w:hyperlink w:history="true" w:anchor="_bookmark9">
            <w:r>
              <w:rPr/>
              <w:t>Anestesia general</w:t>
            </w:r>
            <w:r>
              <w:rPr>
                <w:spacing w:val="-5"/>
              </w:rPr>
              <w:t> </w:t>
            </w:r>
            <w:r>
              <w:rPr/>
              <w:t>en </w:t>
            </w:r>
            <w:r>
              <w:rPr>
                <w:spacing w:val="-2"/>
              </w:rPr>
              <w:t>caninos</w:t>
            </w:r>
            <w:r>
              <w:rPr/>
              <w:tab/>
            </w:r>
            <w:r>
              <w:rPr>
                <w:spacing w:val="-10"/>
              </w:rPr>
              <w:t>6</w:t>
            </w:r>
          </w:hyperlink>
        </w:p>
        <w:p>
          <w:pPr>
            <w:pStyle w:val="TOC1"/>
            <w:numPr>
              <w:ilvl w:val="2"/>
              <w:numId w:val="2"/>
            </w:numPr>
            <w:tabs>
              <w:tab w:pos="1277" w:val="left" w:leader="none"/>
              <w:tab w:pos="8498" w:val="right" w:leader="none"/>
            </w:tabs>
            <w:spacing w:line="240" w:lineRule="auto" w:before="277" w:after="0"/>
            <w:ind w:left="1277" w:right="0" w:hanging="564"/>
            <w:jc w:val="left"/>
          </w:pPr>
          <w:hyperlink w:history="true" w:anchor="_bookmark10">
            <w:r>
              <w:rPr/>
              <w:t>Definición</w:t>
            </w:r>
            <w:r>
              <w:rPr>
                <w:spacing w:val="-1"/>
              </w:rPr>
              <w:t> </w:t>
            </w:r>
            <w:r>
              <w:rPr/>
              <w:t>fisiológica y</w:t>
            </w:r>
            <w:r>
              <w:rPr>
                <w:spacing w:val="-5"/>
              </w:rPr>
              <w:t> </w:t>
            </w:r>
            <w:r>
              <w:rPr>
                <w:spacing w:val="-2"/>
              </w:rPr>
              <w:t>clínica</w:t>
            </w:r>
            <w:r>
              <w:rPr/>
              <w:tab/>
            </w:r>
            <w:r>
              <w:rPr>
                <w:spacing w:val="-10"/>
              </w:rPr>
              <w:t>6</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11">
            <w:r>
              <w:rPr/>
              <w:t>Bases</w:t>
            </w:r>
            <w:r>
              <w:rPr>
                <w:spacing w:val="-4"/>
              </w:rPr>
              <w:t> </w:t>
            </w:r>
            <w:r>
              <w:rPr/>
              <w:t>hemodinámicas</w:t>
            </w:r>
            <w:r>
              <w:rPr>
                <w:spacing w:val="-4"/>
              </w:rPr>
              <w:t> </w:t>
            </w:r>
            <w:r>
              <w:rPr/>
              <w:t>de la</w:t>
            </w:r>
            <w:r>
              <w:rPr>
                <w:spacing w:val="-1"/>
              </w:rPr>
              <w:t> </w:t>
            </w:r>
            <w:r>
              <w:rPr/>
              <w:t>anestesia general</w:t>
            </w:r>
            <w:r>
              <w:rPr>
                <w:spacing w:val="-1"/>
              </w:rPr>
              <w:t> </w:t>
            </w:r>
            <w:r>
              <w:rPr/>
              <w:t>en</w:t>
            </w:r>
            <w:r>
              <w:rPr>
                <w:spacing w:val="-1"/>
              </w:rPr>
              <w:t> </w:t>
            </w:r>
            <w:r>
              <w:rPr>
                <w:spacing w:val="-2"/>
              </w:rPr>
              <w:t>caninos</w:t>
            </w:r>
            <w:r>
              <w:rPr/>
              <w:tab/>
            </w:r>
            <w:r>
              <w:rPr>
                <w:spacing w:val="-10"/>
              </w:rPr>
              <w:t>7</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12">
            <w:r>
              <w:rPr/>
              <w:t>Definición</w:t>
            </w:r>
            <w:r>
              <w:rPr>
                <w:spacing w:val="1"/>
              </w:rPr>
              <w:t> </w:t>
            </w:r>
            <w:r>
              <w:rPr/>
              <w:t>y</w:t>
            </w:r>
            <w:r>
              <w:rPr>
                <w:spacing w:val="2"/>
              </w:rPr>
              <w:t> </w:t>
            </w:r>
            <w:r>
              <w:rPr>
                <w:spacing w:val="-2"/>
              </w:rPr>
              <w:t>fundamentos</w:t>
            </w:r>
            <w:r>
              <w:rPr/>
              <w:tab/>
            </w:r>
            <w:r>
              <w:rPr>
                <w:spacing w:val="-10"/>
              </w:rPr>
              <w:t>8</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13">
            <w:r>
              <w:rPr/>
              <w:t>Evaluación</w:t>
            </w:r>
            <w:r>
              <w:rPr>
                <w:spacing w:val="2"/>
              </w:rPr>
              <w:t> </w:t>
            </w:r>
            <w:r>
              <w:rPr>
                <w:spacing w:val="-2"/>
              </w:rPr>
              <w:t>preanestésica</w:t>
            </w:r>
            <w:r>
              <w:rPr/>
              <w:tab/>
            </w:r>
            <w:r>
              <w:rPr>
                <w:spacing w:val="-10"/>
              </w:rPr>
              <w:t>9</w:t>
            </w:r>
          </w:hyperlink>
        </w:p>
        <w:p>
          <w:pPr>
            <w:pStyle w:val="TOC1"/>
            <w:numPr>
              <w:ilvl w:val="1"/>
              <w:numId w:val="2"/>
            </w:numPr>
            <w:tabs>
              <w:tab w:pos="1137" w:val="left" w:leader="none"/>
              <w:tab w:pos="8498" w:val="right" w:leader="none"/>
            </w:tabs>
            <w:spacing w:line="240" w:lineRule="auto" w:before="276" w:after="0"/>
            <w:ind w:left="1137" w:right="0" w:hanging="424"/>
            <w:jc w:val="left"/>
          </w:pPr>
          <w:hyperlink w:history="true" w:anchor="_bookmark14">
            <w:r>
              <w:rPr/>
              <w:t>Fisiología</w:t>
            </w:r>
            <w:r>
              <w:rPr>
                <w:spacing w:val="1"/>
              </w:rPr>
              <w:t> </w:t>
            </w:r>
            <w:r>
              <w:rPr>
                <w:spacing w:val="-2"/>
              </w:rPr>
              <w:t>hemodinámica</w:t>
            </w:r>
            <w:r>
              <w:rPr/>
              <w:tab/>
            </w:r>
            <w:r>
              <w:rPr>
                <w:spacing w:val="-10"/>
              </w:rPr>
              <w:t>9</w:t>
            </w:r>
          </w:hyperlink>
        </w:p>
        <w:p>
          <w:pPr>
            <w:pStyle w:val="TOC1"/>
            <w:numPr>
              <w:ilvl w:val="2"/>
              <w:numId w:val="2"/>
            </w:numPr>
            <w:tabs>
              <w:tab w:pos="1277" w:val="left" w:leader="none"/>
              <w:tab w:pos="8498" w:val="right" w:leader="none"/>
            </w:tabs>
            <w:spacing w:line="240" w:lineRule="auto" w:before="277" w:after="0"/>
            <w:ind w:left="1277" w:right="0" w:hanging="564"/>
            <w:jc w:val="left"/>
          </w:pPr>
          <w:hyperlink w:history="true" w:anchor="_bookmark15">
            <w:r>
              <w:rPr/>
              <w:t>Anatomía</w:t>
            </w:r>
            <w:r>
              <w:rPr>
                <w:spacing w:val="-1"/>
              </w:rPr>
              <w:t> </w:t>
            </w:r>
            <w:r>
              <w:rPr/>
              <w:t>y</w:t>
            </w:r>
            <w:r>
              <w:rPr>
                <w:spacing w:val="-2"/>
              </w:rPr>
              <w:t> </w:t>
            </w:r>
            <w:r>
              <w:rPr/>
              <w:t>fisiología</w:t>
            </w:r>
            <w:r>
              <w:rPr>
                <w:spacing w:val="-1"/>
              </w:rPr>
              <w:t> </w:t>
            </w:r>
            <w:r>
              <w:rPr/>
              <w:t>del</w:t>
            </w:r>
            <w:r>
              <w:rPr>
                <w:spacing w:val="-1"/>
              </w:rPr>
              <w:t> </w:t>
            </w:r>
            <w:r>
              <w:rPr/>
              <w:t>sistema</w:t>
            </w:r>
            <w:r>
              <w:rPr>
                <w:spacing w:val="-5"/>
              </w:rPr>
              <w:t> </w:t>
            </w:r>
            <w:r>
              <w:rPr/>
              <w:t>cardiovascular</w:t>
            </w:r>
            <w:r>
              <w:rPr>
                <w:spacing w:val="-1"/>
              </w:rPr>
              <w:t> </w:t>
            </w:r>
            <w:r>
              <w:rPr>
                <w:spacing w:val="-2"/>
              </w:rPr>
              <w:t>canino</w:t>
            </w:r>
            <w:r>
              <w:rPr/>
              <w:tab/>
            </w:r>
            <w:r>
              <w:rPr>
                <w:spacing w:val="-5"/>
              </w:rPr>
              <w:t>10</w:t>
            </w:r>
          </w:hyperlink>
        </w:p>
        <w:p>
          <w:pPr>
            <w:pStyle w:val="TOC1"/>
            <w:numPr>
              <w:ilvl w:val="2"/>
              <w:numId w:val="2"/>
            </w:numPr>
            <w:tabs>
              <w:tab w:pos="1277" w:val="left" w:leader="none"/>
              <w:tab w:pos="8490" w:val="right" w:leader="none"/>
            </w:tabs>
            <w:spacing w:line="240" w:lineRule="auto" w:before="275" w:after="0"/>
            <w:ind w:left="1277" w:right="0" w:hanging="564"/>
            <w:jc w:val="left"/>
          </w:pPr>
          <w:hyperlink w:history="true" w:anchor="_bookmark16">
            <w:r>
              <w:rPr/>
              <w:t>Presión</w:t>
            </w:r>
            <w:r>
              <w:rPr>
                <w:spacing w:val="-2"/>
              </w:rPr>
              <w:t> arterial</w:t>
            </w:r>
            <w:r>
              <w:rPr/>
              <w:tab/>
            </w:r>
            <w:r>
              <w:rPr>
                <w:spacing w:val="-5"/>
              </w:rPr>
              <w:t>11</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17">
            <w:r>
              <w:rPr/>
              <w:t>Premediación</w:t>
            </w:r>
            <w:r>
              <w:rPr>
                <w:spacing w:val="1"/>
              </w:rPr>
              <w:t> </w:t>
            </w:r>
            <w:r>
              <w:rPr>
                <w:spacing w:val="-2"/>
              </w:rPr>
              <w:t>anestésica</w:t>
            </w:r>
            <w:r>
              <w:rPr/>
              <w:tab/>
            </w:r>
            <w:r>
              <w:rPr>
                <w:spacing w:val="-5"/>
              </w:rPr>
              <w:t>12</w:t>
            </w:r>
          </w:hyperlink>
        </w:p>
        <w:p>
          <w:pPr>
            <w:pStyle w:val="TOC1"/>
            <w:numPr>
              <w:ilvl w:val="2"/>
              <w:numId w:val="2"/>
            </w:numPr>
            <w:tabs>
              <w:tab w:pos="1277" w:val="left" w:leader="none"/>
              <w:tab w:pos="8498" w:val="right" w:leader="none"/>
            </w:tabs>
            <w:spacing w:line="240" w:lineRule="auto" w:before="277" w:after="0"/>
            <w:ind w:left="1277" w:right="0" w:hanging="564"/>
            <w:jc w:val="left"/>
          </w:pPr>
          <w:hyperlink w:history="true" w:anchor="_bookmark18">
            <w:r>
              <w:rPr/>
              <w:t>Inducción</w:t>
            </w:r>
            <w:r>
              <w:rPr>
                <w:spacing w:val="1"/>
              </w:rPr>
              <w:t> </w:t>
            </w:r>
            <w:r>
              <w:rPr/>
              <w:t>y</w:t>
            </w:r>
            <w:r>
              <w:rPr>
                <w:spacing w:val="2"/>
              </w:rPr>
              <w:t> </w:t>
            </w:r>
            <w:r>
              <w:rPr>
                <w:spacing w:val="-2"/>
              </w:rPr>
              <w:t>mantenimiento</w:t>
            </w:r>
            <w:r>
              <w:rPr/>
              <w:tab/>
            </w:r>
            <w:r>
              <w:rPr>
                <w:spacing w:val="-5"/>
              </w:rPr>
              <w:t>13</w:t>
            </w:r>
          </w:hyperlink>
        </w:p>
        <w:p>
          <w:pPr>
            <w:pStyle w:val="TOC1"/>
            <w:numPr>
              <w:ilvl w:val="1"/>
              <w:numId w:val="2"/>
            </w:numPr>
            <w:tabs>
              <w:tab w:pos="1137" w:val="left" w:leader="none"/>
              <w:tab w:pos="8498" w:val="right" w:leader="none"/>
            </w:tabs>
            <w:spacing w:line="240" w:lineRule="auto" w:before="276" w:after="0"/>
            <w:ind w:left="1137" w:right="0" w:hanging="424"/>
            <w:jc w:val="left"/>
          </w:pPr>
          <w:hyperlink w:history="true" w:anchor="_bookmark19">
            <w:r>
              <w:rPr>
                <w:spacing w:val="-2"/>
              </w:rPr>
              <w:t>Dexmedetomidina</w:t>
            </w:r>
            <w:r>
              <w:rPr/>
              <w:tab/>
            </w:r>
            <w:r>
              <w:rPr>
                <w:spacing w:val="-5"/>
              </w:rPr>
              <w:t>14</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20">
            <w:r>
              <w:rPr/>
              <w:t>Características</w:t>
            </w:r>
            <w:r>
              <w:rPr>
                <w:spacing w:val="-2"/>
              </w:rPr>
              <w:t> farmacológicas</w:t>
            </w:r>
            <w:r>
              <w:rPr/>
              <w:tab/>
            </w:r>
            <w:r>
              <w:rPr>
                <w:spacing w:val="-5"/>
              </w:rPr>
              <w:t>15</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21">
            <w:r>
              <w:rPr>
                <w:spacing w:val="-2"/>
              </w:rPr>
              <w:t>Monitorización</w:t>
            </w:r>
            <w:r>
              <w:rPr/>
              <w:tab/>
            </w:r>
            <w:r>
              <w:rPr>
                <w:spacing w:val="-5"/>
              </w:rPr>
              <w:t>17</w:t>
            </w:r>
          </w:hyperlink>
        </w:p>
        <w:p>
          <w:pPr>
            <w:pStyle w:val="TOC1"/>
            <w:numPr>
              <w:ilvl w:val="1"/>
              <w:numId w:val="2"/>
            </w:numPr>
            <w:tabs>
              <w:tab w:pos="1137" w:val="left" w:leader="none"/>
              <w:tab w:pos="8498" w:val="right" w:leader="none"/>
            </w:tabs>
            <w:spacing w:line="240" w:lineRule="auto" w:before="277" w:after="20"/>
            <w:ind w:left="1137" w:right="0" w:hanging="424"/>
            <w:jc w:val="left"/>
          </w:pPr>
          <w:hyperlink w:history="true" w:anchor="_bookmark22">
            <w:r>
              <w:rPr/>
              <w:t>Comparación con otros</w:t>
            </w:r>
            <w:r>
              <w:rPr>
                <w:spacing w:val="-1"/>
              </w:rPr>
              <w:t> </w:t>
            </w:r>
            <w:r>
              <w:rPr>
                <w:spacing w:val="-2"/>
              </w:rPr>
              <w:t>fármacos</w:t>
            </w:r>
            <w:r>
              <w:rPr/>
              <w:tab/>
            </w:r>
            <w:r>
              <w:rPr>
                <w:spacing w:val="-5"/>
              </w:rPr>
              <w:t>18</w:t>
            </w:r>
          </w:hyperlink>
        </w:p>
        <w:p>
          <w:pPr>
            <w:pStyle w:val="TOC1"/>
            <w:numPr>
              <w:ilvl w:val="1"/>
              <w:numId w:val="2"/>
            </w:numPr>
            <w:tabs>
              <w:tab w:pos="1137" w:val="left" w:leader="none"/>
              <w:tab w:pos="8498" w:val="right" w:leader="none"/>
            </w:tabs>
            <w:spacing w:line="240" w:lineRule="auto" w:before="68" w:after="0"/>
            <w:ind w:left="1137" w:right="0" w:hanging="424"/>
            <w:jc w:val="left"/>
          </w:pPr>
          <w:hyperlink w:history="true" w:anchor="_bookmark23">
            <w:r>
              <w:rPr/>
              <w:t>Técnicas </w:t>
            </w:r>
            <w:r>
              <w:rPr>
                <w:spacing w:val="-2"/>
              </w:rPr>
              <w:t>quirúrgicas</w:t>
            </w:r>
            <w:r>
              <w:rPr/>
              <w:tab/>
            </w:r>
            <w:r>
              <w:rPr>
                <w:spacing w:val="-5"/>
              </w:rPr>
              <w:t>20</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24">
            <w:r>
              <w:rPr/>
              <w:t>Ovariohisterectomía</w:t>
            </w:r>
            <w:r>
              <w:rPr>
                <w:spacing w:val="-1"/>
              </w:rPr>
              <w:t> </w:t>
            </w:r>
            <w:r>
              <w:rPr>
                <w:spacing w:val="-2"/>
              </w:rPr>
              <w:t>(OVH)</w:t>
            </w:r>
            <w:r>
              <w:rPr/>
              <w:tab/>
            </w:r>
            <w:r>
              <w:rPr>
                <w:spacing w:val="-5"/>
              </w:rPr>
              <w:t>20</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25">
            <w:r>
              <w:rPr/>
              <w:t>Orquiectomía</w:t>
            </w:r>
            <w:r>
              <w:rPr>
                <w:spacing w:val="1"/>
              </w:rPr>
              <w:t> </w:t>
            </w:r>
            <w:r>
              <w:rPr/>
              <w:t>en</w:t>
            </w:r>
            <w:r>
              <w:rPr>
                <w:spacing w:val="-4"/>
              </w:rPr>
              <w:t> </w:t>
            </w:r>
            <w:r>
              <w:rPr>
                <w:spacing w:val="-2"/>
              </w:rPr>
              <w:t>caninos</w:t>
            </w:r>
            <w:r>
              <w:rPr/>
              <w:tab/>
            </w:r>
            <w:r>
              <w:rPr>
                <w:spacing w:val="-5"/>
              </w:rPr>
              <w:t>20</w:t>
            </w:r>
          </w:hyperlink>
        </w:p>
        <w:p>
          <w:pPr>
            <w:pStyle w:val="TOC3"/>
            <w:tabs>
              <w:tab w:pos="8502" w:val="right" w:leader="none"/>
            </w:tabs>
          </w:pPr>
          <w:hyperlink w:history="true" w:anchor="_bookmark26">
            <w:r>
              <w:rPr/>
              <w:t>CAPÍTULO</w:t>
            </w:r>
            <w:r>
              <w:rPr>
                <w:spacing w:val="-4"/>
              </w:rPr>
              <w:t> </w:t>
            </w:r>
            <w:r>
              <w:rPr>
                <w:spacing w:val="-5"/>
              </w:rPr>
              <w:t>III</w:t>
            </w:r>
            <w:r>
              <w:rPr/>
              <w:tab/>
            </w:r>
            <w:r>
              <w:rPr>
                <w:spacing w:val="-5"/>
              </w:rPr>
              <w:t>21</w:t>
            </w:r>
          </w:hyperlink>
        </w:p>
        <w:p>
          <w:pPr>
            <w:pStyle w:val="TOC2"/>
            <w:numPr>
              <w:ilvl w:val="0"/>
              <w:numId w:val="2"/>
            </w:numPr>
            <w:tabs>
              <w:tab w:pos="1288" w:val="left" w:leader="none"/>
              <w:tab w:pos="8502" w:val="right" w:leader="none"/>
            </w:tabs>
            <w:spacing w:line="240" w:lineRule="auto" w:before="255" w:after="0"/>
            <w:ind w:left="1288" w:right="0" w:hanging="575"/>
            <w:jc w:val="left"/>
          </w:pPr>
          <w:hyperlink w:history="true" w:anchor="_bookmark27">
            <w:r>
              <w:rPr/>
              <w:t>MARCO</w:t>
            </w:r>
            <w:r>
              <w:rPr>
                <w:spacing w:val="-1"/>
              </w:rPr>
              <w:t> </w:t>
            </w:r>
            <w:r>
              <w:rPr>
                <w:spacing w:val="-2"/>
              </w:rPr>
              <w:t>METODOLÓGICO</w:t>
            </w:r>
            <w:r>
              <w:rPr/>
              <w:tab/>
            </w:r>
            <w:r>
              <w:rPr>
                <w:spacing w:val="-5"/>
              </w:rPr>
              <w:t>21</w:t>
            </w:r>
          </w:hyperlink>
        </w:p>
        <w:p>
          <w:pPr>
            <w:pStyle w:val="TOC1"/>
            <w:numPr>
              <w:ilvl w:val="1"/>
              <w:numId w:val="2"/>
            </w:numPr>
            <w:tabs>
              <w:tab w:pos="1137" w:val="left" w:leader="none"/>
              <w:tab w:pos="8498" w:val="right" w:leader="none"/>
            </w:tabs>
            <w:spacing w:line="240" w:lineRule="auto" w:before="253" w:after="0"/>
            <w:ind w:left="1137" w:right="0" w:hanging="424"/>
            <w:jc w:val="left"/>
          </w:pPr>
          <w:hyperlink w:history="true" w:anchor="_bookmark28">
            <w:r>
              <w:rPr/>
              <w:t>Ubicación</w:t>
            </w:r>
            <w:r>
              <w:rPr>
                <w:spacing w:val="-2"/>
              </w:rPr>
              <w:t> </w:t>
            </w:r>
            <w:r>
              <w:rPr/>
              <w:t>de</w:t>
            </w:r>
            <w:r>
              <w:rPr>
                <w:spacing w:val="-1"/>
              </w:rPr>
              <w:t> </w:t>
            </w:r>
            <w:r>
              <w:rPr/>
              <w:t>la </w:t>
            </w:r>
            <w:r>
              <w:rPr>
                <w:spacing w:val="-2"/>
              </w:rPr>
              <w:t>investigación</w:t>
            </w:r>
            <w:r>
              <w:rPr/>
              <w:tab/>
            </w:r>
            <w:r>
              <w:rPr>
                <w:spacing w:val="-5"/>
              </w:rPr>
              <w:t>21</w:t>
            </w:r>
          </w:hyperlink>
        </w:p>
        <w:p>
          <w:pPr>
            <w:pStyle w:val="TOC1"/>
            <w:numPr>
              <w:ilvl w:val="1"/>
              <w:numId w:val="2"/>
            </w:numPr>
            <w:tabs>
              <w:tab w:pos="1137" w:val="left" w:leader="none"/>
              <w:tab w:pos="8498" w:val="right" w:leader="none"/>
            </w:tabs>
            <w:spacing w:line="240" w:lineRule="auto" w:before="276" w:after="0"/>
            <w:ind w:left="1137" w:right="0" w:hanging="424"/>
            <w:jc w:val="left"/>
          </w:pPr>
          <w:hyperlink w:history="true" w:anchor="_bookmark29">
            <w:r>
              <w:rPr>
                <w:spacing w:val="-2"/>
              </w:rPr>
              <w:t>Metodología</w:t>
            </w:r>
            <w:r>
              <w:rPr/>
              <w:tab/>
            </w:r>
            <w:r>
              <w:rPr>
                <w:spacing w:val="-5"/>
              </w:rPr>
              <w:t>22</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30">
            <w:r>
              <w:rPr/>
              <w:t>Material </w:t>
            </w:r>
            <w:r>
              <w:rPr>
                <w:spacing w:val="-2"/>
              </w:rPr>
              <w:t>experimental</w:t>
            </w:r>
            <w:r>
              <w:rPr/>
              <w:tab/>
            </w:r>
            <w:r>
              <w:rPr>
                <w:spacing w:val="-5"/>
              </w:rPr>
              <w:t>22</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31">
            <w:r>
              <w:rPr/>
              <w:t>Factores</w:t>
            </w:r>
            <w:r>
              <w:rPr>
                <w:spacing w:val="-1"/>
              </w:rPr>
              <w:t> </w:t>
            </w:r>
            <w:r>
              <w:rPr/>
              <w:t>en</w:t>
            </w:r>
            <w:r>
              <w:rPr>
                <w:spacing w:val="2"/>
              </w:rPr>
              <w:t> </w:t>
            </w:r>
            <w:r>
              <w:rPr>
                <w:spacing w:val="-2"/>
              </w:rPr>
              <w:t>estudio</w:t>
            </w:r>
            <w:r>
              <w:rPr/>
              <w:tab/>
            </w:r>
            <w:r>
              <w:rPr>
                <w:spacing w:val="-5"/>
              </w:rPr>
              <w:t>22</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32">
            <w:r>
              <w:rPr>
                <w:spacing w:val="-2"/>
              </w:rPr>
              <w:t>Tratamientos</w:t>
            </w:r>
            <w:r>
              <w:rPr/>
              <w:tab/>
            </w:r>
            <w:r>
              <w:rPr>
                <w:spacing w:val="-5"/>
              </w:rPr>
              <w:t>22</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33">
            <w:r>
              <w:rPr/>
              <w:t>Tipo</w:t>
            </w:r>
            <w:r>
              <w:rPr>
                <w:spacing w:val="-4"/>
              </w:rPr>
              <w:t> </w:t>
            </w:r>
            <w:r>
              <w:rPr/>
              <w:t>de</w:t>
            </w:r>
            <w:r>
              <w:rPr>
                <w:spacing w:val="-2"/>
              </w:rPr>
              <w:t> </w:t>
            </w:r>
            <w:r>
              <w:rPr/>
              <w:t>diseño</w:t>
            </w:r>
            <w:r>
              <w:rPr>
                <w:spacing w:val="-3"/>
              </w:rPr>
              <w:t> </w:t>
            </w:r>
            <w:r>
              <w:rPr>
                <w:spacing w:val="-2"/>
              </w:rPr>
              <w:t>experimental</w:t>
            </w:r>
            <w:r>
              <w:rPr/>
              <w:tab/>
            </w:r>
            <w:r>
              <w:rPr>
                <w:spacing w:val="-5"/>
              </w:rPr>
              <w:t>22</w:t>
            </w:r>
          </w:hyperlink>
        </w:p>
        <w:p>
          <w:pPr>
            <w:pStyle w:val="TOC1"/>
            <w:numPr>
              <w:ilvl w:val="2"/>
              <w:numId w:val="2"/>
            </w:numPr>
            <w:tabs>
              <w:tab w:pos="1277" w:val="left" w:leader="none"/>
              <w:tab w:pos="8498" w:val="right" w:leader="none"/>
            </w:tabs>
            <w:spacing w:line="240" w:lineRule="auto" w:before="277" w:after="0"/>
            <w:ind w:left="1277" w:right="0" w:hanging="564"/>
            <w:jc w:val="left"/>
          </w:pPr>
          <w:hyperlink w:history="true" w:anchor="_bookmark34">
            <w:r>
              <w:rPr/>
              <w:t>Manejo</w:t>
            </w:r>
            <w:r>
              <w:rPr>
                <w:spacing w:val="-1"/>
              </w:rPr>
              <w:t> </w:t>
            </w:r>
            <w:r>
              <w:rPr/>
              <w:t>de la</w:t>
            </w:r>
            <w:r>
              <w:rPr>
                <w:spacing w:val="1"/>
              </w:rPr>
              <w:t> </w:t>
            </w:r>
            <w:r>
              <w:rPr>
                <w:spacing w:val="-2"/>
              </w:rPr>
              <w:t>investigación</w:t>
            </w:r>
            <w:r>
              <w:rPr/>
              <w:tab/>
            </w:r>
            <w:r>
              <w:rPr>
                <w:spacing w:val="-5"/>
              </w:rPr>
              <w:t>23</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35">
            <w:r>
              <w:rPr/>
              <w:t>Métodos</w:t>
            </w:r>
            <w:r>
              <w:rPr>
                <w:spacing w:val="-5"/>
              </w:rPr>
              <w:t> </w:t>
            </w:r>
            <w:r>
              <w:rPr/>
              <w:t>de evaluación</w:t>
            </w:r>
            <w:r>
              <w:rPr>
                <w:spacing w:val="-2"/>
              </w:rPr>
              <w:t> </w:t>
            </w:r>
            <w:r>
              <w:rPr/>
              <w:t>y</w:t>
            </w:r>
            <w:r>
              <w:rPr>
                <w:spacing w:val="-1"/>
              </w:rPr>
              <w:t> </w:t>
            </w:r>
            <w:r>
              <w:rPr/>
              <w:t>datos</w:t>
            </w:r>
            <w:r>
              <w:rPr>
                <w:spacing w:val="-2"/>
              </w:rPr>
              <w:t> tomados</w:t>
            </w:r>
            <w:r>
              <w:rPr/>
              <w:tab/>
            </w:r>
            <w:r>
              <w:rPr>
                <w:spacing w:val="-5"/>
              </w:rPr>
              <w:t>25</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36">
            <w:r>
              <w:rPr/>
              <w:t>Análisis</w:t>
            </w:r>
            <w:r>
              <w:rPr>
                <w:spacing w:val="-2"/>
              </w:rPr>
              <w:t> </w:t>
            </w:r>
            <w:r>
              <w:rPr/>
              <w:t>de</w:t>
            </w:r>
            <w:r>
              <w:rPr>
                <w:spacing w:val="1"/>
              </w:rPr>
              <w:t> </w:t>
            </w:r>
            <w:r>
              <w:rPr>
                <w:spacing w:val="-2"/>
              </w:rPr>
              <w:t>datos</w:t>
            </w:r>
            <w:r>
              <w:rPr/>
              <w:tab/>
            </w:r>
            <w:r>
              <w:rPr>
                <w:spacing w:val="-5"/>
              </w:rPr>
              <w:t>26</w:t>
            </w:r>
          </w:hyperlink>
        </w:p>
        <w:p>
          <w:pPr>
            <w:pStyle w:val="TOC3"/>
            <w:tabs>
              <w:tab w:pos="8502" w:val="right" w:leader="none"/>
            </w:tabs>
          </w:pPr>
          <w:hyperlink w:history="true" w:anchor="_bookmark37">
            <w:r>
              <w:rPr/>
              <w:t>CAPÍTULO</w:t>
            </w:r>
            <w:r>
              <w:rPr>
                <w:spacing w:val="-4"/>
              </w:rPr>
              <w:t> </w:t>
            </w:r>
            <w:r>
              <w:rPr>
                <w:spacing w:val="-7"/>
              </w:rPr>
              <w:t>IV</w:t>
            </w:r>
            <w:r>
              <w:rPr/>
              <w:tab/>
            </w:r>
            <w:r>
              <w:rPr>
                <w:spacing w:val="-5"/>
              </w:rPr>
              <w:t>27</w:t>
            </w:r>
          </w:hyperlink>
        </w:p>
        <w:p>
          <w:pPr>
            <w:pStyle w:val="TOC2"/>
            <w:numPr>
              <w:ilvl w:val="0"/>
              <w:numId w:val="2"/>
            </w:numPr>
            <w:tabs>
              <w:tab w:pos="1288" w:val="left" w:leader="none"/>
              <w:tab w:pos="8502" w:val="right" w:leader="none"/>
            </w:tabs>
            <w:spacing w:line="240" w:lineRule="auto" w:before="255" w:after="0"/>
            <w:ind w:left="1288" w:right="0" w:hanging="575"/>
            <w:jc w:val="left"/>
          </w:pPr>
          <w:hyperlink w:history="true" w:anchor="_bookmark38">
            <w:r>
              <w:rPr>
                <w:spacing w:val="-4"/>
              </w:rPr>
              <w:t>RESULTADOS</w:t>
            </w:r>
            <w:r>
              <w:rPr>
                <w:spacing w:val="-9"/>
              </w:rPr>
              <w:t> </w:t>
            </w:r>
            <w:r>
              <w:rPr>
                <w:spacing w:val="-4"/>
              </w:rPr>
              <w:t>Y DISCUSIÓN</w:t>
            </w:r>
            <w:r>
              <w:rPr/>
              <w:tab/>
            </w:r>
            <w:r>
              <w:rPr>
                <w:spacing w:val="-5"/>
              </w:rPr>
              <w:t>27</w:t>
            </w:r>
          </w:hyperlink>
        </w:p>
        <w:p>
          <w:pPr>
            <w:pStyle w:val="TOC1"/>
            <w:numPr>
              <w:ilvl w:val="1"/>
              <w:numId w:val="2"/>
            </w:numPr>
            <w:tabs>
              <w:tab w:pos="1137" w:val="left" w:leader="none"/>
              <w:tab w:pos="8498" w:val="right" w:leader="none"/>
            </w:tabs>
            <w:spacing w:line="240" w:lineRule="auto" w:before="252" w:after="0"/>
            <w:ind w:left="1137" w:right="0" w:hanging="424"/>
            <w:jc w:val="left"/>
          </w:pPr>
          <w:hyperlink w:history="true" w:anchor="_bookmark39">
            <w:r>
              <w:rPr/>
              <w:t>Interpretación</w:t>
            </w:r>
            <w:r>
              <w:rPr>
                <w:spacing w:val="-1"/>
              </w:rPr>
              <w:t> </w:t>
            </w:r>
            <w:r>
              <w:rPr/>
              <w:t>de</w:t>
            </w:r>
            <w:r>
              <w:rPr>
                <w:spacing w:val="1"/>
              </w:rPr>
              <w:t> </w:t>
            </w:r>
            <w:r>
              <w:rPr>
                <w:spacing w:val="-2"/>
              </w:rPr>
              <w:t>resultados</w:t>
            </w:r>
            <w:r>
              <w:rPr/>
              <w:tab/>
            </w:r>
            <w:r>
              <w:rPr>
                <w:spacing w:val="-5"/>
              </w:rPr>
              <w:t>27</w:t>
            </w:r>
          </w:hyperlink>
        </w:p>
        <w:p>
          <w:pPr>
            <w:pStyle w:val="TOC1"/>
            <w:numPr>
              <w:ilvl w:val="2"/>
              <w:numId w:val="2"/>
            </w:numPr>
            <w:tabs>
              <w:tab w:pos="1277" w:val="left" w:leader="none"/>
              <w:tab w:pos="8498" w:val="right" w:leader="none"/>
            </w:tabs>
            <w:spacing w:line="240" w:lineRule="auto" w:before="277" w:after="0"/>
            <w:ind w:left="1277" w:right="0" w:hanging="564"/>
            <w:jc w:val="left"/>
          </w:pPr>
          <w:hyperlink w:history="true" w:anchor="_bookmark40">
            <w:r>
              <w:rPr/>
              <w:t>Edad de</w:t>
            </w:r>
            <w:r>
              <w:rPr>
                <w:spacing w:val="2"/>
              </w:rPr>
              <w:t> </w:t>
            </w:r>
            <w:r>
              <w:rPr/>
              <w:t>los</w:t>
            </w:r>
            <w:r>
              <w:rPr>
                <w:spacing w:val="-1"/>
              </w:rPr>
              <w:t> </w:t>
            </w:r>
            <w:r>
              <w:rPr>
                <w:spacing w:val="-2"/>
              </w:rPr>
              <w:t>pacientes</w:t>
            </w:r>
            <w:r>
              <w:rPr/>
              <w:tab/>
            </w:r>
            <w:r>
              <w:rPr>
                <w:spacing w:val="-5"/>
              </w:rPr>
              <w:t>27</w:t>
            </w:r>
          </w:hyperlink>
        </w:p>
        <w:p>
          <w:pPr>
            <w:pStyle w:val="TOC1"/>
            <w:numPr>
              <w:ilvl w:val="2"/>
              <w:numId w:val="2"/>
            </w:numPr>
            <w:tabs>
              <w:tab w:pos="1277" w:val="left" w:leader="none"/>
              <w:tab w:pos="8498" w:val="right" w:leader="none"/>
            </w:tabs>
            <w:spacing w:line="240" w:lineRule="auto" w:before="275" w:after="0"/>
            <w:ind w:left="1277" w:right="0" w:hanging="564"/>
            <w:jc w:val="left"/>
          </w:pPr>
          <w:hyperlink w:history="true" w:anchor="_bookmark43">
            <w:r>
              <w:rPr/>
              <w:t>Raza</w:t>
            </w:r>
            <w:r>
              <w:rPr>
                <w:spacing w:val="1"/>
              </w:rPr>
              <w:t> </w:t>
            </w:r>
            <w:r>
              <w:rPr/>
              <w:t>de</w:t>
            </w:r>
            <w:r>
              <w:rPr>
                <w:spacing w:val="-2"/>
              </w:rPr>
              <w:t> </w:t>
            </w:r>
            <w:r>
              <w:rPr/>
              <w:t>los</w:t>
            </w:r>
            <w:r>
              <w:rPr>
                <w:spacing w:val="-1"/>
              </w:rPr>
              <w:t> </w:t>
            </w:r>
            <w:r>
              <w:rPr>
                <w:spacing w:val="-2"/>
              </w:rPr>
              <w:t>pacientes</w:t>
            </w:r>
            <w:r>
              <w:rPr/>
              <w:tab/>
            </w:r>
            <w:r>
              <w:rPr>
                <w:spacing w:val="-5"/>
              </w:rPr>
              <w:t>28</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46">
            <w:r>
              <w:rPr/>
              <w:t>Sexo</w:t>
            </w:r>
            <w:r>
              <w:rPr>
                <w:spacing w:val="-1"/>
              </w:rPr>
              <w:t> </w:t>
            </w:r>
            <w:r>
              <w:rPr/>
              <w:t>de</w:t>
            </w:r>
            <w:r>
              <w:rPr>
                <w:spacing w:val="1"/>
              </w:rPr>
              <w:t> </w:t>
            </w:r>
            <w:r>
              <w:rPr/>
              <w:t>los</w:t>
            </w:r>
            <w:r>
              <w:rPr>
                <w:spacing w:val="-2"/>
              </w:rPr>
              <w:t> pacientes</w:t>
            </w:r>
            <w:r>
              <w:rPr/>
              <w:tab/>
            </w:r>
            <w:r>
              <w:rPr>
                <w:spacing w:val="-5"/>
              </w:rPr>
              <w:t>30</w:t>
            </w:r>
          </w:hyperlink>
        </w:p>
        <w:p>
          <w:pPr>
            <w:pStyle w:val="TOC1"/>
            <w:numPr>
              <w:ilvl w:val="2"/>
              <w:numId w:val="2"/>
            </w:numPr>
            <w:tabs>
              <w:tab w:pos="1277" w:val="left" w:leader="none"/>
              <w:tab w:pos="8498" w:val="right" w:leader="none"/>
            </w:tabs>
            <w:spacing w:line="240" w:lineRule="auto" w:before="277" w:after="0"/>
            <w:ind w:left="1277" w:right="0" w:hanging="564"/>
            <w:jc w:val="left"/>
          </w:pPr>
          <w:hyperlink w:history="true" w:anchor="_bookmark49">
            <w:r>
              <w:rPr>
                <w:spacing w:val="-4"/>
              </w:rPr>
              <w:t>Peso</w:t>
            </w:r>
            <w:r>
              <w:rPr/>
              <w:tab/>
            </w:r>
            <w:r>
              <w:rPr>
                <w:spacing w:val="-5"/>
              </w:rPr>
              <w:t>31</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52">
            <w:r>
              <w:rPr/>
              <w:t>Frecuencia</w:t>
            </w:r>
            <w:r>
              <w:rPr>
                <w:spacing w:val="-3"/>
              </w:rPr>
              <w:t> </w:t>
            </w:r>
            <w:r>
              <w:rPr/>
              <w:t>cardiaca</w:t>
            </w:r>
            <w:r>
              <w:rPr>
                <w:spacing w:val="-1"/>
              </w:rPr>
              <w:t> </w:t>
            </w:r>
            <w:r>
              <w:rPr>
                <w:spacing w:val="-4"/>
              </w:rPr>
              <w:t>(lpm)</w:t>
            </w:r>
            <w:r>
              <w:rPr/>
              <w:tab/>
            </w:r>
            <w:r>
              <w:rPr>
                <w:spacing w:val="-5"/>
              </w:rPr>
              <w:t>33</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55">
            <w:r>
              <w:rPr/>
              <w:t>Presión</w:t>
            </w:r>
            <w:r>
              <w:rPr>
                <w:spacing w:val="-4"/>
              </w:rPr>
              <w:t> </w:t>
            </w:r>
            <w:r>
              <w:rPr/>
              <w:t>arterial</w:t>
            </w:r>
            <w:r>
              <w:rPr>
                <w:spacing w:val="-2"/>
              </w:rPr>
              <w:t> </w:t>
            </w:r>
            <w:r>
              <w:rPr/>
              <w:t>sistólica,</w:t>
            </w:r>
            <w:r>
              <w:rPr>
                <w:spacing w:val="-3"/>
              </w:rPr>
              <w:t> </w:t>
            </w:r>
            <w:r>
              <w:rPr/>
              <w:t>diastólica</w:t>
            </w:r>
            <w:r>
              <w:rPr>
                <w:spacing w:val="-2"/>
              </w:rPr>
              <w:t> </w:t>
            </w:r>
            <w:r>
              <w:rPr/>
              <w:t>y</w:t>
            </w:r>
            <w:r>
              <w:rPr>
                <w:spacing w:val="-3"/>
              </w:rPr>
              <w:t> </w:t>
            </w:r>
            <w:r>
              <w:rPr/>
              <w:t>media</w:t>
            </w:r>
            <w:r>
              <w:rPr>
                <w:spacing w:val="-2"/>
              </w:rPr>
              <w:t> (mmHg)</w:t>
            </w:r>
            <w:r>
              <w:rPr/>
              <w:tab/>
            </w:r>
            <w:r>
              <w:rPr>
                <w:spacing w:val="-5"/>
              </w:rPr>
              <w:t>34</w:t>
            </w:r>
          </w:hyperlink>
        </w:p>
        <w:p>
          <w:pPr>
            <w:pStyle w:val="TOC1"/>
            <w:numPr>
              <w:ilvl w:val="2"/>
              <w:numId w:val="2"/>
            </w:numPr>
            <w:tabs>
              <w:tab w:pos="1277" w:val="left" w:leader="none"/>
              <w:tab w:pos="8498" w:val="right" w:leader="none"/>
            </w:tabs>
            <w:spacing w:line="240" w:lineRule="auto" w:before="276" w:after="0"/>
            <w:ind w:left="1277" w:right="0" w:hanging="564"/>
            <w:jc w:val="left"/>
          </w:pPr>
          <w:hyperlink w:history="true" w:anchor="_bookmark60">
            <w:r>
              <w:rPr/>
              <w:t>Saturación</w:t>
            </w:r>
            <w:r>
              <w:rPr>
                <w:spacing w:val="-4"/>
              </w:rPr>
              <w:t> </w:t>
            </w:r>
            <w:r>
              <w:rPr/>
              <w:t>parcial de</w:t>
            </w:r>
            <w:r>
              <w:rPr>
                <w:spacing w:val="-1"/>
              </w:rPr>
              <w:t> </w:t>
            </w:r>
            <w:r>
              <w:rPr/>
              <w:t>oxígeno</w:t>
            </w:r>
            <w:r>
              <w:rPr>
                <w:spacing w:val="-2"/>
              </w:rPr>
              <w:t> </w:t>
            </w:r>
            <w:r>
              <w:rPr/>
              <w:t>(SpO₂,</w:t>
            </w:r>
            <w:r>
              <w:rPr>
                <w:spacing w:val="-1"/>
              </w:rPr>
              <w:t> </w:t>
            </w:r>
            <w:r>
              <w:rPr>
                <w:spacing w:val="-5"/>
              </w:rPr>
              <w:t>%)</w:t>
            </w:r>
            <w:r>
              <w:rPr/>
              <w:tab/>
            </w:r>
            <w:r>
              <w:rPr>
                <w:spacing w:val="-5"/>
              </w:rPr>
              <w:t>37</w:t>
            </w:r>
          </w:hyperlink>
        </w:p>
        <w:p>
          <w:pPr>
            <w:pStyle w:val="TOC1"/>
            <w:numPr>
              <w:ilvl w:val="2"/>
              <w:numId w:val="2"/>
            </w:numPr>
            <w:tabs>
              <w:tab w:pos="1277" w:val="left" w:leader="none"/>
              <w:tab w:pos="8498" w:val="right" w:leader="none"/>
            </w:tabs>
            <w:spacing w:line="240" w:lineRule="auto" w:before="277" w:after="20"/>
            <w:ind w:left="1277" w:right="0" w:hanging="564"/>
            <w:jc w:val="left"/>
          </w:pPr>
          <w:hyperlink w:history="true" w:anchor="_bookmark63">
            <w:r>
              <w:rPr/>
              <w:t>Temperatura</w:t>
            </w:r>
            <w:r>
              <w:rPr>
                <w:spacing w:val="-9"/>
              </w:rPr>
              <w:t> </w:t>
            </w:r>
            <w:r>
              <w:rPr/>
              <w:t>corporal</w:t>
            </w:r>
            <w:r>
              <w:rPr>
                <w:spacing w:val="-9"/>
              </w:rPr>
              <w:t> </w:t>
            </w:r>
            <w:r>
              <w:rPr>
                <w:spacing w:val="-4"/>
              </w:rPr>
              <w:t>(°C)</w:t>
            </w:r>
            <w:r>
              <w:rPr/>
              <w:tab/>
            </w:r>
            <w:r>
              <w:rPr>
                <w:spacing w:val="-5"/>
              </w:rPr>
              <w:t>39</w:t>
            </w:r>
          </w:hyperlink>
        </w:p>
        <w:p>
          <w:pPr>
            <w:pStyle w:val="TOC1"/>
            <w:numPr>
              <w:ilvl w:val="2"/>
              <w:numId w:val="2"/>
            </w:numPr>
            <w:tabs>
              <w:tab w:pos="1277" w:val="left" w:leader="none"/>
              <w:tab w:pos="8498" w:val="right" w:leader="none"/>
            </w:tabs>
            <w:spacing w:line="240" w:lineRule="auto" w:before="68" w:after="0"/>
            <w:ind w:left="1277" w:right="0" w:hanging="564"/>
            <w:jc w:val="left"/>
          </w:pPr>
          <w:hyperlink w:history="true" w:anchor="_bookmark66">
            <w:r>
              <w:rPr/>
              <w:t>Tiempo</w:t>
            </w:r>
            <w:r>
              <w:rPr>
                <w:spacing w:val="-3"/>
              </w:rPr>
              <w:t> </w:t>
            </w:r>
            <w:r>
              <w:rPr/>
              <w:t>de</w:t>
            </w:r>
            <w:r>
              <w:rPr>
                <w:spacing w:val="-1"/>
              </w:rPr>
              <w:t> </w:t>
            </w:r>
            <w:r>
              <w:rPr/>
              <w:t>llenado</w:t>
            </w:r>
            <w:r>
              <w:rPr>
                <w:spacing w:val="-6"/>
              </w:rPr>
              <w:t> </w:t>
            </w:r>
            <w:r>
              <w:rPr/>
              <w:t>capilar</w:t>
            </w:r>
            <w:r>
              <w:rPr>
                <w:spacing w:val="-2"/>
              </w:rPr>
              <w:t> (segundos)</w:t>
            </w:r>
            <w:r>
              <w:rPr/>
              <w:tab/>
            </w:r>
            <w:r>
              <w:rPr>
                <w:spacing w:val="-5"/>
              </w:rPr>
              <w:t>40</w:t>
            </w:r>
          </w:hyperlink>
        </w:p>
        <w:p>
          <w:pPr>
            <w:pStyle w:val="TOC1"/>
            <w:numPr>
              <w:ilvl w:val="2"/>
              <w:numId w:val="2"/>
            </w:numPr>
            <w:tabs>
              <w:tab w:pos="1369" w:val="left" w:leader="none"/>
              <w:tab w:pos="8498" w:val="right" w:leader="none"/>
            </w:tabs>
            <w:spacing w:line="240" w:lineRule="auto" w:before="276" w:after="0"/>
            <w:ind w:left="1369" w:right="0" w:hanging="656"/>
            <w:jc w:val="left"/>
          </w:pPr>
          <w:hyperlink w:history="true" w:anchor="_bookmark69">
            <w:r>
              <w:rPr/>
              <w:t>Condición</w:t>
            </w:r>
            <w:r>
              <w:rPr>
                <w:spacing w:val="-7"/>
              </w:rPr>
              <w:t> </w:t>
            </w:r>
            <w:r>
              <w:rPr/>
              <w:t>corporal</w:t>
            </w:r>
            <w:r>
              <w:rPr>
                <w:spacing w:val="2"/>
              </w:rPr>
              <w:t> </w:t>
            </w:r>
            <w:r>
              <w:rPr>
                <w:spacing w:val="-4"/>
              </w:rPr>
              <w:t>(BCS)</w:t>
            </w:r>
            <w:r>
              <w:rPr/>
              <w:tab/>
            </w:r>
            <w:r>
              <w:rPr>
                <w:spacing w:val="-5"/>
              </w:rPr>
              <w:t>42</w:t>
            </w:r>
          </w:hyperlink>
        </w:p>
        <w:p>
          <w:pPr>
            <w:pStyle w:val="TOC1"/>
            <w:numPr>
              <w:ilvl w:val="2"/>
              <w:numId w:val="2"/>
            </w:numPr>
            <w:tabs>
              <w:tab w:pos="1360" w:val="left" w:leader="none"/>
              <w:tab w:pos="8498" w:val="right" w:leader="none"/>
            </w:tabs>
            <w:spacing w:line="240" w:lineRule="auto" w:before="276" w:after="0"/>
            <w:ind w:left="1360" w:right="0" w:hanging="647"/>
            <w:jc w:val="left"/>
          </w:pPr>
          <w:hyperlink w:history="true" w:anchor="_bookmark72">
            <w:r>
              <w:rPr/>
              <w:t>Efectos</w:t>
            </w:r>
            <w:r>
              <w:rPr>
                <w:spacing w:val="-3"/>
              </w:rPr>
              <w:t> </w:t>
            </w:r>
            <w:r>
              <w:rPr>
                <w:spacing w:val="-2"/>
              </w:rPr>
              <w:t>adversos</w:t>
            </w:r>
            <w:r>
              <w:rPr/>
              <w:tab/>
            </w:r>
            <w:r>
              <w:rPr>
                <w:spacing w:val="-5"/>
              </w:rPr>
              <w:t>43</w:t>
            </w:r>
          </w:hyperlink>
        </w:p>
        <w:p>
          <w:pPr>
            <w:pStyle w:val="TOC1"/>
            <w:numPr>
              <w:ilvl w:val="1"/>
              <w:numId w:val="2"/>
            </w:numPr>
            <w:tabs>
              <w:tab w:pos="1137" w:val="left" w:leader="none"/>
              <w:tab w:pos="8498" w:val="right" w:leader="none"/>
            </w:tabs>
            <w:spacing w:line="240" w:lineRule="auto" w:before="277" w:after="0"/>
            <w:ind w:left="1137" w:right="0" w:hanging="424"/>
            <w:jc w:val="left"/>
          </w:pPr>
          <w:hyperlink w:history="true" w:anchor="_bookmark75">
            <w:r>
              <w:rPr/>
              <w:t>Comprobación</w:t>
            </w:r>
            <w:r>
              <w:rPr>
                <w:spacing w:val="-1"/>
              </w:rPr>
              <w:t> </w:t>
            </w:r>
            <w:r>
              <w:rPr/>
              <w:t>de</w:t>
            </w:r>
            <w:r>
              <w:rPr>
                <w:spacing w:val="1"/>
              </w:rPr>
              <w:t> </w:t>
            </w:r>
            <w:r>
              <w:rPr>
                <w:spacing w:val="-2"/>
              </w:rPr>
              <w:t>hipótesis</w:t>
            </w:r>
            <w:r>
              <w:rPr/>
              <w:tab/>
            </w:r>
            <w:r>
              <w:rPr>
                <w:spacing w:val="-5"/>
              </w:rPr>
              <w:t>46</w:t>
            </w:r>
          </w:hyperlink>
        </w:p>
        <w:p>
          <w:pPr>
            <w:pStyle w:val="TOC3"/>
            <w:tabs>
              <w:tab w:pos="8502" w:val="right" w:leader="none"/>
            </w:tabs>
            <w:spacing w:before="274"/>
          </w:pPr>
          <w:hyperlink w:history="true" w:anchor="_bookmark76">
            <w:r>
              <w:rPr/>
              <w:t>CAPÍTULO</w:t>
            </w:r>
            <w:r>
              <w:rPr>
                <w:spacing w:val="-8"/>
              </w:rPr>
              <w:t> </w:t>
            </w:r>
            <w:r>
              <w:rPr>
                <w:spacing w:val="-10"/>
              </w:rPr>
              <w:t>V</w:t>
            </w:r>
            <w:r>
              <w:rPr/>
              <w:tab/>
            </w:r>
            <w:r>
              <w:rPr>
                <w:spacing w:val="-5"/>
              </w:rPr>
              <w:t>47</w:t>
            </w:r>
          </w:hyperlink>
        </w:p>
        <w:p>
          <w:pPr>
            <w:pStyle w:val="TOC1"/>
            <w:numPr>
              <w:ilvl w:val="1"/>
              <w:numId w:val="3"/>
            </w:numPr>
            <w:tabs>
              <w:tab w:pos="1137" w:val="left" w:leader="none"/>
              <w:tab w:pos="8498" w:val="right" w:leader="none"/>
            </w:tabs>
            <w:spacing w:line="240" w:lineRule="auto" w:before="257" w:after="0"/>
            <w:ind w:left="1137" w:right="0" w:hanging="424"/>
            <w:jc w:val="left"/>
          </w:pPr>
          <w:hyperlink w:history="true" w:anchor="_bookmark77">
            <w:r>
              <w:rPr>
                <w:spacing w:val="-2"/>
              </w:rPr>
              <w:t>Conclusiones</w:t>
            </w:r>
            <w:r>
              <w:rPr/>
              <w:tab/>
            </w:r>
            <w:r>
              <w:rPr>
                <w:spacing w:val="-5"/>
              </w:rPr>
              <w:t>47</w:t>
            </w:r>
          </w:hyperlink>
        </w:p>
        <w:p>
          <w:pPr>
            <w:pStyle w:val="TOC1"/>
            <w:numPr>
              <w:ilvl w:val="1"/>
              <w:numId w:val="3"/>
            </w:numPr>
            <w:tabs>
              <w:tab w:pos="1137" w:val="left" w:leader="none"/>
              <w:tab w:pos="8498" w:val="right" w:leader="none"/>
            </w:tabs>
            <w:spacing w:line="240" w:lineRule="auto" w:before="276" w:after="0"/>
            <w:ind w:left="1137" w:right="0" w:hanging="424"/>
            <w:jc w:val="left"/>
          </w:pPr>
          <w:hyperlink w:history="true" w:anchor="_bookmark78">
            <w:r>
              <w:rPr>
                <w:spacing w:val="-2"/>
              </w:rPr>
              <w:t>Recomendaciones</w:t>
            </w:r>
            <w:r>
              <w:rPr/>
              <w:tab/>
            </w:r>
            <w:r>
              <w:rPr>
                <w:spacing w:val="-5"/>
              </w:rPr>
              <w:t>48</w:t>
            </w:r>
          </w:hyperlink>
        </w:p>
        <w:p>
          <w:pPr>
            <w:pStyle w:val="TOC3"/>
            <w:tabs>
              <w:tab w:pos="8502" w:val="right" w:leader="none"/>
            </w:tabs>
          </w:pPr>
          <w:hyperlink w:history="true" w:anchor="_bookmark79">
            <w:r>
              <w:rPr>
                <w:spacing w:val="-2"/>
              </w:rPr>
              <w:t>BIBLIOGRAFÍA</w:t>
            </w:r>
            <w:r>
              <w:rPr/>
              <w:tab/>
            </w:r>
            <w:r>
              <w:rPr>
                <w:spacing w:val="-5"/>
              </w:rPr>
              <w:t>49</w:t>
            </w:r>
          </w:hyperlink>
        </w:p>
        <w:p>
          <w:pPr>
            <w:pStyle w:val="TOC3"/>
            <w:tabs>
              <w:tab w:pos="8502" w:val="right" w:leader="none"/>
            </w:tabs>
            <w:spacing w:before="251"/>
            <w:ind w:left="813"/>
          </w:pPr>
          <w:hyperlink w:history="true" w:anchor="_bookmark80">
            <w:r>
              <w:rPr>
                <w:spacing w:val="-2"/>
              </w:rPr>
              <w:t>ANEXOS</w:t>
            </w:r>
            <w:r>
              <w:rPr/>
              <w:tab/>
            </w:r>
            <w:r>
              <w:rPr>
                <w:spacing w:val="-5"/>
              </w:rPr>
              <w:t>56</w:t>
            </w:r>
          </w:hyperlink>
        </w:p>
      </w:sdtContent>
    </w:sdt>
    <w:p>
      <w:pPr>
        <w:pStyle w:val="TOC3"/>
        <w:spacing w:after="0"/>
        <w:sectPr>
          <w:type w:val="continuous"/>
          <w:pgSz w:w="11910" w:h="16840"/>
          <w:pgMar w:header="0" w:footer="1038" w:top="1636" w:bottom="1772" w:left="1700" w:right="1559"/>
        </w:sectPr>
      </w:pPr>
    </w:p>
    <w:p>
      <w:pPr>
        <w:pStyle w:val="Heading1"/>
        <w:ind w:left="3433"/>
        <w:jc w:val="left"/>
      </w:pPr>
      <w:r>
        <w:rPr/>
        <w:t>ÍNDICE</w:t>
      </w:r>
      <w:r>
        <w:rPr>
          <w:spacing w:val="-1"/>
        </w:rPr>
        <w:t> </w:t>
      </w:r>
      <w:r>
        <w:rPr/>
        <w:t>DE</w:t>
      </w:r>
      <w:r>
        <w:rPr>
          <w:spacing w:val="-5"/>
        </w:rPr>
        <w:t> </w:t>
      </w:r>
      <w:r>
        <w:rPr>
          <w:spacing w:val="-2"/>
        </w:rPr>
        <w:t>TABLAS</w:t>
      </w:r>
    </w:p>
    <w:p>
      <w:pPr>
        <w:pStyle w:val="BodyText"/>
        <w:rPr>
          <w:b/>
          <w:sz w:val="28"/>
        </w:rPr>
      </w:pPr>
    </w:p>
    <w:p>
      <w:pPr>
        <w:tabs>
          <w:tab w:pos="3470" w:val="left" w:leader="none"/>
          <w:tab w:pos="7791" w:val="left" w:leader="none"/>
        </w:tabs>
        <w:spacing w:before="0"/>
        <w:ind w:left="568" w:right="0" w:firstLine="0"/>
        <w:jc w:val="left"/>
        <w:rPr>
          <w:b/>
          <w:sz w:val="28"/>
        </w:rPr>
      </w:pPr>
      <w:r>
        <w:rPr>
          <w:b/>
          <w:color w:val="0D0D0D"/>
          <w:spacing w:val="-5"/>
          <w:sz w:val="28"/>
        </w:rPr>
        <w:t>N°</w:t>
      </w:r>
      <w:r>
        <w:rPr>
          <w:b/>
          <w:color w:val="0D0D0D"/>
          <w:sz w:val="28"/>
        </w:rPr>
        <w:tab/>
      </w:r>
      <w:r>
        <w:rPr>
          <w:b/>
          <w:color w:val="0D0D0D"/>
          <w:spacing w:val="-2"/>
          <w:sz w:val="28"/>
        </w:rPr>
        <w:t>DETALLE</w:t>
      </w:r>
      <w:r>
        <w:rPr>
          <w:b/>
          <w:color w:val="0D0D0D"/>
          <w:sz w:val="28"/>
        </w:rPr>
        <w:tab/>
      </w:r>
      <w:r>
        <w:rPr>
          <w:b/>
          <w:color w:val="0D0D0D"/>
          <w:spacing w:val="-4"/>
          <w:sz w:val="28"/>
        </w:rPr>
        <w:t>PÁG.</w:t>
      </w:r>
    </w:p>
    <w:p>
      <w:pPr>
        <w:pStyle w:val="ListParagraph"/>
        <w:numPr>
          <w:ilvl w:val="0"/>
          <w:numId w:val="4"/>
        </w:numPr>
        <w:tabs>
          <w:tab w:pos="988" w:val="left" w:leader="none"/>
          <w:tab w:pos="8258" w:val="left" w:leader="none"/>
        </w:tabs>
        <w:spacing w:line="240" w:lineRule="auto" w:before="319" w:after="0"/>
        <w:ind w:left="988" w:right="0" w:hanging="420"/>
        <w:jc w:val="left"/>
        <w:rPr>
          <w:sz w:val="24"/>
        </w:rPr>
      </w:pPr>
      <w:hyperlink w:history="true" w:anchor="_bookmark41">
        <w:r>
          <w:rPr>
            <w:sz w:val="24"/>
          </w:rPr>
          <w:t>Edad de</w:t>
        </w:r>
        <w:r>
          <w:rPr>
            <w:spacing w:val="2"/>
            <w:sz w:val="24"/>
          </w:rPr>
          <w:t> </w:t>
        </w:r>
        <w:r>
          <w:rPr>
            <w:sz w:val="24"/>
          </w:rPr>
          <w:t>los</w:t>
        </w:r>
        <w:r>
          <w:rPr>
            <w:spacing w:val="-1"/>
            <w:sz w:val="24"/>
          </w:rPr>
          <w:t> </w:t>
        </w:r>
        <w:r>
          <w:rPr>
            <w:spacing w:val="-2"/>
            <w:sz w:val="24"/>
          </w:rPr>
          <w:t>pacientes</w:t>
        </w:r>
        <w:r>
          <w:rPr>
            <w:sz w:val="24"/>
          </w:rPr>
          <w:tab/>
        </w:r>
        <w:r>
          <w:rPr>
            <w:spacing w:val="-5"/>
            <w:sz w:val="24"/>
          </w:rPr>
          <w:t>27</w:t>
        </w:r>
      </w:hyperlink>
    </w:p>
    <w:p>
      <w:pPr>
        <w:pStyle w:val="BodyText"/>
        <w:spacing w:before="1"/>
      </w:pPr>
    </w:p>
    <w:p>
      <w:pPr>
        <w:pStyle w:val="ListParagraph"/>
        <w:numPr>
          <w:ilvl w:val="0"/>
          <w:numId w:val="4"/>
        </w:numPr>
        <w:tabs>
          <w:tab w:pos="1008" w:val="left" w:leader="none"/>
          <w:tab w:pos="8258" w:val="left" w:leader="none"/>
        </w:tabs>
        <w:spacing w:line="240" w:lineRule="auto" w:before="0" w:after="0"/>
        <w:ind w:left="1008" w:right="0" w:hanging="440"/>
        <w:jc w:val="left"/>
        <w:rPr>
          <w:sz w:val="24"/>
        </w:rPr>
      </w:pPr>
      <w:hyperlink w:history="true" w:anchor="_bookmark44">
        <w:r>
          <w:rPr>
            <w:sz w:val="24"/>
          </w:rPr>
          <w:t>Comparativa</w:t>
        </w:r>
        <w:r>
          <w:rPr>
            <w:spacing w:val="1"/>
            <w:sz w:val="24"/>
          </w:rPr>
          <w:t> </w:t>
        </w:r>
        <w:r>
          <w:rPr>
            <w:sz w:val="24"/>
          </w:rPr>
          <w:t>de</w:t>
        </w:r>
        <w:r>
          <w:rPr>
            <w:spacing w:val="-2"/>
            <w:sz w:val="24"/>
          </w:rPr>
          <w:t> </w:t>
        </w:r>
        <w:r>
          <w:rPr>
            <w:sz w:val="24"/>
          </w:rPr>
          <w:t>las </w:t>
        </w:r>
        <w:r>
          <w:rPr>
            <w:spacing w:val="-4"/>
            <w:sz w:val="24"/>
          </w:rPr>
          <w:t>raza</w:t>
        </w:r>
        <w:r>
          <w:rPr>
            <w:sz w:val="24"/>
          </w:rPr>
          <w:tab/>
        </w:r>
        <w:r>
          <w:rPr>
            <w:spacing w:val="-5"/>
            <w:sz w:val="24"/>
          </w:rPr>
          <w:t>28</w:t>
        </w:r>
      </w:hyperlink>
    </w:p>
    <w:p>
      <w:pPr>
        <w:pStyle w:val="BodyText"/>
      </w:pPr>
    </w:p>
    <w:p>
      <w:pPr>
        <w:pStyle w:val="ListParagraph"/>
        <w:numPr>
          <w:ilvl w:val="0"/>
          <w:numId w:val="4"/>
        </w:numPr>
        <w:tabs>
          <w:tab w:pos="1068" w:val="left" w:leader="none"/>
          <w:tab w:pos="8258" w:val="left" w:leader="none"/>
        </w:tabs>
        <w:spacing w:line="240" w:lineRule="auto" w:before="0" w:after="0"/>
        <w:ind w:left="1068" w:right="0" w:hanging="500"/>
        <w:jc w:val="left"/>
        <w:rPr>
          <w:sz w:val="24"/>
        </w:rPr>
      </w:pPr>
      <w:hyperlink w:history="true" w:anchor="_bookmark47">
        <w:r>
          <w:rPr>
            <w:sz w:val="24"/>
          </w:rPr>
          <w:t>Sexo</w:t>
        </w:r>
        <w:r>
          <w:rPr>
            <w:spacing w:val="-1"/>
            <w:sz w:val="24"/>
          </w:rPr>
          <w:t> </w:t>
        </w:r>
        <w:r>
          <w:rPr>
            <w:sz w:val="24"/>
          </w:rPr>
          <w:t>de</w:t>
        </w:r>
        <w:r>
          <w:rPr>
            <w:spacing w:val="1"/>
            <w:sz w:val="24"/>
          </w:rPr>
          <w:t> </w:t>
        </w:r>
        <w:r>
          <w:rPr>
            <w:sz w:val="24"/>
          </w:rPr>
          <w:t>los</w:t>
        </w:r>
        <w:r>
          <w:rPr>
            <w:spacing w:val="-2"/>
            <w:sz w:val="24"/>
          </w:rPr>
          <w:t> pacientes</w:t>
        </w:r>
        <w:r>
          <w:rPr>
            <w:sz w:val="24"/>
          </w:rPr>
          <w:tab/>
        </w:r>
        <w:r>
          <w:rPr>
            <w:spacing w:val="-5"/>
            <w:sz w:val="24"/>
          </w:rPr>
          <w:t>30</w:t>
        </w:r>
      </w:hyperlink>
    </w:p>
    <w:p>
      <w:pPr>
        <w:pStyle w:val="BodyText"/>
      </w:pPr>
    </w:p>
    <w:p>
      <w:pPr>
        <w:pStyle w:val="ListParagraph"/>
        <w:numPr>
          <w:ilvl w:val="0"/>
          <w:numId w:val="4"/>
        </w:numPr>
        <w:tabs>
          <w:tab w:pos="1008" w:val="left" w:leader="none"/>
          <w:tab w:pos="8258" w:val="left" w:leader="none"/>
        </w:tabs>
        <w:spacing w:line="240" w:lineRule="auto" w:before="0" w:after="0"/>
        <w:ind w:left="1008" w:right="0" w:hanging="440"/>
        <w:jc w:val="left"/>
        <w:rPr>
          <w:sz w:val="24"/>
        </w:rPr>
      </w:pPr>
      <w:hyperlink w:history="true" w:anchor="_bookmark50">
        <w:r>
          <w:rPr>
            <w:spacing w:val="-4"/>
            <w:sz w:val="24"/>
          </w:rPr>
          <w:t>Peso</w:t>
        </w:r>
        <w:r>
          <w:rPr>
            <w:sz w:val="24"/>
          </w:rPr>
          <w:tab/>
        </w:r>
        <w:r>
          <w:rPr>
            <w:spacing w:val="-5"/>
            <w:sz w:val="24"/>
          </w:rPr>
          <w:t>31</w:t>
        </w:r>
      </w:hyperlink>
    </w:p>
    <w:p>
      <w:pPr>
        <w:pStyle w:val="BodyText"/>
      </w:pPr>
    </w:p>
    <w:p>
      <w:pPr>
        <w:pStyle w:val="ListParagraph"/>
        <w:numPr>
          <w:ilvl w:val="0"/>
          <w:numId w:val="4"/>
        </w:numPr>
        <w:tabs>
          <w:tab w:pos="1008" w:val="left" w:leader="none"/>
          <w:tab w:pos="8258" w:val="left" w:leader="none"/>
        </w:tabs>
        <w:spacing w:line="240" w:lineRule="auto" w:before="0" w:after="0"/>
        <w:ind w:left="1008" w:right="0" w:hanging="440"/>
        <w:jc w:val="left"/>
        <w:rPr>
          <w:sz w:val="24"/>
        </w:rPr>
      </w:pPr>
      <w:hyperlink w:history="true" w:anchor="_bookmark53">
        <w:r>
          <w:rPr>
            <w:sz w:val="24"/>
          </w:rPr>
          <w:t>Frecuencia </w:t>
        </w:r>
        <w:r>
          <w:rPr>
            <w:spacing w:val="-2"/>
            <w:sz w:val="24"/>
          </w:rPr>
          <w:t>cardiaca</w:t>
        </w:r>
        <w:r>
          <w:rPr>
            <w:sz w:val="24"/>
          </w:rPr>
          <w:tab/>
        </w:r>
        <w:r>
          <w:rPr>
            <w:spacing w:val="-5"/>
            <w:sz w:val="24"/>
          </w:rPr>
          <w:t>33</w:t>
        </w:r>
      </w:hyperlink>
    </w:p>
    <w:p>
      <w:pPr>
        <w:pStyle w:val="BodyText"/>
      </w:pPr>
    </w:p>
    <w:p>
      <w:pPr>
        <w:pStyle w:val="ListParagraph"/>
        <w:numPr>
          <w:ilvl w:val="0"/>
          <w:numId w:val="4"/>
        </w:numPr>
        <w:tabs>
          <w:tab w:pos="1008" w:val="left" w:leader="none"/>
          <w:tab w:pos="8258" w:val="left" w:leader="none"/>
        </w:tabs>
        <w:spacing w:line="240" w:lineRule="auto" w:before="0" w:after="0"/>
        <w:ind w:left="1008" w:right="0" w:hanging="440"/>
        <w:jc w:val="left"/>
        <w:rPr>
          <w:sz w:val="24"/>
        </w:rPr>
      </w:pPr>
      <w:hyperlink w:history="true" w:anchor="_bookmark56">
        <w:r>
          <w:rPr>
            <w:sz w:val="24"/>
          </w:rPr>
          <w:t>Presión</w:t>
        </w:r>
        <w:r>
          <w:rPr>
            <w:spacing w:val="-3"/>
            <w:sz w:val="24"/>
          </w:rPr>
          <w:t> </w:t>
        </w:r>
        <w:r>
          <w:rPr>
            <w:sz w:val="24"/>
          </w:rPr>
          <w:t>arterial</w:t>
        </w:r>
        <w:r>
          <w:rPr>
            <w:spacing w:val="-2"/>
            <w:sz w:val="24"/>
          </w:rPr>
          <w:t> </w:t>
        </w:r>
        <w:r>
          <w:rPr>
            <w:sz w:val="24"/>
          </w:rPr>
          <w:t>sistólica,</w:t>
        </w:r>
        <w:r>
          <w:rPr>
            <w:spacing w:val="-2"/>
            <w:sz w:val="24"/>
          </w:rPr>
          <w:t> </w:t>
        </w:r>
        <w:r>
          <w:rPr>
            <w:sz w:val="24"/>
          </w:rPr>
          <w:t>diastólica</w:t>
        </w:r>
        <w:r>
          <w:rPr>
            <w:spacing w:val="-2"/>
            <w:sz w:val="24"/>
          </w:rPr>
          <w:t> </w:t>
        </w:r>
        <w:r>
          <w:rPr>
            <w:sz w:val="24"/>
          </w:rPr>
          <w:t>y</w:t>
        </w:r>
        <w:r>
          <w:rPr>
            <w:spacing w:val="-2"/>
            <w:sz w:val="24"/>
          </w:rPr>
          <w:t> </w:t>
        </w:r>
        <w:r>
          <w:rPr>
            <w:spacing w:val="-4"/>
            <w:sz w:val="24"/>
          </w:rPr>
          <w:t>media</w:t>
        </w:r>
        <w:r>
          <w:rPr>
            <w:sz w:val="24"/>
          </w:rPr>
          <w:tab/>
        </w:r>
        <w:r>
          <w:rPr>
            <w:spacing w:val="-5"/>
            <w:sz w:val="24"/>
          </w:rPr>
          <w:t>34</w:t>
        </w:r>
      </w:hyperlink>
    </w:p>
    <w:p>
      <w:pPr>
        <w:pStyle w:val="BodyText"/>
      </w:pPr>
    </w:p>
    <w:p>
      <w:pPr>
        <w:pStyle w:val="ListParagraph"/>
        <w:numPr>
          <w:ilvl w:val="0"/>
          <w:numId w:val="4"/>
        </w:numPr>
        <w:tabs>
          <w:tab w:pos="1008" w:val="left" w:leader="none"/>
          <w:tab w:pos="8258" w:val="left" w:leader="none"/>
        </w:tabs>
        <w:spacing w:line="240" w:lineRule="auto" w:before="0" w:after="0"/>
        <w:ind w:left="1008" w:right="0" w:hanging="440"/>
        <w:jc w:val="left"/>
        <w:rPr>
          <w:sz w:val="24"/>
        </w:rPr>
      </w:pPr>
      <w:hyperlink w:history="true" w:anchor="_bookmark61">
        <w:r>
          <w:rPr>
            <w:sz w:val="24"/>
          </w:rPr>
          <w:t>Saturación</w:t>
        </w:r>
        <w:r>
          <w:rPr>
            <w:spacing w:val="-4"/>
            <w:sz w:val="24"/>
          </w:rPr>
          <w:t> </w:t>
        </w:r>
        <w:r>
          <w:rPr>
            <w:sz w:val="24"/>
          </w:rPr>
          <w:t>periférica</w:t>
        </w:r>
        <w:r>
          <w:rPr>
            <w:spacing w:val="-1"/>
            <w:sz w:val="24"/>
          </w:rPr>
          <w:t> </w:t>
        </w:r>
        <w:r>
          <w:rPr>
            <w:sz w:val="24"/>
          </w:rPr>
          <w:t>de </w:t>
        </w:r>
        <w:r>
          <w:rPr>
            <w:spacing w:val="-2"/>
            <w:sz w:val="24"/>
          </w:rPr>
          <w:t>oxígeno</w:t>
        </w:r>
        <w:r>
          <w:rPr>
            <w:sz w:val="24"/>
          </w:rPr>
          <w:tab/>
        </w:r>
        <w:r>
          <w:rPr>
            <w:spacing w:val="-5"/>
            <w:sz w:val="24"/>
          </w:rPr>
          <w:t>37</w:t>
        </w:r>
      </w:hyperlink>
    </w:p>
    <w:p>
      <w:pPr>
        <w:pStyle w:val="BodyText"/>
      </w:pPr>
    </w:p>
    <w:p>
      <w:pPr>
        <w:pStyle w:val="ListParagraph"/>
        <w:numPr>
          <w:ilvl w:val="0"/>
          <w:numId w:val="4"/>
        </w:numPr>
        <w:tabs>
          <w:tab w:pos="1008" w:val="left" w:leader="none"/>
          <w:tab w:pos="8258" w:val="left" w:leader="none"/>
        </w:tabs>
        <w:spacing w:line="240" w:lineRule="auto" w:before="1" w:after="0"/>
        <w:ind w:left="1008" w:right="0" w:hanging="440"/>
        <w:jc w:val="left"/>
        <w:rPr>
          <w:sz w:val="24"/>
        </w:rPr>
      </w:pPr>
      <w:hyperlink w:history="true" w:anchor="_bookmark64">
        <w:r>
          <w:rPr>
            <w:spacing w:val="-2"/>
            <w:sz w:val="24"/>
          </w:rPr>
          <w:t>Temperatura</w:t>
        </w:r>
        <w:r>
          <w:rPr>
            <w:spacing w:val="5"/>
            <w:sz w:val="24"/>
          </w:rPr>
          <w:t> </w:t>
        </w:r>
        <w:r>
          <w:rPr>
            <w:spacing w:val="-2"/>
            <w:sz w:val="24"/>
          </w:rPr>
          <w:t>corporal</w:t>
        </w:r>
        <w:r>
          <w:rPr>
            <w:sz w:val="24"/>
          </w:rPr>
          <w:tab/>
        </w:r>
        <w:r>
          <w:rPr>
            <w:spacing w:val="-5"/>
            <w:sz w:val="24"/>
          </w:rPr>
          <w:t>39</w:t>
        </w:r>
      </w:hyperlink>
    </w:p>
    <w:p>
      <w:pPr>
        <w:pStyle w:val="ListParagraph"/>
        <w:numPr>
          <w:ilvl w:val="0"/>
          <w:numId w:val="4"/>
        </w:numPr>
        <w:tabs>
          <w:tab w:pos="1008" w:val="left" w:leader="none"/>
          <w:tab w:pos="8258" w:val="left" w:leader="none"/>
        </w:tabs>
        <w:spacing w:line="240" w:lineRule="auto" w:before="276" w:after="0"/>
        <w:ind w:left="1008" w:right="0" w:hanging="440"/>
        <w:jc w:val="left"/>
        <w:rPr>
          <w:sz w:val="24"/>
        </w:rPr>
      </w:pPr>
      <w:hyperlink w:history="true" w:anchor="_bookmark67">
        <w:r>
          <w:rPr>
            <w:sz w:val="24"/>
          </w:rPr>
          <w:t>Tiempo</w:t>
        </w:r>
        <w:r>
          <w:rPr>
            <w:spacing w:val="-4"/>
            <w:sz w:val="24"/>
          </w:rPr>
          <w:t> </w:t>
        </w:r>
        <w:r>
          <w:rPr>
            <w:sz w:val="24"/>
          </w:rPr>
          <w:t>de</w:t>
        </w:r>
        <w:r>
          <w:rPr>
            <w:spacing w:val="-2"/>
            <w:sz w:val="24"/>
          </w:rPr>
          <w:t> </w:t>
        </w:r>
        <w:r>
          <w:rPr>
            <w:sz w:val="24"/>
          </w:rPr>
          <w:t>llenado</w:t>
        </w:r>
        <w:r>
          <w:rPr>
            <w:spacing w:val="-7"/>
            <w:sz w:val="24"/>
          </w:rPr>
          <w:t> </w:t>
        </w:r>
        <w:r>
          <w:rPr>
            <w:spacing w:val="-2"/>
            <w:sz w:val="24"/>
          </w:rPr>
          <w:t>capilar</w:t>
        </w:r>
        <w:r>
          <w:rPr>
            <w:sz w:val="24"/>
          </w:rPr>
          <w:tab/>
        </w:r>
        <w:r>
          <w:rPr>
            <w:spacing w:val="-5"/>
            <w:sz w:val="24"/>
          </w:rPr>
          <w:t>40</w:t>
        </w:r>
      </w:hyperlink>
    </w:p>
    <w:p>
      <w:pPr>
        <w:pStyle w:val="BodyText"/>
      </w:pPr>
    </w:p>
    <w:p>
      <w:pPr>
        <w:pStyle w:val="ListParagraph"/>
        <w:numPr>
          <w:ilvl w:val="0"/>
          <w:numId w:val="4"/>
        </w:numPr>
        <w:tabs>
          <w:tab w:pos="1008" w:val="left" w:leader="none"/>
          <w:tab w:pos="8258" w:val="left" w:leader="none"/>
        </w:tabs>
        <w:spacing w:line="240" w:lineRule="auto" w:before="0" w:after="0"/>
        <w:ind w:left="1008" w:right="0" w:hanging="440"/>
        <w:jc w:val="left"/>
        <w:rPr>
          <w:sz w:val="24"/>
        </w:rPr>
      </w:pPr>
      <w:hyperlink w:history="true" w:anchor="_bookmark70">
        <w:r>
          <w:rPr>
            <w:sz w:val="24"/>
          </w:rPr>
          <w:t>Condición</w:t>
        </w:r>
        <w:r>
          <w:rPr>
            <w:spacing w:val="2"/>
            <w:sz w:val="24"/>
          </w:rPr>
          <w:t> </w:t>
        </w:r>
        <w:r>
          <w:rPr>
            <w:spacing w:val="-2"/>
            <w:sz w:val="24"/>
          </w:rPr>
          <w:t>corporal</w:t>
        </w:r>
        <w:r>
          <w:rPr>
            <w:sz w:val="24"/>
          </w:rPr>
          <w:tab/>
        </w:r>
        <w:r>
          <w:rPr>
            <w:spacing w:val="-5"/>
            <w:sz w:val="24"/>
          </w:rPr>
          <w:t>42</w:t>
        </w:r>
      </w:hyperlink>
    </w:p>
    <w:p>
      <w:pPr>
        <w:pStyle w:val="BodyText"/>
      </w:pPr>
    </w:p>
    <w:p>
      <w:pPr>
        <w:pStyle w:val="ListParagraph"/>
        <w:numPr>
          <w:ilvl w:val="0"/>
          <w:numId w:val="4"/>
        </w:numPr>
        <w:tabs>
          <w:tab w:pos="1008" w:val="left" w:leader="none"/>
          <w:tab w:pos="8258" w:val="left" w:leader="none"/>
        </w:tabs>
        <w:spacing w:line="240" w:lineRule="auto" w:before="0" w:after="0"/>
        <w:ind w:left="1008" w:right="0" w:hanging="440"/>
        <w:jc w:val="left"/>
        <w:rPr>
          <w:sz w:val="24"/>
        </w:rPr>
      </w:pPr>
      <w:hyperlink w:history="true" w:anchor="_bookmark73">
        <w:r>
          <w:rPr>
            <w:sz w:val="24"/>
          </w:rPr>
          <w:t>Frecuencia de</w:t>
        </w:r>
        <w:r>
          <w:rPr>
            <w:spacing w:val="-4"/>
            <w:sz w:val="24"/>
          </w:rPr>
          <w:t> </w:t>
        </w:r>
        <w:r>
          <w:rPr>
            <w:sz w:val="24"/>
          </w:rPr>
          <w:t>efectos</w:t>
        </w:r>
        <w:r>
          <w:rPr>
            <w:spacing w:val="-2"/>
            <w:sz w:val="24"/>
          </w:rPr>
          <w:t> adversos</w:t>
        </w:r>
        <w:r>
          <w:rPr>
            <w:sz w:val="24"/>
          </w:rPr>
          <w:tab/>
        </w:r>
        <w:r>
          <w:rPr>
            <w:spacing w:val="-5"/>
            <w:sz w:val="24"/>
          </w:rPr>
          <w:t>43</w:t>
        </w:r>
      </w:hyperlink>
    </w:p>
    <w:p>
      <w:pPr>
        <w:pStyle w:val="ListParagraph"/>
        <w:spacing w:after="0" w:line="240" w:lineRule="auto"/>
        <w:jc w:val="left"/>
        <w:rPr>
          <w:sz w:val="24"/>
        </w:rPr>
        <w:sectPr>
          <w:pgSz w:w="11910" w:h="16840"/>
          <w:pgMar w:header="0" w:footer="1038" w:top="1620" w:bottom="1220" w:left="1700" w:right="1559"/>
        </w:sectPr>
      </w:pPr>
    </w:p>
    <w:p>
      <w:pPr>
        <w:pStyle w:val="Heading1"/>
        <w:ind w:left="3353"/>
        <w:jc w:val="left"/>
      </w:pPr>
      <w:r>
        <w:rPr/>
        <w:t>ÍNDICE</w:t>
      </w:r>
      <w:r>
        <w:rPr>
          <w:spacing w:val="-1"/>
        </w:rPr>
        <w:t> </w:t>
      </w:r>
      <w:r>
        <w:rPr/>
        <w:t>DE</w:t>
      </w:r>
      <w:r>
        <w:rPr>
          <w:spacing w:val="-1"/>
        </w:rPr>
        <w:t> </w:t>
      </w:r>
      <w:r>
        <w:rPr>
          <w:spacing w:val="-2"/>
        </w:rPr>
        <w:t>FIGURAS</w:t>
      </w:r>
    </w:p>
    <w:p>
      <w:pPr>
        <w:pStyle w:val="BodyText"/>
        <w:rPr>
          <w:b/>
          <w:sz w:val="28"/>
        </w:rPr>
      </w:pPr>
    </w:p>
    <w:p>
      <w:pPr>
        <w:tabs>
          <w:tab w:pos="2979" w:val="left" w:leader="none"/>
          <w:tab w:pos="7787" w:val="left" w:leader="none"/>
        </w:tabs>
        <w:spacing w:before="0"/>
        <w:ind w:left="568" w:right="0" w:firstLine="0"/>
        <w:jc w:val="left"/>
        <w:rPr>
          <w:b/>
          <w:sz w:val="24"/>
        </w:rPr>
      </w:pPr>
      <w:r>
        <w:rPr>
          <w:b/>
          <w:color w:val="0D0D0D"/>
          <w:spacing w:val="-5"/>
          <w:sz w:val="28"/>
        </w:rPr>
        <w:t>N°</w:t>
      </w:r>
      <w:r>
        <w:rPr>
          <w:b/>
          <w:color w:val="0D0D0D"/>
          <w:sz w:val="28"/>
        </w:rPr>
        <w:tab/>
      </w:r>
      <w:r>
        <w:rPr>
          <w:b/>
          <w:color w:val="0D0D0D"/>
          <w:spacing w:val="-2"/>
          <w:sz w:val="28"/>
        </w:rPr>
        <w:t>DETALLE</w:t>
      </w:r>
      <w:r>
        <w:rPr>
          <w:b/>
          <w:color w:val="0D0D0D"/>
          <w:sz w:val="28"/>
        </w:rPr>
        <w:tab/>
      </w:r>
      <w:r>
        <w:rPr>
          <w:b/>
          <w:color w:val="0D0D0D"/>
          <w:spacing w:val="-4"/>
          <w:sz w:val="28"/>
        </w:rPr>
        <w:t>PÁG</w:t>
      </w:r>
      <w:r>
        <w:rPr>
          <w:b/>
          <w:color w:val="0D0D0D"/>
          <w:spacing w:val="-4"/>
          <w:sz w:val="24"/>
        </w:rPr>
        <w:t>.</w:t>
      </w:r>
    </w:p>
    <w:p>
      <w:pPr>
        <w:pStyle w:val="ListParagraph"/>
        <w:numPr>
          <w:ilvl w:val="0"/>
          <w:numId w:val="5"/>
        </w:numPr>
        <w:tabs>
          <w:tab w:pos="808" w:val="left" w:leader="none"/>
          <w:tab w:pos="8498" w:val="right" w:leader="none"/>
        </w:tabs>
        <w:spacing w:line="240" w:lineRule="auto" w:before="319" w:after="0"/>
        <w:ind w:left="808" w:right="0" w:hanging="240"/>
        <w:jc w:val="left"/>
        <w:rPr>
          <w:sz w:val="24"/>
        </w:rPr>
      </w:pPr>
      <w:hyperlink w:history="true" w:anchor="_bookmark42">
        <w:r>
          <w:rPr>
            <w:sz w:val="24"/>
          </w:rPr>
          <w:t>Distribución</w:t>
        </w:r>
        <w:r>
          <w:rPr>
            <w:spacing w:val="-1"/>
            <w:sz w:val="24"/>
          </w:rPr>
          <w:t> </w:t>
        </w:r>
        <w:r>
          <w:rPr>
            <w:sz w:val="24"/>
          </w:rPr>
          <w:t>porcentual de</w:t>
        </w:r>
        <w:r>
          <w:rPr>
            <w:spacing w:val="-3"/>
            <w:sz w:val="24"/>
          </w:rPr>
          <w:t> </w:t>
        </w:r>
        <w:r>
          <w:rPr>
            <w:sz w:val="24"/>
          </w:rPr>
          <w:t>los</w:t>
        </w:r>
        <w:r>
          <w:rPr>
            <w:spacing w:val="-3"/>
            <w:sz w:val="24"/>
          </w:rPr>
          <w:t> </w:t>
        </w:r>
        <w:r>
          <w:rPr>
            <w:sz w:val="24"/>
          </w:rPr>
          <w:t>pacientes</w:t>
        </w:r>
        <w:r>
          <w:rPr>
            <w:spacing w:val="-6"/>
            <w:sz w:val="24"/>
          </w:rPr>
          <w:t> </w:t>
        </w:r>
        <w:r>
          <w:rPr>
            <w:sz w:val="24"/>
          </w:rPr>
          <w:t>según rangos</w:t>
        </w:r>
        <w:r>
          <w:rPr>
            <w:spacing w:val="-3"/>
            <w:sz w:val="24"/>
          </w:rPr>
          <w:t> </w:t>
        </w:r>
        <w:r>
          <w:rPr>
            <w:sz w:val="24"/>
          </w:rPr>
          <w:t>de</w:t>
        </w:r>
        <w:r>
          <w:rPr>
            <w:spacing w:val="1"/>
            <w:sz w:val="24"/>
          </w:rPr>
          <w:t> </w:t>
        </w:r>
        <w:r>
          <w:rPr>
            <w:spacing w:val="-4"/>
            <w:sz w:val="24"/>
          </w:rPr>
          <w:t>edad</w:t>
        </w:r>
        <w:r>
          <w:rPr>
            <w:sz w:val="24"/>
          </w:rPr>
          <w:tab/>
        </w:r>
        <w:r>
          <w:rPr>
            <w:spacing w:val="-5"/>
            <w:sz w:val="24"/>
          </w:rPr>
          <w:t>27</w:t>
        </w:r>
      </w:hyperlink>
    </w:p>
    <w:p>
      <w:pPr>
        <w:pStyle w:val="ListParagraph"/>
        <w:numPr>
          <w:ilvl w:val="0"/>
          <w:numId w:val="5"/>
        </w:numPr>
        <w:tabs>
          <w:tab w:pos="808" w:val="left" w:leader="none"/>
          <w:tab w:pos="8498" w:val="right" w:leader="none"/>
        </w:tabs>
        <w:spacing w:line="240" w:lineRule="auto" w:before="277" w:after="0"/>
        <w:ind w:left="808" w:right="0" w:hanging="240"/>
        <w:jc w:val="left"/>
        <w:rPr>
          <w:sz w:val="24"/>
        </w:rPr>
      </w:pPr>
      <w:hyperlink w:history="true" w:anchor="_bookmark45">
        <w:r>
          <w:rPr>
            <w:sz w:val="24"/>
          </w:rPr>
          <w:t>Raza</w:t>
        </w:r>
        <w:r>
          <w:rPr>
            <w:spacing w:val="1"/>
            <w:sz w:val="24"/>
          </w:rPr>
          <w:t> </w:t>
        </w:r>
        <w:r>
          <w:rPr>
            <w:sz w:val="24"/>
          </w:rPr>
          <w:t>de</w:t>
        </w:r>
        <w:r>
          <w:rPr>
            <w:spacing w:val="-3"/>
            <w:sz w:val="24"/>
          </w:rPr>
          <w:t> </w:t>
        </w:r>
        <w:r>
          <w:rPr>
            <w:sz w:val="24"/>
          </w:rPr>
          <w:t>los</w:t>
        </w:r>
        <w:r>
          <w:rPr>
            <w:spacing w:val="-2"/>
            <w:sz w:val="24"/>
          </w:rPr>
          <w:t> </w:t>
        </w:r>
        <w:r>
          <w:rPr>
            <w:sz w:val="24"/>
          </w:rPr>
          <w:t>pacientes</w:t>
        </w:r>
        <w:r>
          <w:rPr>
            <w:spacing w:val="-2"/>
            <w:sz w:val="24"/>
          </w:rPr>
          <w:t> caninos</w:t>
        </w:r>
        <w:r>
          <w:rPr>
            <w:sz w:val="24"/>
          </w:rPr>
          <w:tab/>
        </w:r>
        <w:r>
          <w:rPr>
            <w:spacing w:val="-5"/>
            <w:sz w:val="24"/>
          </w:rPr>
          <w:t>29</w:t>
        </w:r>
      </w:hyperlink>
    </w:p>
    <w:p>
      <w:pPr>
        <w:pStyle w:val="ListParagraph"/>
        <w:numPr>
          <w:ilvl w:val="0"/>
          <w:numId w:val="5"/>
        </w:numPr>
        <w:tabs>
          <w:tab w:pos="808" w:val="left" w:leader="none"/>
          <w:tab w:pos="8498" w:val="right" w:leader="none"/>
        </w:tabs>
        <w:spacing w:line="240" w:lineRule="auto" w:before="276" w:after="0"/>
        <w:ind w:left="808" w:right="0" w:hanging="240"/>
        <w:jc w:val="left"/>
        <w:rPr>
          <w:sz w:val="24"/>
        </w:rPr>
      </w:pPr>
      <w:hyperlink w:history="true" w:anchor="_bookmark48">
        <w:r>
          <w:rPr>
            <w:sz w:val="24"/>
          </w:rPr>
          <w:t>Sexo de</w:t>
        </w:r>
        <w:r>
          <w:rPr>
            <w:spacing w:val="1"/>
            <w:sz w:val="24"/>
          </w:rPr>
          <w:t> </w:t>
        </w:r>
        <w:r>
          <w:rPr>
            <w:sz w:val="24"/>
          </w:rPr>
          <w:t>los</w:t>
        </w:r>
        <w:r>
          <w:rPr>
            <w:spacing w:val="-2"/>
            <w:sz w:val="24"/>
          </w:rPr>
          <w:t> </w:t>
        </w:r>
        <w:r>
          <w:rPr>
            <w:sz w:val="24"/>
          </w:rPr>
          <w:t>pacientes</w:t>
        </w:r>
        <w:r>
          <w:rPr>
            <w:spacing w:val="-5"/>
            <w:sz w:val="24"/>
          </w:rPr>
          <w:t> </w:t>
        </w:r>
        <w:r>
          <w:rPr>
            <w:spacing w:val="-2"/>
            <w:sz w:val="24"/>
          </w:rPr>
          <w:t>caninos</w:t>
        </w:r>
        <w:r>
          <w:rPr>
            <w:sz w:val="24"/>
          </w:rPr>
          <w:tab/>
        </w:r>
        <w:r>
          <w:rPr>
            <w:spacing w:val="-5"/>
            <w:sz w:val="24"/>
          </w:rPr>
          <w:t>30</w:t>
        </w:r>
      </w:hyperlink>
    </w:p>
    <w:p>
      <w:pPr>
        <w:pStyle w:val="ListParagraph"/>
        <w:numPr>
          <w:ilvl w:val="0"/>
          <w:numId w:val="5"/>
        </w:numPr>
        <w:tabs>
          <w:tab w:pos="808" w:val="left" w:leader="none"/>
          <w:tab w:pos="8498" w:val="right" w:leader="none"/>
        </w:tabs>
        <w:spacing w:line="240" w:lineRule="auto" w:before="276" w:after="0"/>
        <w:ind w:left="808" w:right="0" w:hanging="240"/>
        <w:jc w:val="left"/>
        <w:rPr>
          <w:sz w:val="24"/>
        </w:rPr>
      </w:pPr>
      <w:hyperlink w:history="true" w:anchor="_bookmark51">
        <w:r>
          <w:rPr>
            <w:sz w:val="24"/>
          </w:rPr>
          <w:t>Distribución</w:t>
        </w:r>
        <w:r>
          <w:rPr>
            <w:spacing w:val="-2"/>
            <w:sz w:val="24"/>
          </w:rPr>
          <w:t> </w:t>
        </w:r>
        <w:r>
          <w:rPr>
            <w:sz w:val="24"/>
          </w:rPr>
          <w:t>de peso</w:t>
        </w:r>
        <w:r>
          <w:rPr>
            <w:spacing w:val="-1"/>
            <w:sz w:val="24"/>
          </w:rPr>
          <w:t> </w:t>
        </w:r>
        <w:r>
          <w:rPr>
            <w:sz w:val="24"/>
          </w:rPr>
          <w:t>por</w:t>
        </w:r>
        <w:r>
          <w:rPr>
            <w:spacing w:val="-1"/>
            <w:sz w:val="24"/>
          </w:rPr>
          <w:t> </w:t>
        </w:r>
        <w:r>
          <w:rPr>
            <w:spacing w:val="-2"/>
            <w:sz w:val="24"/>
          </w:rPr>
          <w:t>rangos</w:t>
        </w:r>
        <w:r>
          <w:rPr>
            <w:sz w:val="24"/>
          </w:rPr>
          <w:tab/>
        </w:r>
        <w:r>
          <w:rPr>
            <w:spacing w:val="-5"/>
            <w:sz w:val="24"/>
          </w:rPr>
          <w:t>32</w:t>
        </w:r>
      </w:hyperlink>
    </w:p>
    <w:p>
      <w:pPr>
        <w:pStyle w:val="ListParagraph"/>
        <w:numPr>
          <w:ilvl w:val="0"/>
          <w:numId w:val="5"/>
        </w:numPr>
        <w:tabs>
          <w:tab w:pos="808" w:val="left" w:leader="none"/>
          <w:tab w:pos="8498" w:val="right" w:leader="none"/>
        </w:tabs>
        <w:spacing w:line="240" w:lineRule="auto" w:before="276" w:after="0"/>
        <w:ind w:left="808" w:right="0" w:hanging="240"/>
        <w:jc w:val="left"/>
        <w:rPr>
          <w:sz w:val="24"/>
        </w:rPr>
      </w:pPr>
      <w:hyperlink w:history="true" w:anchor="_bookmark54">
        <w:r>
          <w:rPr>
            <w:sz w:val="24"/>
          </w:rPr>
          <w:t>Comparación</w:t>
        </w:r>
        <w:r>
          <w:rPr>
            <w:spacing w:val="-2"/>
            <w:sz w:val="24"/>
          </w:rPr>
          <w:t> </w:t>
        </w:r>
        <w:r>
          <w:rPr>
            <w:sz w:val="24"/>
          </w:rPr>
          <w:t>de la frecuencia </w:t>
        </w:r>
        <w:r>
          <w:rPr>
            <w:spacing w:val="-2"/>
            <w:sz w:val="24"/>
          </w:rPr>
          <w:t>cardiaca</w:t>
        </w:r>
        <w:r>
          <w:rPr>
            <w:sz w:val="24"/>
          </w:rPr>
          <w:tab/>
        </w:r>
        <w:r>
          <w:rPr>
            <w:spacing w:val="-5"/>
            <w:sz w:val="24"/>
          </w:rPr>
          <w:t>33</w:t>
        </w:r>
      </w:hyperlink>
    </w:p>
    <w:p>
      <w:pPr>
        <w:pStyle w:val="ListParagraph"/>
        <w:numPr>
          <w:ilvl w:val="0"/>
          <w:numId w:val="5"/>
        </w:numPr>
        <w:tabs>
          <w:tab w:pos="808" w:val="left" w:leader="none"/>
          <w:tab w:pos="8498" w:val="right" w:leader="none"/>
        </w:tabs>
        <w:spacing w:line="240" w:lineRule="auto" w:before="276" w:after="0"/>
        <w:ind w:left="808" w:right="0" w:hanging="240"/>
        <w:jc w:val="left"/>
        <w:rPr>
          <w:sz w:val="24"/>
        </w:rPr>
      </w:pPr>
      <w:hyperlink w:history="true" w:anchor="_bookmark57">
        <w:r>
          <w:rPr>
            <w:sz w:val="24"/>
          </w:rPr>
          <w:t>Presión</w:t>
        </w:r>
        <w:r>
          <w:rPr>
            <w:spacing w:val="-1"/>
            <w:sz w:val="24"/>
          </w:rPr>
          <w:t> </w:t>
        </w:r>
        <w:r>
          <w:rPr>
            <w:sz w:val="24"/>
          </w:rPr>
          <w:t>arterial</w:t>
        </w:r>
        <w:r>
          <w:rPr>
            <w:spacing w:val="1"/>
            <w:sz w:val="24"/>
          </w:rPr>
          <w:t> </w:t>
        </w:r>
        <w:r>
          <w:rPr>
            <w:spacing w:val="-2"/>
            <w:sz w:val="24"/>
          </w:rPr>
          <w:t>sistólica</w:t>
        </w:r>
        <w:r>
          <w:rPr>
            <w:sz w:val="24"/>
          </w:rPr>
          <w:tab/>
        </w:r>
        <w:r>
          <w:rPr>
            <w:spacing w:val="-5"/>
            <w:sz w:val="24"/>
          </w:rPr>
          <w:t>35</w:t>
        </w:r>
      </w:hyperlink>
    </w:p>
    <w:p>
      <w:pPr>
        <w:pStyle w:val="ListParagraph"/>
        <w:numPr>
          <w:ilvl w:val="0"/>
          <w:numId w:val="5"/>
        </w:numPr>
        <w:tabs>
          <w:tab w:pos="748" w:val="left" w:leader="none"/>
          <w:tab w:pos="8498" w:val="right" w:leader="none"/>
        </w:tabs>
        <w:spacing w:line="240" w:lineRule="auto" w:before="276" w:after="0"/>
        <w:ind w:left="748" w:right="0" w:hanging="180"/>
        <w:jc w:val="left"/>
        <w:rPr>
          <w:sz w:val="24"/>
        </w:rPr>
      </w:pPr>
      <w:hyperlink w:history="true" w:anchor="_bookmark58">
        <w:r>
          <w:rPr>
            <w:sz w:val="24"/>
          </w:rPr>
          <w:t>Comparación</w:t>
        </w:r>
        <w:r>
          <w:rPr>
            <w:spacing w:val="-1"/>
            <w:sz w:val="24"/>
          </w:rPr>
          <w:t> </w:t>
        </w:r>
        <w:r>
          <w:rPr>
            <w:sz w:val="24"/>
          </w:rPr>
          <w:t>de</w:t>
        </w:r>
        <w:r>
          <w:rPr>
            <w:spacing w:val="1"/>
            <w:sz w:val="24"/>
          </w:rPr>
          <w:t> </w:t>
        </w:r>
        <w:r>
          <w:rPr>
            <w:sz w:val="24"/>
          </w:rPr>
          <w:t>la</w:t>
        </w:r>
        <w:r>
          <w:rPr>
            <w:spacing w:val="1"/>
            <w:sz w:val="24"/>
          </w:rPr>
          <w:t> </w:t>
        </w:r>
        <w:r>
          <w:rPr>
            <w:sz w:val="24"/>
          </w:rPr>
          <w:t>presión</w:t>
        </w:r>
        <w:r>
          <w:rPr>
            <w:spacing w:val="-5"/>
            <w:sz w:val="24"/>
          </w:rPr>
          <w:t> </w:t>
        </w:r>
        <w:r>
          <w:rPr>
            <w:sz w:val="24"/>
          </w:rPr>
          <w:t>arterial</w:t>
        </w:r>
        <w:r>
          <w:rPr>
            <w:spacing w:val="1"/>
            <w:sz w:val="24"/>
          </w:rPr>
          <w:t> </w:t>
        </w:r>
        <w:r>
          <w:rPr>
            <w:spacing w:val="-2"/>
            <w:sz w:val="24"/>
          </w:rPr>
          <w:t>diastólica</w:t>
        </w:r>
        <w:r>
          <w:rPr>
            <w:sz w:val="24"/>
          </w:rPr>
          <w:tab/>
        </w:r>
        <w:r>
          <w:rPr>
            <w:spacing w:val="-5"/>
            <w:sz w:val="24"/>
          </w:rPr>
          <w:t>35</w:t>
        </w:r>
      </w:hyperlink>
    </w:p>
    <w:p>
      <w:pPr>
        <w:pStyle w:val="ListParagraph"/>
        <w:numPr>
          <w:ilvl w:val="0"/>
          <w:numId w:val="5"/>
        </w:numPr>
        <w:tabs>
          <w:tab w:pos="808" w:val="left" w:leader="none"/>
          <w:tab w:pos="8498" w:val="right" w:leader="none"/>
        </w:tabs>
        <w:spacing w:line="240" w:lineRule="auto" w:before="276" w:after="0"/>
        <w:ind w:left="808" w:right="0" w:hanging="240"/>
        <w:jc w:val="left"/>
        <w:rPr>
          <w:sz w:val="24"/>
        </w:rPr>
      </w:pPr>
      <w:hyperlink w:history="true" w:anchor="_bookmark59">
        <w:r>
          <w:rPr>
            <w:sz w:val="24"/>
          </w:rPr>
          <w:t>Comparación</w:t>
        </w:r>
        <w:r>
          <w:rPr>
            <w:spacing w:val="-1"/>
            <w:sz w:val="24"/>
          </w:rPr>
          <w:t> </w:t>
        </w:r>
        <w:r>
          <w:rPr>
            <w:sz w:val="24"/>
          </w:rPr>
          <w:t>de</w:t>
        </w:r>
        <w:r>
          <w:rPr>
            <w:spacing w:val="1"/>
            <w:sz w:val="24"/>
          </w:rPr>
          <w:t> </w:t>
        </w:r>
        <w:r>
          <w:rPr>
            <w:sz w:val="24"/>
          </w:rPr>
          <w:t>la</w:t>
        </w:r>
        <w:r>
          <w:rPr>
            <w:spacing w:val="1"/>
            <w:sz w:val="24"/>
          </w:rPr>
          <w:t> </w:t>
        </w:r>
        <w:r>
          <w:rPr>
            <w:sz w:val="24"/>
          </w:rPr>
          <w:t>presión</w:t>
        </w:r>
        <w:r>
          <w:rPr>
            <w:spacing w:val="-5"/>
            <w:sz w:val="24"/>
          </w:rPr>
          <w:t> </w:t>
        </w:r>
        <w:r>
          <w:rPr>
            <w:sz w:val="24"/>
          </w:rPr>
          <w:t>arterial</w:t>
        </w:r>
        <w:r>
          <w:rPr>
            <w:spacing w:val="-4"/>
            <w:sz w:val="24"/>
          </w:rPr>
          <w:t> media</w:t>
        </w:r>
        <w:r>
          <w:rPr>
            <w:sz w:val="24"/>
          </w:rPr>
          <w:tab/>
        </w:r>
        <w:r>
          <w:rPr>
            <w:spacing w:val="-5"/>
            <w:sz w:val="24"/>
          </w:rPr>
          <w:t>36</w:t>
        </w:r>
      </w:hyperlink>
    </w:p>
    <w:p>
      <w:pPr>
        <w:pStyle w:val="ListParagraph"/>
        <w:numPr>
          <w:ilvl w:val="0"/>
          <w:numId w:val="5"/>
        </w:numPr>
        <w:tabs>
          <w:tab w:pos="808" w:val="left" w:leader="none"/>
          <w:tab w:pos="8498" w:val="right" w:leader="none"/>
        </w:tabs>
        <w:spacing w:line="240" w:lineRule="auto" w:before="277" w:after="0"/>
        <w:ind w:left="808" w:right="0" w:hanging="240"/>
        <w:jc w:val="left"/>
        <w:rPr>
          <w:sz w:val="24"/>
        </w:rPr>
      </w:pPr>
      <w:hyperlink w:history="true" w:anchor="_bookmark62">
        <w:r>
          <w:rPr>
            <w:sz w:val="24"/>
          </w:rPr>
          <w:t>Saturación</w:t>
        </w:r>
        <w:r>
          <w:rPr>
            <w:spacing w:val="-2"/>
            <w:sz w:val="24"/>
          </w:rPr>
          <w:t> </w:t>
        </w:r>
        <w:r>
          <w:rPr>
            <w:sz w:val="24"/>
          </w:rPr>
          <w:t>periférica</w:t>
        </w:r>
        <w:r>
          <w:rPr>
            <w:spacing w:val="-1"/>
            <w:sz w:val="24"/>
          </w:rPr>
          <w:t> </w:t>
        </w:r>
        <w:r>
          <w:rPr>
            <w:sz w:val="24"/>
          </w:rPr>
          <w:t>de</w:t>
        </w:r>
        <w:r>
          <w:rPr>
            <w:spacing w:val="-2"/>
            <w:sz w:val="24"/>
          </w:rPr>
          <w:t> </w:t>
        </w:r>
        <w:r>
          <w:rPr>
            <w:sz w:val="24"/>
          </w:rPr>
          <w:t>oxígeno</w:t>
        </w:r>
        <w:r>
          <w:rPr>
            <w:spacing w:val="-1"/>
            <w:sz w:val="24"/>
          </w:rPr>
          <w:t> </w:t>
        </w:r>
        <w:r>
          <w:rPr>
            <w:spacing w:val="-4"/>
            <w:sz w:val="24"/>
          </w:rPr>
          <w:t>basal</w:t>
        </w:r>
        <w:r>
          <w:rPr>
            <w:sz w:val="24"/>
          </w:rPr>
          <w:tab/>
        </w:r>
        <w:r>
          <w:rPr>
            <w:spacing w:val="-5"/>
            <w:sz w:val="24"/>
          </w:rPr>
          <w:t>38</w:t>
        </w:r>
      </w:hyperlink>
    </w:p>
    <w:p>
      <w:pPr>
        <w:pStyle w:val="ListParagraph"/>
        <w:numPr>
          <w:ilvl w:val="0"/>
          <w:numId w:val="5"/>
        </w:numPr>
        <w:tabs>
          <w:tab w:pos="923" w:val="left" w:leader="none"/>
          <w:tab w:pos="8498" w:val="right" w:leader="none"/>
        </w:tabs>
        <w:spacing w:line="240" w:lineRule="auto" w:before="276" w:after="0"/>
        <w:ind w:left="923" w:right="0" w:hanging="355"/>
        <w:jc w:val="left"/>
        <w:rPr>
          <w:sz w:val="24"/>
        </w:rPr>
      </w:pPr>
      <w:hyperlink w:history="true" w:anchor="_bookmark65">
        <w:r>
          <w:rPr>
            <w:spacing w:val="-2"/>
            <w:sz w:val="24"/>
          </w:rPr>
          <w:t>Temperatura</w:t>
        </w:r>
        <w:r>
          <w:rPr>
            <w:spacing w:val="5"/>
            <w:sz w:val="24"/>
          </w:rPr>
          <w:t> </w:t>
        </w:r>
        <w:r>
          <w:rPr>
            <w:spacing w:val="-2"/>
            <w:sz w:val="24"/>
          </w:rPr>
          <w:t>corporal</w:t>
        </w:r>
        <w:r>
          <w:rPr>
            <w:sz w:val="24"/>
          </w:rPr>
          <w:tab/>
        </w:r>
        <w:r>
          <w:rPr>
            <w:spacing w:val="-5"/>
            <w:sz w:val="24"/>
          </w:rPr>
          <w:t>39</w:t>
        </w:r>
      </w:hyperlink>
    </w:p>
    <w:p>
      <w:pPr>
        <w:pStyle w:val="ListParagraph"/>
        <w:numPr>
          <w:ilvl w:val="0"/>
          <w:numId w:val="5"/>
        </w:numPr>
        <w:tabs>
          <w:tab w:pos="916" w:val="left" w:leader="none"/>
          <w:tab w:pos="8498" w:val="right" w:leader="none"/>
        </w:tabs>
        <w:spacing w:line="240" w:lineRule="auto" w:before="276" w:after="0"/>
        <w:ind w:left="916" w:right="0" w:hanging="348"/>
        <w:jc w:val="left"/>
        <w:rPr>
          <w:sz w:val="24"/>
        </w:rPr>
      </w:pPr>
      <w:hyperlink w:history="true" w:anchor="_bookmark68">
        <w:r>
          <w:rPr>
            <w:sz w:val="24"/>
          </w:rPr>
          <w:t>Tiempo</w:t>
        </w:r>
        <w:r>
          <w:rPr>
            <w:spacing w:val="-5"/>
            <w:sz w:val="24"/>
          </w:rPr>
          <w:t> </w:t>
        </w:r>
        <w:r>
          <w:rPr>
            <w:sz w:val="24"/>
          </w:rPr>
          <w:t>de</w:t>
        </w:r>
        <w:r>
          <w:rPr>
            <w:spacing w:val="-3"/>
            <w:sz w:val="24"/>
          </w:rPr>
          <w:t> </w:t>
        </w:r>
        <w:r>
          <w:rPr>
            <w:sz w:val="24"/>
          </w:rPr>
          <w:t>llenado</w:t>
        </w:r>
        <w:r>
          <w:rPr>
            <w:spacing w:val="-4"/>
            <w:sz w:val="24"/>
          </w:rPr>
          <w:t> </w:t>
        </w:r>
        <w:r>
          <w:rPr>
            <w:spacing w:val="-2"/>
            <w:sz w:val="24"/>
          </w:rPr>
          <w:t>capilar</w:t>
        </w:r>
        <w:r>
          <w:rPr>
            <w:sz w:val="24"/>
          </w:rPr>
          <w:tab/>
        </w:r>
        <w:r>
          <w:rPr>
            <w:spacing w:val="-5"/>
            <w:sz w:val="24"/>
          </w:rPr>
          <w:t>41</w:t>
        </w:r>
      </w:hyperlink>
    </w:p>
    <w:p>
      <w:pPr>
        <w:pStyle w:val="ListParagraph"/>
        <w:numPr>
          <w:ilvl w:val="0"/>
          <w:numId w:val="5"/>
        </w:numPr>
        <w:tabs>
          <w:tab w:pos="928" w:val="left" w:leader="none"/>
          <w:tab w:pos="8498" w:val="right" w:leader="none"/>
        </w:tabs>
        <w:spacing w:line="240" w:lineRule="auto" w:before="276" w:after="0"/>
        <w:ind w:left="928" w:right="0" w:hanging="360"/>
        <w:jc w:val="left"/>
        <w:rPr>
          <w:sz w:val="24"/>
        </w:rPr>
      </w:pPr>
      <w:hyperlink w:history="true" w:anchor="_bookmark71">
        <w:r>
          <w:rPr>
            <w:sz w:val="24"/>
          </w:rPr>
          <w:t>Condición</w:t>
        </w:r>
        <w:r>
          <w:rPr>
            <w:spacing w:val="3"/>
            <w:sz w:val="24"/>
          </w:rPr>
          <w:t> </w:t>
        </w:r>
        <w:r>
          <w:rPr>
            <w:spacing w:val="-2"/>
            <w:sz w:val="24"/>
          </w:rPr>
          <w:t>corporal</w:t>
        </w:r>
        <w:r>
          <w:rPr>
            <w:sz w:val="24"/>
          </w:rPr>
          <w:tab/>
        </w:r>
        <w:r>
          <w:rPr>
            <w:spacing w:val="-5"/>
            <w:sz w:val="24"/>
          </w:rPr>
          <w:t>42</w:t>
        </w:r>
      </w:hyperlink>
    </w:p>
    <w:p>
      <w:pPr>
        <w:pStyle w:val="ListParagraph"/>
        <w:numPr>
          <w:ilvl w:val="0"/>
          <w:numId w:val="5"/>
        </w:numPr>
        <w:tabs>
          <w:tab w:pos="928" w:val="left" w:leader="none"/>
          <w:tab w:pos="8498" w:val="right" w:leader="none"/>
        </w:tabs>
        <w:spacing w:line="240" w:lineRule="auto" w:before="276" w:after="0"/>
        <w:ind w:left="928" w:right="0" w:hanging="360"/>
        <w:jc w:val="left"/>
        <w:rPr>
          <w:sz w:val="24"/>
        </w:rPr>
      </w:pPr>
      <w:hyperlink w:history="true" w:anchor="_bookmark74">
        <w:r>
          <w:rPr>
            <w:sz w:val="24"/>
          </w:rPr>
          <w:t>Frecuencia de</w:t>
        </w:r>
        <w:r>
          <w:rPr>
            <w:spacing w:val="-4"/>
            <w:sz w:val="24"/>
          </w:rPr>
          <w:t> </w:t>
        </w:r>
        <w:r>
          <w:rPr>
            <w:sz w:val="24"/>
          </w:rPr>
          <w:t>efectos</w:t>
        </w:r>
        <w:r>
          <w:rPr>
            <w:spacing w:val="-2"/>
            <w:sz w:val="24"/>
          </w:rPr>
          <w:t> adversos</w:t>
        </w:r>
        <w:r>
          <w:rPr>
            <w:sz w:val="24"/>
          </w:rPr>
          <w:tab/>
        </w:r>
        <w:r>
          <w:rPr>
            <w:spacing w:val="-5"/>
            <w:sz w:val="24"/>
          </w:rPr>
          <w:t>44</w:t>
        </w:r>
      </w:hyperlink>
    </w:p>
    <w:p>
      <w:pPr>
        <w:pStyle w:val="ListParagraph"/>
        <w:spacing w:after="0" w:line="240" w:lineRule="auto"/>
        <w:jc w:val="left"/>
        <w:rPr>
          <w:sz w:val="24"/>
        </w:rPr>
        <w:sectPr>
          <w:pgSz w:w="11910" w:h="16840"/>
          <w:pgMar w:header="0" w:footer="1038" w:top="1620" w:bottom="1220" w:left="1700" w:right="1559"/>
        </w:sectPr>
      </w:pPr>
    </w:p>
    <w:p>
      <w:pPr>
        <w:pStyle w:val="Heading2"/>
        <w:ind w:left="3597"/>
      </w:pPr>
      <w:r>
        <w:rPr/>
        <w:t>ÍNDICE</w:t>
      </w:r>
      <w:r>
        <w:rPr>
          <w:spacing w:val="-5"/>
        </w:rPr>
        <w:t> </w:t>
      </w:r>
      <w:r>
        <w:rPr/>
        <w:t>DE</w:t>
      </w:r>
      <w:r>
        <w:rPr>
          <w:spacing w:val="-15"/>
        </w:rPr>
        <w:t> </w:t>
      </w:r>
      <w:r>
        <w:rPr>
          <w:spacing w:val="-2"/>
        </w:rPr>
        <w:t>ANEXOS</w:t>
      </w:r>
    </w:p>
    <w:p>
      <w:pPr>
        <w:pStyle w:val="BodyText"/>
        <w:rPr>
          <w:b/>
        </w:rPr>
      </w:pPr>
    </w:p>
    <w:p>
      <w:pPr>
        <w:tabs>
          <w:tab w:pos="4136" w:val="left" w:leader="none"/>
        </w:tabs>
        <w:spacing w:before="0"/>
        <w:ind w:left="568" w:right="0" w:firstLine="0"/>
        <w:jc w:val="left"/>
        <w:rPr>
          <w:b/>
          <w:sz w:val="24"/>
        </w:rPr>
      </w:pPr>
      <w:r>
        <w:rPr>
          <w:b/>
          <w:color w:val="0D0D0D"/>
          <w:spacing w:val="-5"/>
          <w:sz w:val="24"/>
        </w:rPr>
        <w:t>N°</w:t>
      </w:r>
      <w:r>
        <w:rPr>
          <w:b/>
          <w:color w:val="0D0D0D"/>
          <w:sz w:val="24"/>
        </w:rPr>
        <w:tab/>
      </w:r>
      <w:r>
        <w:rPr>
          <w:b/>
          <w:color w:val="0D0D0D"/>
          <w:spacing w:val="-2"/>
          <w:sz w:val="24"/>
        </w:rPr>
        <w:t>DETALLE</w:t>
      </w:r>
    </w:p>
    <w:p>
      <w:pPr>
        <w:pStyle w:val="BodyText"/>
        <w:rPr>
          <w:b/>
        </w:rPr>
      </w:pPr>
    </w:p>
    <w:p>
      <w:pPr>
        <w:pStyle w:val="BodyText"/>
        <w:tabs>
          <w:tab w:pos="1640" w:val="left" w:leader="none"/>
        </w:tabs>
        <w:ind w:left="568"/>
      </w:pPr>
      <w:r>
        <w:rPr>
          <w:b/>
        </w:rPr>
        <w:t>Anexo</w:t>
      </w:r>
      <w:r>
        <w:rPr>
          <w:b/>
          <w:spacing w:val="-3"/>
        </w:rPr>
        <w:t> </w:t>
      </w:r>
      <w:r>
        <w:rPr>
          <w:b/>
          <w:spacing w:val="-10"/>
        </w:rPr>
        <w:t>1</w:t>
      </w:r>
      <w:r>
        <w:rPr>
          <w:b/>
        </w:rPr>
        <w:tab/>
      </w:r>
      <w:hyperlink w:history="true" w:anchor="_bookmark81">
        <w:r>
          <w:rPr/>
          <w:t>Mapa de ubicación</w:t>
        </w:r>
        <w:r>
          <w:rPr>
            <w:spacing w:val="-1"/>
          </w:rPr>
          <w:t> </w:t>
        </w:r>
        <w:r>
          <w:rPr/>
          <w:t>de la</w:t>
        </w:r>
        <w:r>
          <w:rPr>
            <w:spacing w:val="-3"/>
          </w:rPr>
          <w:t> </w:t>
        </w:r>
        <w:r>
          <w:rPr>
            <w:spacing w:val="-2"/>
          </w:rPr>
          <w:t>investigación.</w:t>
        </w:r>
      </w:hyperlink>
    </w:p>
    <w:p>
      <w:pPr>
        <w:pStyle w:val="BodyText"/>
        <w:spacing w:before="1"/>
      </w:pPr>
    </w:p>
    <w:p>
      <w:pPr>
        <w:tabs>
          <w:tab w:pos="1640" w:val="left" w:leader="none"/>
        </w:tabs>
        <w:spacing w:before="0"/>
        <w:ind w:left="568" w:right="0" w:firstLine="0"/>
        <w:jc w:val="left"/>
        <w:rPr>
          <w:sz w:val="24"/>
        </w:rPr>
      </w:pPr>
      <w:hyperlink w:history="true" w:anchor="_bookmark82">
        <w:r>
          <w:rPr>
            <w:b/>
            <w:sz w:val="24"/>
          </w:rPr>
          <w:t>Anexo</w:t>
        </w:r>
        <w:r>
          <w:rPr>
            <w:b/>
            <w:spacing w:val="-3"/>
            <w:sz w:val="24"/>
          </w:rPr>
          <w:t> </w:t>
        </w:r>
        <w:r>
          <w:rPr>
            <w:b/>
            <w:spacing w:val="-10"/>
            <w:sz w:val="24"/>
          </w:rPr>
          <w:t>2</w:t>
        </w:r>
        <w:r>
          <w:rPr>
            <w:b/>
            <w:sz w:val="24"/>
          </w:rPr>
          <w:tab/>
        </w:r>
        <w:r>
          <w:rPr>
            <w:sz w:val="24"/>
          </w:rPr>
          <w:t>Croquis</w:t>
        </w:r>
        <w:r>
          <w:rPr>
            <w:spacing w:val="-2"/>
            <w:sz w:val="24"/>
          </w:rPr>
          <w:t> </w:t>
        </w:r>
        <w:r>
          <w:rPr>
            <w:sz w:val="24"/>
          </w:rPr>
          <w:t>del</w:t>
        </w:r>
        <w:r>
          <w:rPr>
            <w:spacing w:val="3"/>
            <w:sz w:val="24"/>
          </w:rPr>
          <w:t> </w:t>
        </w:r>
        <w:r>
          <w:rPr>
            <w:spacing w:val="-2"/>
            <w:sz w:val="24"/>
          </w:rPr>
          <w:t>ensayo</w:t>
        </w:r>
      </w:hyperlink>
    </w:p>
    <w:p>
      <w:pPr>
        <w:pStyle w:val="BodyText"/>
      </w:pPr>
    </w:p>
    <w:p>
      <w:pPr>
        <w:tabs>
          <w:tab w:pos="1640" w:val="left" w:leader="none"/>
        </w:tabs>
        <w:spacing w:before="0"/>
        <w:ind w:left="568" w:right="0" w:firstLine="0"/>
        <w:jc w:val="left"/>
        <w:rPr>
          <w:sz w:val="24"/>
        </w:rPr>
      </w:pPr>
      <w:hyperlink w:history="true" w:anchor="_bookmark83">
        <w:r>
          <w:rPr>
            <w:b/>
            <w:sz w:val="24"/>
          </w:rPr>
          <w:t>Anexo</w:t>
        </w:r>
        <w:r>
          <w:rPr>
            <w:b/>
            <w:spacing w:val="-3"/>
            <w:sz w:val="24"/>
          </w:rPr>
          <w:t> </w:t>
        </w:r>
        <w:r>
          <w:rPr>
            <w:b/>
            <w:spacing w:val="-10"/>
            <w:sz w:val="24"/>
          </w:rPr>
          <w:t>3</w:t>
        </w:r>
        <w:r>
          <w:rPr>
            <w:b/>
            <w:sz w:val="24"/>
          </w:rPr>
          <w:tab/>
        </w:r>
        <w:r>
          <w:rPr>
            <w:sz w:val="24"/>
          </w:rPr>
          <w:t>Base</w:t>
        </w:r>
        <w:r>
          <w:rPr>
            <w:spacing w:val="1"/>
            <w:sz w:val="24"/>
          </w:rPr>
          <w:t> </w:t>
        </w:r>
        <w:r>
          <w:rPr>
            <w:sz w:val="24"/>
          </w:rPr>
          <w:t>de</w:t>
        </w:r>
        <w:r>
          <w:rPr>
            <w:spacing w:val="1"/>
            <w:sz w:val="24"/>
          </w:rPr>
          <w:t> </w:t>
        </w:r>
        <w:r>
          <w:rPr>
            <w:sz w:val="24"/>
          </w:rPr>
          <w:t>datos</w:t>
        </w:r>
        <w:r>
          <w:rPr>
            <w:spacing w:val="-2"/>
            <w:sz w:val="24"/>
          </w:rPr>
          <w:t> </w:t>
        </w:r>
        <w:r>
          <w:rPr>
            <w:sz w:val="24"/>
          </w:rPr>
          <w:t>de</w:t>
        </w:r>
        <w:r>
          <w:rPr>
            <w:spacing w:val="1"/>
            <w:sz w:val="24"/>
          </w:rPr>
          <w:t> </w:t>
        </w:r>
        <w:r>
          <w:rPr>
            <w:sz w:val="24"/>
          </w:rPr>
          <w:t>los</w:t>
        </w:r>
        <w:r>
          <w:rPr>
            <w:spacing w:val="-2"/>
            <w:sz w:val="24"/>
          </w:rPr>
          <w:t> pacientes</w:t>
        </w:r>
      </w:hyperlink>
    </w:p>
    <w:p>
      <w:pPr>
        <w:pStyle w:val="BodyText"/>
      </w:pPr>
    </w:p>
    <w:p>
      <w:pPr>
        <w:pStyle w:val="BodyText"/>
        <w:tabs>
          <w:tab w:pos="1660" w:val="left" w:leader="none"/>
        </w:tabs>
        <w:spacing w:line="480" w:lineRule="auto"/>
        <w:ind w:left="568" w:right="170"/>
      </w:pPr>
      <w:hyperlink w:history="true" w:anchor="_bookmark84">
        <w:r>
          <w:rPr>
            <w:b/>
          </w:rPr>
          <w:t>Anexo 4</w:t>
          <w:tab/>
        </w:r>
        <w:r>
          <w:rPr/>
          <w:t>Frecuencia cardiaca basal y promedio intraoperatorio y diferencia por</w:t>
        </w:r>
      </w:hyperlink>
      <w:r>
        <w:rPr/>
        <w:t> </w:t>
      </w:r>
      <w:hyperlink w:history="true" w:anchor="_bookmark84">
        <w:r>
          <w:rPr>
            <w:spacing w:val="-2"/>
          </w:rPr>
          <w:t>paciente</w:t>
        </w:r>
      </w:hyperlink>
    </w:p>
    <w:p>
      <w:pPr>
        <w:pStyle w:val="BodyText"/>
        <w:tabs>
          <w:tab w:pos="1628" w:val="left" w:leader="none"/>
        </w:tabs>
        <w:spacing w:line="480" w:lineRule="auto"/>
        <w:ind w:left="568" w:right="170"/>
      </w:pPr>
      <w:hyperlink w:history="true" w:anchor="_bookmark85">
        <w:r>
          <w:rPr>
            <w:b/>
          </w:rPr>
          <w:t>Anexo 5</w:t>
          <w:tab/>
        </w:r>
        <w:r>
          <w:rPr/>
          <w:t>Tiempo de llenado capilar basal, promedio intraoperatorio y diferencia</w:t>
        </w:r>
      </w:hyperlink>
      <w:r>
        <w:rPr/>
        <w:t> </w:t>
      </w:r>
      <w:hyperlink w:history="true" w:anchor="_bookmark85">
        <w:r>
          <w:rPr/>
          <w:t>por paciente.</w:t>
        </w:r>
      </w:hyperlink>
    </w:p>
    <w:p>
      <w:pPr>
        <w:tabs>
          <w:tab w:pos="1640" w:val="left" w:leader="none"/>
        </w:tabs>
        <w:spacing w:before="0"/>
        <w:ind w:left="568" w:right="0" w:firstLine="0"/>
        <w:jc w:val="left"/>
        <w:rPr>
          <w:sz w:val="24"/>
        </w:rPr>
      </w:pPr>
      <w:hyperlink w:history="true" w:anchor="_bookmark86">
        <w:r>
          <w:rPr>
            <w:b/>
            <w:sz w:val="24"/>
          </w:rPr>
          <w:t>Anexo</w:t>
        </w:r>
        <w:r>
          <w:rPr>
            <w:b/>
            <w:spacing w:val="-3"/>
            <w:sz w:val="24"/>
          </w:rPr>
          <w:t> </w:t>
        </w:r>
        <w:r>
          <w:rPr>
            <w:b/>
            <w:spacing w:val="-10"/>
            <w:sz w:val="24"/>
          </w:rPr>
          <w:t>6</w:t>
        </w:r>
        <w:r>
          <w:rPr>
            <w:b/>
            <w:sz w:val="24"/>
          </w:rPr>
          <w:tab/>
        </w:r>
        <w:r>
          <w:rPr>
            <w:spacing w:val="-2"/>
            <w:sz w:val="24"/>
          </w:rPr>
          <w:t>Fotografías</w:t>
        </w:r>
      </w:hyperlink>
    </w:p>
    <w:p>
      <w:pPr>
        <w:pStyle w:val="BodyText"/>
        <w:spacing w:before="1"/>
      </w:pPr>
    </w:p>
    <w:p>
      <w:pPr>
        <w:spacing w:before="0"/>
        <w:ind w:left="568" w:right="0" w:firstLine="0"/>
        <w:jc w:val="left"/>
        <w:rPr>
          <w:sz w:val="24"/>
        </w:rPr>
      </w:pPr>
      <w:hyperlink w:history="true" w:anchor="_bookmark87">
        <w:r>
          <w:rPr>
            <w:b/>
            <w:sz w:val="24"/>
          </w:rPr>
          <w:t>Anexo</w:t>
        </w:r>
        <w:r>
          <w:rPr>
            <w:b/>
            <w:spacing w:val="-1"/>
            <w:sz w:val="24"/>
          </w:rPr>
          <w:t> </w:t>
        </w:r>
        <w:r>
          <w:rPr>
            <w:b/>
            <w:sz w:val="24"/>
          </w:rPr>
          <w:t>7</w:t>
        </w:r>
        <w:r>
          <w:rPr>
            <w:b/>
            <w:spacing w:val="29"/>
            <w:sz w:val="24"/>
          </w:rPr>
          <w:t>  </w:t>
        </w:r>
        <w:r>
          <w:rPr>
            <w:sz w:val="24"/>
          </w:rPr>
          <w:t>Ficha</w:t>
        </w:r>
        <w:r>
          <w:rPr>
            <w:spacing w:val="1"/>
            <w:sz w:val="24"/>
          </w:rPr>
          <w:t> </w:t>
        </w:r>
        <w:r>
          <w:rPr>
            <w:sz w:val="24"/>
          </w:rPr>
          <w:t>clínica</w:t>
        </w:r>
        <w:r>
          <w:rPr>
            <w:spacing w:val="-3"/>
            <w:sz w:val="24"/>
          </w:rPr>
          <w:t> </w:t>
        </w:r>
        <w:r>
          <w:rPr>
            <w:spacing w:val="-2"/>
            <w:sz w:val="24"/>
          </w:rPr>
          <w:t>anestésica</w:t>
        </w:r>
      </w:hyperlink>
    </w:p>
    <w:p>
      <w:pPr>
        <w:pStyle w:val="BodyText"/>
      </w:pPr>
    </w:p>
    <w:p>
      <w:pPr>
        <w:spacing w:before="0"/>
        <w:ind w:left="568" w:right="0" w:firstLine="0"/>
        <w:jc w:val="left"/>
        <w:rPr>
          <w:sz w:val="24"/>
        </w:rPr>
      </w:pPr>
      <w:r>
        <w:rPr>
          <w:b/>
          <w:sz w:val="24"/>
        </w:rPr>
        <w:t>Anexo</w:t>
      </w:r>
      <w:r>
        <w:rPr>
          <w:b/>
          <w:spacing w:val="-1"/>
          <w:sz w:val="24"/>
        </w:rPr>
        <w:t> </w:t>
      </w:r>
      <w:r>
        <w:rPr>
          <w:b/>
          <w:sz w:val="24"/>
        </w:rPr>
        <w:t>8</w:t>
      </w:r>
      <w:r>
        <w:rPr>
          <w:b/>
          <w:spacing w:val="28"/>
          <w:sz w:val="24"/>
        </w:rPr>
        <w:t>  </w:t>
      </w:r>
      <w:r>
        <w:rPr>
          <w:sz w:val="24"/>
        </w:rPr>
        <w:t>Glosario</w:t>
      </w:r>
      <w:r>
        <w:rPr>
          <w:spacing w:val="-1"/>
          <w:sz w:val="24"/>
        </w:rPr>
        <w:t> </w:t>
      </w:r>
      <w:r>
        <w:rPr>
          <w:sz w:val="24"/>
        </w:rPr>
        <w:t>de términos</w:t>
      </w:r>
      <w:r>
        <w:rPr>
          <w:spacing w:val="-2"/>
          <w:sz w:val="24"/>
        </w:rPr>
        <w:t> técnicos</w:t>
      </w:r>
    </w:p>
    <w:p>
      <w:pPr>
        <w:spacing w:after="0"/>
        <w:jc w:val="left"/>
        <w:rPr>
          <w:sz w:val="24"/>
        </w:rPr>
        <w:sectPr>
          <w:pgSz w:w="11910" w:h="16840"/>
          <w:pgMar w:header="0" w:footer="1038" w:top="1620" w:bottom="1220" w:left="1700" w:right="1559"/>
        </w:sectPr>
      </w:pPr>
    </w:p>
    <w:p>
      <w:pPr>
        <w:pStyle w:val="Heading1"/>
        <w:ind w:left="860"/>
      </w:pPr>
      <w:r>
        <w:rPr>
          <w:spacing w:val="-2"/>
        </w:rPr>
        <w:t>RESUMEN</w:t>
      </w:r>
    </w:p>
    <w:p>
      <w:pPr>
        <w:pStyle w:val="BodyText"/>
        <w:spacing w:line="480" w:lineRule="auto" w:before="319"/>
        <w:ind w:left="568" w:right="137"/>
        <w:jc w:val="both"/>
      </w:pPr>
      <w:r>
        <w:rPr/>
        <w:t>En el Hospital de Especialidades Veterinarias Vital Pet de la ciudad de Ambato, Ecuador;</w:t>
      </w:r>
      <w:r>
        <w:rPr>
          <w:spacing w:val="-1"/>
        </w:rPr>
        <w:t> </w:t>
      </w:r>
      <w:r>
        <w:rPr/>
        <w:t>se</w:t>
      </w:r>
      <w:r>
        <w:rPr>
          <w:spacing w:val="-5"/>
        </w:rPr>
        <w:t> </w:t>
      </w:r>
      <w:r>
        <w:rPr/>
        <w:t>evaluó</w:t>
      </w:r>
      <w:r>
        <w:rPr>
          <w:spacing w:val="-2"/>
        </w:rPr>
        <w:t> </w:t>
      </w:r>
      <w:r>
        <w:rPr/>
        <w:t>los</w:t>
      </w:r>
      <w:r>
        <w:rPr>
          <w:spacing w:val="-4"/>
        </w:rPr>
        <w:t> </w:t>
      </w:r>
      <w:r>
        <w:rPr/>
        <w:t>efectos</w:t>
      </w:r>
      <w:r>
        <w:rPr>
          <w:spacing w:val="-4"/>
        </w:rPr>
        <w:t> </w:t>
      </w:r>
      <w:r>
        <w:rPr/>
        <w:t>hemodinámicos</w:t>
      </w:r>
      <w:r>
        <w:rPr>
          <w:spacing w:val="-4"/>
        </w:rPr>
        <w:t> </w:t>
      </w:r>
      <w:r>
        <w:rPr/>
        <w:t>de</w:t>
      </w:r>
      <w:r>
        <w:rPr>
          <w:spacing w:val="-1"/>
        </w:rPr>
        <w:t> </w:t>
      </w:r>
      <w:r>
        <w:rPr/>
        <w:t>la</w:t>
      </w:r>
      <w:r>
        <w:rPr>
          <w:spacing w:val="-1"/>
        </w:rPr>
        <w:t> </w:t>
      </w:r>
      <w:r>
        <w:rPr/>
        <w:t>dexmedetomidina</w:t>
      </w:r>
      <w:r>
        <w:rPr>
          <w:spacing w:val="-5"/>
        </w:rPr>
        <w:t> </w:t>
      </w:r>
      <w:r>
        <w:rPr/>
        <w:t>en</w:t>
      </w:r>
      <w:r>
        <w:rPr>
          <w:spacing w:val="-2"/>
        </w:rPr>
        <w:t> </w:t>
      </w:r>
      <w:r>
        <w:rPr/>
        <w:t>caninos; Se aplicó un modelo estadístico experimental con mediciones repetidas en 30 caninos clínicamente estables, distribuidos en dos grupos según la vía de administración; Se calculó estadística descriptiva e inferencial empleando pruebas no paramétricas debido al incumplimiento de la normalidad evaluada mediante la prueba de Shapiro-Wilk; Los objetivos planteados fueron: 1) Evaluar los efectos hemodinámicos de la dexmedetomidina en caninos sometidos a anestesia general. y 2) Comparar las vías de administración intravenosa e intramuscular durante procedimientos</w:t>
      </w:r>
      <w:r>
        <w:rPr>
          <w:spacing w:val="-6"/>
        </w:rPr>
        <w:t> </w:t>
      </w:r>
      <w:r>
        <w:rPr/>
        <w:t>quirúrgicos</w:t>
      </w:r>
      <w:r>
        <w:rPr>
          <w:spacing w:val="-6"/>
        </w:rPr>
        <w:t> </w:t>
      </w:r>
      <w:r>
        <w:rPr/>
        <w:t>de</w:t>
      </w:r>
      <w:r>
        <w:rPr>
          <w:spacing w:val="-3"/>
        </w:rPr>
        <w:t> </w:t>
      </w:r>
      <w:r>
        <w:rPr/>
        <w:t>rutina;</w:t>
      </w:r>
      <w:r>
        <w:rPr>
          <w:spacing w:val="-7"/>
        </w:rPr>
        <w:t> </w:t>
      </w:r>
      <w:r>
        <w:rPr/>
        <w:t>Las</w:t>
      </w:r>
      <w:r>
        <w:rPr>
          <w:spacing w:val="-10"/>
        </w:rPr>
        <w:t> </w:t>
      </w:r>
      <w:r>
        <w:rPr/>
        <w:t>variables</w:t>
      </w:r>
      <w:r>
        <w:rPr>
          <w:spacing w:val="-6"/>
        </w:rPr>
        <w:t> </w:t>
      </w:r>
      <w:r>
        <w:rPr/>
        <w:t>respuestas y</w:t>
      </w:r>
      <w:r>
        <w:rPr>
          <w:spacing w:val="-9"/>
        </w:rPr>
        <w:t> </w:t>
      </w:r>
      <w:r>
        <w:rPr/>
        <w:t>resultados</w:t>
      </w:r>
      <w:r>
        <w:rPr>
          <w:spacing w:val="-6"/>
        </w:rPr>
        <w:t> </w:t>
      </w:r>
      <w:r>
        <w:rPr/>
        <w:t>fueron: Variaciones hemodinámicas (VH): frecuencia cardiaca (FC), la frecuencia respiratoria (FR) y la presión arterial (PA); Análisis estadístico global (AE): diferencias significativas obtenidas mediante la prueba de Friedman, requiriendo comparaciones post hoc con la prueba de rangos con signo de Wilcoxon y la aplicación</w:t>
      </w:r>
      <w:r>
        <w:rPr>
          <w:spacing w:val="-11"/>
        </w:rPr>
        <w:t> </w:t>
      </w:r>
      <w:r>
        <w:rPr/>
        <w:t>de</w:t>
      </w:r>
      <w:r>
        <w:rPr>
          <w:spacing w:val="-9"/>
        </w:rPr>
        <w:t> </w:t>
      </w:r>
      <w:r>
        <w:rPr/>
        <w:t>la</w:t>
      </w:r>
      <w:r>
        <w:rPr>
          <w:spacing w:val="-9"/>
        </w:rPr>
        <w:t> </w:t>
      </w:r>
      <w:r>
        <w:rPr/>
        <w:t>corrección</w:t>
      </w:r>
      <w:r>
        <w:rPr>
          <w:spacing w:val="-11"/>
        </w:rPr>
        <w:t> </w:t>
      </w:r>
      <w:r>
        <w:rPr/>
        <w:t>de</w:t>
      </w:r>
      <w:r>
        <w:rPr>
          <w:spacing w:val="-5"/>
        </w:rPr>
        <w:t> </w:t>
      </w:r>
      <w:r>
        <w:rPr/>
        <w:t>Bonferroni</w:t>
      </w:r>
      <w:r>
        <w:rPr>
          <w:spacing w:val="-5"/>
        </w:rPr>
        <w:t> </w:t>
      </w:r>
      <w:r>
        <w:rPr/>
        <w:t>(α</w:t>
      </w:r>
      <w:r>
        <w:rPr>
          <w:spacing w:val="-8"/>
        </w:rPr>
        <w:t> </w:t>
      </w:r>
      <w:r>
        <w:rPr/>
        <w:t>=</w:t>
      </w:r>
      <w:r>
        <w:rPr>
          <w:spacing w:val="-6"/>
        </w:rPr>
        <w:t> </w:t>
      </w:r>
      <w:r>
        <w:rPr/>
        <w:t>0,05);</w:t>
      </w:r>
      <w:r>
        <w:rPr>
          <w:spacing w:val="-5"/>
        </w:rPr>
        <w:t> </w:t>
      </w:r>
      <w:r>
        <w:rPr/>
        <w:t>De</w:t>
      </w:r>
      <w:r>
        <w:rPr>
          <w:spacing w:val="-9"/>
        </w:rPr>
        <w:t> </w:t>
      </w:r>
      <w:r>
        <w:rPr/>
        <w:t>acuerdo</w:t>
      </w:r>
      <w:r>
        <w:rPr>
          <w:spacing w:val="-10"/>
        </w:rPr>
        <w:t> </w:t>
      </w:r>
      <w:r>
        <w:rPr/>
        <w:t>con</w:t>
      </w:r>
      <w:r>
        <w:rPr>
          <w:spacing w:val="-10"/>
        </w:rPr>
        <w:t> </w:t>
      </w:r>
      <w:r>
        <w:rPr/>
        <w:t>los</w:t>
      </w:r>
      <w:r>
        <w:rPr>
          <w:spacing w:val="-8"/>
        </w:rPr>
        <w:t> </w:t>
      </w:r>
      <w:r>
        <w:rPr/>
        <w:t>resultados estadísticos</w:t>
      </w:r>
      <w:r>
        <w:rPr>
          <w:spacing w:val="-1"/>
        </w:rPr>
        <w:t> </w:t>
      </w:r>
      <w:r>
        <w:rPr/>
        <w:t>obtenidos</w:t>
      </w:r>
      <w:r>
        <w:rPr>
          <w:spacing w:val="-1"/>
        </w:rPr>
        <w:t> </w:t>
      </w:r>
      <w:r>
        <w:rPr/>
        <w:t>se</w:t>
      </w:r>
      <w:r>
        <w:rPr>
          <w:spacing w:val="-2"/>
        </w:rPr>
        <w:t> </w:t>
      </w:r>
      <w:r>
        <w:rPr/>
        <w:t>comprobaron</w:t>
      </w:r>
      <w:r>
        <w:rPr>
          <w:spacing w:val="-3"/>
        </w:rPr>
        <w:t> </w:t>
      </w:r>
      <w:r>
        <w:rPr/>
        <w:t>cambios</w:t>
      </w:r>
      <w:r>
        <w:rPr>
          <w:spacing w:val="-1"/>
        </w:rPr>
        <w:t> </w:t>
      </w:r>
      <w:r>
        <w:rPr/>
        <w:t>hemodinámicos</w:t>
      </w:r>
      <w:r>
        <w:rPr>
          <w:spacing w:val="-1"/>
        </w:rPr>
        <w:t> </w:t>
      </w:r>
      <w:r>
        <w:rPr/>
        <w:t>predecibles</w:t>
      </w:r>
      <w:r>
        <w:rPr>
          <w:spacing w:val="-5"/>
        </w:rPr>
        <w:t> </w:t>
      </w:r>
      <w:r>
        <w:rPr/>
        <w:t>en</w:t>
      </w:r>
      <w:r>
        <w:rPr>
          <w:spacing w:val="-3"/>
        </w:rPr>
        <w:t> </w:t>
      </w:r>
      <w:r>
        <w:rPr/>
        <w:t>los caninos, manteniendo valores en rangos compatibles con una perfusión tisular adecuada; Finalmente, la monitorización de parámetros hemodinámicos y fisiológicos</w:t>
      </w:r>
      <w:r>
        <w:rPr>
          <w:spacing w:val="-12"/>
        </w:rPr>
        <w:t> </w:t>
      </w:r>
      <w:r>
        <w:rPr/>
        <w:t>en</w:t>
      </w:r>
      <w:r>
        <w:rPr>
          <w:spacing w:val="-10"/>
        </w:rPr>
        <w:t> </w:t>
      </w:r>
      <w:r>
        <w:rPr/>
        <w:t>diferentes</w:t>
      </w:r>
      <w:r>
        <w:rPr>
          <w:spacing w:val="-12"/>
        </w:rPr>
        <w:t> </w:t>
      </w:r>
      <w:r>
        <w:rPr/>
        <w:t>momentos</w:t>
      </w:r>
      <w:r>
        <w:rPr>
          <w:spacing w:val="-12"/>
        </w:rPr>
        <w:t> </w:t>
      </w:r>
      <w:r>
        <w:rPr/>
        <w:t>del</w:t>
      </w:r>
      <w:r>
        <w:rPr>
          <w:spacing w:val="-9"/>
        </w:rPr>
        <w:t> </w:t>
      </w:r>
      <w:r>
        <w:rPr/>
        <w:t>acto</w:t>
      </w:r>
      <w:r>
        <w:rPr>
          <w:spacing w:val="-10"/>
        </w:rPr>
        <w:t> </w:t>
      </w:r>
      <w:r>
        <w:rPr/>
        <w:t>anestésico</w:t>
      </w:r>
      <w:r>
        <w:rPr>
          <w:spacing w:val="-10"/>
        </w:rPr>
        <w:t> </w:t>
      </w:r>
      <w:r>
        <w:rPr/>
        <w:t>es</w:t>
      </w:r>
      <w:r>
        <w:rPr>
          <w:spacing w:val="-12"/>
        </w:rPr>
        <w:t> </w:t>
      </w:r>
      <w:r>
        <w:rPr/>
        <w:t>una</w:t>
      </w:r>
      <w:r>
        <w:rPr>
          <w:spacing w:val="-9"/>
        </w:rPr>
        <w:t> </w:t>
      </w:r>
      <w:r>
        <w:rPr/>
        <w:t>herramienta</w:t>
      </w:r>
      <w:r>
        <w:rPr>
          <w:spacing w:val="-9"/>
        </w:rPr>
        <w:t> </w:t>
      </w:r>
      <w:r>
        <w:rPr/>
        <w:t>valiosa, y</w:t>
      </w:r>
      <w:r>
        <w:rPr>
          <w:spacing w:val="-11"/>
        </w:rPr>
        <w:t> </w:t>
      </w:r>
      <w:r>
        <w:rPr/>
        <w:t>una</w:t>
      </w:r>
      <w:r>
        <w:rPr>
          <w:spacing w:val="-10"/>
        </w:rPr>
        <w:t> </w:t>
      </w:r>
      <w:r>
        <w:rPr/>
        <w:t>comprensión</w:t>
      </w:r>
      <w:r>
        <w:rPr>
          <w:spacing w:val="-11"/>
        </w:rPr>
        <w:t> </w:t>
      </w:r>
      <w:r>
        <w:rPr/>
        <w:t>exhaustiva</w:t>
      </w:r>
      <w:r>
        <w:rPr>
          <w:spacing w:val="-10"/>
        </w:rPr>
        <w:t> </w:t>
      </w:r>
      <w:r>
        <w:rPr/>
        <w:t>de</w:t>
      </w:r>
      <w:r>
        <w:rPr>
          <w:spacing w:val="-10"/>
        </w:rPr>
        <w:t> </w:t>
      </w:r>
      <w:r>
        <w:rPr/>
        <w:t>la</w:t>
      </w:r>
      <w:r>
        <w:rPr>
          <w:spacing w:val="-14"/>
        </w:rPr>
        <w:t> </w:t>
      </w:r>
      <w:r>
        <w:rPr/>
        <w:t>estabilidad</w:t>
      </w:r>
      <w:r>
        <w:rPr>
          <w:spacing w:val="-11"/>
        </w:rPr>
        <w:t> </w:t>
      </w:r>
      <w:r>
        <w:rPr/>
        <w:t>del</w:t>
      </w:r>
      <w:r>
        <w:rPr>
          <w:spacing w:val="-14"/>
        </w:rPr>
        <w:t> </w:t>
      </w:r>
      <w:r>
        <w:rPr/>
        <w:t>paciente</w:t>
      </w:r>
      <w:r>
        <w:rPr>
          <w:spacing w:val="-10"/>
        </w:rPr>
        <w:t> </w:t>
      </w:r>
      <w:r>
        <w:rPr/>
        <w:t>debe</w:t>
      </w:r>
      <w:r>
        <w:rPr>
          <w:spacing w:val="-10"/>
        </w:rPr>
        <w:t> </w:t>
      </w:r>
      <w:r>
        <w:rPr/>
        <w:t>integrar</w:t>
      </w:r>
      <w:r>
        <w:rPr>
          <w:spacing w:val="-11"/>
        </w:rPr>
        <w:t> </w:t>
      </w:r>
      <w:r>
        <w:rPr/>
        <w:t>el</w:t>
      </w:r>
      <w:r>
        <w:rPr>
          <w:spacing w:val="-10"/>
        </w:rPr>
        <w:t> </w:t>
      </w:r>
      <w:r>
        <w:rPr/>
        <w:t>control del tiempo pospremedicación y la vía de administración empleada.</w:t>
      </w:r>
    </w:p>
    <w:p>
      <w:pPr>
        <w:pStyle w:val="BodyText"/>
        <w:spacing w:line="480" w:lineRule="auto" w:before="4"/>
        <w:ind w:left="568" w:right="148"/>
        <w:jc w:val="both"/>
      </w:pPr>
      <w:r>
        <w:rPr>
          <w:b/>
        </w:rPr>
        <w:t>Palabras clave: </w:t>
      </w:r>
      <w:r>
        <w:rPr/>
        <w:t>dexmedetomidina; anestesia general; hemodinámica; caninos; monitorización anestésica</w:t>
      </w:r>
    </w:p>
    <w:p>
      <w:pPr>
        <w:pStyle w:val="BodyText"/>
        <w:spacing w:after="0" w:line="480" w:lineRule="auto"/>
        <w:jc w:val="both"/>
        <w:sectPr>
          <w:pgSz w:w="11910" w:h="16840"/>
          <w:pgMar w:header="0" w:footer="1038" w:top="1620" w:bottom="1220" w:left="1700" w:right="1559"/>
        </w:sectPr>
      </w:pPr>
    </w:p>
    <w:p>
      <w:pPr>
        <w:pStyle w:val="Heading1"/>
        <w:ind w:left="603" w:right="180"/>
      </w:pPr>
      <w:r>
        <w:rPr>
          <w:spacing w:val="-2"/>
        </w:rPr>
        <w:t>ABSTRACT</w:t>
      </w:r>
    </w:p>
    <w:p>
      <w:pPr>
        <w:pStyle w:val="BodyText"/>
        <w:spacing w:line="480" w:lineRule="auto" w:before="319"/>
        <w:ind w:left="568" w:right="136"/>
        <w:jc w:val="both"/>
      </w:pPr>
      <w:r>
        <w:rPr/>
        <w:t>At</w:t>
      </w:r>
      <w:r>
        <w:rPr>
          <w:spacing w:val="-11"/>
        </w:rPr>
        <w:t> </w:t>
      </w:r>
      <w:r>
        <w:rPr/>
        <w:t>the</w:t>
      </w:r>
      <w:r>
        <w:rPr>
          <w:spacing w:val="-9"/>
        </w:rPr>
        <w:t> </w:t>
      </w:r>
      <w:r>
        <w:rPr/>
        <w:t>Vital</w:t>
      </w:r>
      <w:r>
        <w:rPr>
          <w:spacing w:val="-5"/>
        </w:rPr>
        <w:t> </w:t>
      </w:r>
      <w:r>
        <w:rPr/>
        <w:t>Pet</w:t>
      </w:r>
      <w:r>
        <w:rPr>
          <w:spacing w:val="-13"/>
        </w:rPr>
        <w:t> </w:t>
      </w:r>
      <w:r>
        <w:rPr/>
        <w:t>Veterinary</w:t>
      </w:r>
      <w:r>
        <w:rPr>
          <w:spacing w:val="-6"/>
        </w:rPr>
        <w:t> </w:t>
      </w:r>
      <w:r>
        <w:rPr/>
        <w:t>Specialties</w:t>
      </w:r>
      <w:r>
        <w:rPr>
          <w:spacing w:val="-8"/>
        </w:rPr>
        <w:t> </w:t>
      </w:r>
      <w:r>
        <w:rPr/>
        <w:t>Hospital</w:t>
      </w:r>
      <w:r>
        <w:rPr>
          <w:spacing w:val="-9"/>
        </w:rPr>
        <w:t> </w:t>
      </w:r>
      <w:r>
        <w:rPr/>
        <w:t>in</w:t>
      </w:r>
      <w:r>
        <w:rPr>
          <w:spacing w:val="-6"/>
        </w:rPr>
        <w:t> </w:t>
      </w:r>
      <w:r>
        <w:rPr/>
        <w:t>the</w:t>
      </w:r>
      <w:r>
        <w:rPr>
          <w:spacing w:val="-5"/>
        </w:rPr>
        <w:t> </w:t>
      </w:r>
      <w:r>
        <w:rPr/>
        <w:t>city</w:t>
      </w:r>
      <w:r>
        <w:rPr>
          <w:spacing w:val="-6"/>
        </w:rPr>
        <w:t> </w:t>
      </w:r>
      <w:r>
        <w:rPr/>
        <w:t>of</w:t>
      </w:r>
      <w:r>
        <w:rPr>
          <w:spacing w:val="-15"/>
        </w:rPr>
        <w:t> </w:t>
      </w:r>
      <w:r>
        <w:rPr/>
        <w:t>Ambato,</w:t>
      </w:r>
      <w:r>
        <w:rPr>
          <w:spacing w:val="-6"/>
        </w:rPr>
        <w:t> </w:t>
      </w:r>
      <w:r>
        <w:rPr/>
        <w:t>Ecuador;</w:t>
      </w:r>
      <w:r>
        <w:rPr>
          <w:spacing w:val="-9"/>
        </w:rPr>
        <w:t> </w:t>
      </w:r>
      <w:r>
        <w:rPr/>
        <w:t>the hemodynamic effects of dexmedetomidine in canines were evaluated; An experimental statistical model with repeated measures was applied to 30 clinically stable</w:t>
      </w:r>
      <w:r>
        <w:rPr>
          <w:spacing w:val="-9"/>
        </w:rPr>
        <w:t> </w:t>
      </w:r>
      <w:r>
        <w:rPr/>
        <w:t>canines,</w:t>
      </w:r>
      <w:r>
        <w:rPr>
          <w:spacing w:val="-7"/>
        </w:rPr>
        <w:t> </w:t>
      </w:r>
      <w:r>
        <w:rPr/>
        <w:t>distributed</w:t>
      </w:r>
      <w:r>
        <w:rPr>
          <w:spacing w:val="-7"/>
        </w:rPr>
        <w:t> </w:t>
      </w:r>
      <w:r>
        <w:rPr/>
        <w:t>into</w:t>
      </w:r>
      <w:r>
        <w:rPr>
          <w:spacing w:val="-11"/>
        </w:rPr>
        <w:t> </w:t>
      </w:r>
      <w:r>
        <w:rPr/>
        <w:t>two</w:t>
      </w:r>
      <w:r>
        <w:rPr>
          <w:spacing w:val="-7"/>
        </w:rPr>
        <w:t> </w:t>
      </w:r>
      <w:r>
        <w:rPr/>
        <w:t>groups</w:t>
      </w:r>
      <w:r>
        <w:rPr>
          <w:spacing w:val="-8"/>
        </w:rPr>
        <w:t> </w:t>
      </w:r>
      <w:r>
        <w:rPr/>
        <w:t>according</w:t>
      </w:r>
      <w:r>
        <w:rPr>
          <w:spacing w:val="-11"/>
        </w:rPr>
        <w:t> </w:t>
      </w:r>
      <w:r>
        <w:rPr/>
        <w:t>to</w:t>
      </w:r>
      <w:r>
        <w:rPr>
          <w:spacing w:val="-7"/>
        </w:rPr>
        <w:t> </w:t>
      </w:r>
      <w:r>
        <w:rPr/>
        <w:t>the</w:t>
      </w:r>
      <w:r>
        <w:rPr>
          <w:spacing w:val="-5"/>
        </w:rPr>
        <w:t> </w:t>
      </w:r>
      <w:r>
        <w:rPr/>
        <w:t>route</w:t>
      </w:r>
      <w:r>
        <w:rPr>
          <w:spacing w:val="-9"/>
        </w:rPr>
        <w:t> </w:t>
      </w:r>
      <w:r>
        <w:rPr/>
        <w:t>of</w:t>
      </w:r>
      <w:r>
        <w:rPr>
          <w:spacing w:val="-6"/>
        </w:rPr>
        <w:t> </w:t>
      </w:r>
      <w:r>
        <w:rPr/>
        <w:t>administration; Descriptive</w:t>
      </w:r>
      <w:r>
        <w:rPr>
          <w:spacing w:val="-14"/>
        </w:rPr>
        <w:t> </w:t>
      </w:r>
      <w:r>
        <w:rPr/>
        <w:t>and</w:t>
      </w:r>
      <w:r>
        <w:rPr>
          <w:spacing w:val="-11"/>
        </w:rPr>
        <w:t> </w:t>
      </w:r>
      <w:r>
        <w:rPr/>
        <w:t>inferential</w:t>
      </w:r>
      <w:r>
        <w:rPr>
          <w:spacing w:val="-10"/>
        </w:rPr>
        <w:t> </w:t>
      </w:r>
      <w:r>
        <w:rPr/>
        <w:t>statistics</w:t>
      </w:r>
      <w:r>
        <w:rPr>
          <w:spacing w:val="-13"/>
        </w:rPr>
        <w:t> </w:t>
      </w:r>
      <w:r>
        <w:rPr/>
        <w:t>were</w:t>
      </w:r>
      <w:r>
        <w:rPr>
          <w:spacing w:val="-10"/>
        </w:rPr>
        <w:t> </w:t>
      </w:r>
      <w:r>
        <w:rPr/>
        <w:t>calculated</w:t>
      </w:r>
      <w:r>
        <w:rPr>
          <w:spacing w:val="-11"/>
        </w:rPr>
        <w:t> </w:t>
      </w:r>
      <w:r>
        <w:rPr/>
        <w:t>using</w:t>
      </w:r>
      <w:r>
        <w:rPr>
          <w:spacing w:val="-11"/>
        </w:rPr>
        <w:t> </w:t>
      </w:r>
      <w:r>
        <w:rPr/>
        <w:t>non-parametric</w:t>
      </w:r>
      <w:r>
        <w:rPr>
          <w:spacing w:val="-10"/>
        </w:rPr>
        <w:t> </w:t>
      </w:r>
      <w:r>
        <w:rPr/>
        <w:t>tests</w:t>
      </w:r>
      <w:r>
        <w:rPr>
          <w:spacing w:val="-13"/>
        </w:rPr>
        <w:t> </w:t>
      </w:r>
      <w:r>
        <w:rPr/>
        <w:t>due to the non-fulfillment of normality assessed by the Shapiro-Wilk test; The stated objectives were: 1) To evaluate the hemodynamic effects of dexmedetomidine in canines subjected to general anesthesia. and 2) To compare the intravenous and intramuscular routes of administration during routine surgical procedures; The response variables and results were: Hemodynamic variations (HV): heart rate (HR), respiratory rate (RR), and blood pressure (BP); Global statistical analysis (GSA):</w:t>
      </w:r>
      <w:r>
        <w:rPr>
          <w:spacing w:val="-5"/>
        </w:rPr>
        <w:t> </w:t>
      </w:r>
      <w:r>
        <w:rPr/>
        <w:t>significant</w:t>
      </w:r>
      <w:r>
        <w:rPr>
          <w:spacing w:val="-6"/>
        </w:rPr>
        <w:t> </w:t>
      </w:r>
      <w:r>
        <w:rPr/>
        <w:t>differences</w:t>
      </w:r>
      <w:r>
        <w:rPr>
          <w:spacing w:val="-8"/>
        </w:rPr>
        <w:t> </w:t>
      </w:r>
      <w:r>
        <w:rPr/>
        <w:t>obtained</w:t>
      </w:r>
      <w:r>
        <w:rPr>
          <w:spacing w:val="-7"/>
        </w:rPr>
        <w:t> </w:t>
      </w:r>
      <w:r>
        <w:rPr/>
        <w:t>using</w:t>
      </w:r>
      <w:r>
        <w:rPr>
          <w:spacing w:val="-7"/>
        </w:rPr>
        <w:t> </w:t>
      </w:r>
      <w:r>
        <w:rPr/>
        <w:t>the</w:t>
      </w:r>
      <w:r>
        <w:rPr>
          <w:spacing w:val="-5"/>
        </w:rPr>
        <w:t> </w:t>
      </w:r>
      <w:r>
        <w:rPr/>
        <w:t>Friedman</w:t>
      </w:r>
      <w:r>
        <w:rPr>
          <w:spacing w:val="-7"/>
        </w:rPr>
        <w:t> </w:t>
      </w:r>
      <w:r>
        <w:rPr/>
        <w:t>test,</w:t>
      </w:r>
      <w:r>
        <w:rPr>
          <w:spacing w:val="-7"/>
        </w:rPr>
        <w:t> </w:t>
      </w:r>
      <w:r>
        <w:rPr/>
        <w:t>requiring</w:t>
      </w:r>
      <w:r>
        <w:rPr>
          <w:spacing w:val="-7"/>
        </w:rPr>
        <w:t> </w:t>
      </w:r>
      <w:r>
        <w:rPr/>
        <w:t>post</w:t>
      </w:r>
      <w:r>
        <w:rPr>
          <w:spacing w:val="-6"/>
        </w:rPr>
        <w:t> </w:t>
      </w:r>
      <w:r>
        <w:rPr/>
        <w:t>hoc comparisons with the Wilcoxon signed-rank test and the application of the Bonferroni correction (α = 0.05); According to the statistical results obtained, predictable</w:t>
      </w:r>
      <w:r>
        <w:rPr>
          <w:spacing w:val="-6"/>
        </w:rPr>
        <w:t> </w:t>
      </w:r>
      <w:r>
        <w:rPr/>
        <w:t>hemodynamic</w:t>
      </w:r>
      <w:r>
        <w:rPr>
          <w:spacing w:val="-6"/>
        </w:rPr>
        <w:t> </w:t>
      </w:r>
      <w:r>
        <w:rPr/>
        <w:t>changes</w:t>
      </w:r>
      <w:r>
        <w:rPr>
          <w:spacing w:val="-9"/>
        </w:rPr>
        <w:t> </w:t>
      </w:r>
      <w:r>
        <w:rPr/>
        <w:t>were</w:t>
      </w:r>
      <w:r>
        <w:rPr>
          <w:spacing w:val="-6"/>
        </w:rPr>
        <w:t> </w:t>
      </w:r>
      <w:r>
        <w:rPr/>
        <w:t>verified</w:t>
      </w:r>
      <w:r>
        <w:rPr>
          <w:spacing w:val="-10"/>
        </w:rPr>
        <w:t> </w:t>
      </w:r>
      <w:r>
        <w:rPr/>
        <w:t>in</w:t>
      </w:r>
      <w:r>
        <w:rPr>
          <w:spacing w:val="-8"/>
        </w:rPr>
        <w:t> </w:t>
      </w:r>
      <w:r>
        <w:rPr/>
        <w:t>the</w:t>
      </w:r>
      <w:r>
        <w:rPr>
          <w:spacing w:val="-9"/>
        </w:rPr>
        <w:t> </w:t>
      </w:r>
      <w:r>
        <w:rPr/>
        <w:t>canines,</w:t>
      </w:r>
      <w:r>
        <w:rPr>
          <w:spacing w:val="-8"/>
        </w:rPr>
        <w:t> </w:t>
      </w:r>
      <w:r>
        <w:rPr/>
        <w:t>maintaining</w:t>
      </w:r>
      <w:r>
        <w:rPr>
          <w:spacing w:val="-8"/>
        </w:rPr>
        <w:t> </w:t>
      </w:r>
      <w:r>
        <w:rPr/>
        <w:t>values within ranges compatible with adequate tissue perfusion; Finally, monitoring hemodynamic and physiological parameters at different times of the anesthetic procedure</w:t>
      </w:r>
      <w:r>
        <w:rPr>
          <w:spacing w:val="-10"/>
        </w:rPr>
        <w:t> </w:t>
      </w:r>
      <w:r>
        <w:rPr/>
        <w:t>is</w:t>
      </w:r>
      <w:r>
        <w:rPr>
          <w:spacing w:val="-13"/>
        </w:rPr>
        <w:t> </w:t>
      </w:r>
      <w:r>
        <w:rPr/>
        <w:t>a</w:t>
      </w:r>
      <w:r>
        <w:rPr>
          <w:spacing w:val="-10"/>
        </w:rPr>
        <w:t> </w:t>
      </w:r>
      <w:r>
        <w:rPr/>
        <w:t>valuable</w:t>
      </w:r>
      <w:r>
        <w:rPr>
          <w:spacing w:val="-14"/>
        </w:rPr>
        <w:t> </w:t>
      </w:r>
      <w:r>
        <w:rPr/>
        <w:t>tool,</w:t>
      </w:r>
      <w:r>
        <w:rPr>
          <w:spacing w:val="-11"/>
        </w:rPr>
        <w:t> </w:t>
      </w:r>
      <w:r>
        <w:rPr/>
        <w:t>and</w:t>
      </w:r>
      <w:r>
        <w:rPr>
          <w:spacing w:val="-15"/>
        </w:rPr>
        <w:t> </w:t>
      </w:r>
      <w:r>
        <w:rPr/>
        <w:t>a</w:t>
      </w:r>
      <w:r>
        <w:rPr>
          <w:spacing w:val="-10"/>
        </w:rPr>
        <w:t> </w:t>
      </w:r>
      <w:r>
        <w:rPr/>
        <w:t>comprehensive</w:t>
      </w:r>
      <w:r>
        <w:rPr>
          <w:spacing w:val="-10"/>
        </w:rPr>
        <w:t> </w:t>
      </w:r>
      <w:r>
        <w:rPr/>
        <w:t>understanding</w:t>
      </w:r>
      <w:r>
        <w:rPr>
          <w:spacing w:val="-11"/>
        </w:rPr>
        <w:t> </w:t>
      </w:r>
      <w:r>
        <w:rPr/>
        <w:t>of</w:t>
      </w:r>
      <w:r>
        <w:rPr>
          <w:spacing w:val="-11"/>
        </w:rPr>
        <w:t> </w:t>
      </w:r>
      <w:r>
        <w:rPr/>
        <w:t>patient</w:t>
      </w:r>
      <w:r>
        <w:rPr>
          <w:spacing w:val="-10"/>
        </w:rPr>
        <w:t> </w:t>
      </w:r>
      <w:r>
        <w:rPr/>
        <w:t>stability must integrate the control of post-premedication time and the route of administration used.</w:t>
      </w:r>
    </w:p>
    <w:p>
      <w:pPr>
        <w:pStyle w:val="BodyText"/>
      </w:pPr>
    </w:p>
    <w:p>
      <w:pPr>
        <w:pStyle w:val="BodyText"/>
        <w:spacing w:before="3"/>
      </w:pPr>
    </w:p>
    <w:p>
      <w:pPr>
        <w:pStyle w:val="BodyText"/>
        <w:spacing w:line="480" w:lineRule="auto" w:before="1"/>
        <w:ind w:left="568" w:right="148"/>
        <w:jc w:val="both"/>
      </w:pPr>
      <w:r>
        <w:rPr>
          <w:b/>
        </w:rPr>
        <w:t>Keywords: </w:t>
      </w:r>
      <w:r>
        <w:rPr/>
        <w:t>dexmedetomidine; general anesthesia; hemodynamics; canines; anesthetic monitoring</w:t>
      </w:r>
    </w:p>
    <w:p>
      <w:pPr>
        <w:pStyle w:val="BodyText"/>
        <w:spacing w:after="0" w:line="480" w:lineRule="auto"/>
        <w:jc w:val="both"/>
        <w:sectPr>
          <w:pgSz w:w="11910" w:h="16840"/>
          <w:pgMar w:header="0" w:footer="1038" w:top="1620" w:bottom="1220" w:left="1700" w:right="1559"/>
        </w:sectPr>
      </w:pPr>
    </w:p>
    <w:p>
      <w:pPr>
        <w:pStyle w:val="Heading2"/>
        <w:jc w:val="both"/>
      </w:pPr>
      <w:bookmarkStart w:name="_bookmark0" w:id="1"/>
      <w:bookmarkEnd w:id="1"/>
      <w:r>
        <w:rPr>
          <w:b w:val="0"/>
        </w:rPr>
      </w:r>
      <w:r>
        <w:rPr/>
        <w:t>CAPÍTULO</w:t>
      </w:r>
      <w:r>
        <w:rPr>
          <w:spacing w:val="-7"/>
        </w:rPr>
        <w:t> </w:t>
      </w:r>
      <w:r>
        <w:rPr>
          <w:spacing w:val="-10"/>
        </w:rPr>
        <w:t>I</w:t>
      </w:r>
    </w:p>
    <w:p>
      <w:pPr>
        <w:pStyle w:val="BodyText"/>
        <w:spacing w:before="24"/>
        <w:rPr>
          <w:b/>
        </w:rPr>
      </w:pPr>
    </w:p>
    <w:p>
      <w:pPr>
        <w:pStyle w:val="Heading2"/>
        <w:numPr>
          <w:ilvl w:val="1"/>
          <w:numId w:val="6"/>
        </w:numPr>
        <w:tabs>
          <w:tab w:pos="1144" w:val="left" w:leader="none"/>
        </w:tabs>
        <w:spacing w:line="240" w:lineRule="auto" w:before="0" w:after="0"/>
        <w:ind w:left="1144" w:right="0" w:hanging="576"/>
        <w:jc w:val="left"/>
      </w:pPr>
      <w:bookmarkStart w:name="_bookmark1" w:id="2"/>
      <w:bookmarkEnd w:id="2"/>
      <w:r>
        <w:rPr>
          <w:b w:val="0"/>
        </w:rPr>
      </w:r>
      <w:r>
        <w:rPr>
          <w:spacing w:val="-2"/>
        </w:rPr>
        <w:t>INTRODUCCIÓN</w:t>
      </w:r>
    </w:p>
    <w:p>
      <w:pPr>
        <w:pStyle w:val="BodyText"/>
        <w:spacing w:line="480" w:lineRule="auto" w:before="216"/>
        <w:ind w:left="568" w:right="137"/>
        <w:jc w:val="both"/>
      </w:pPr>
      <w:r>
        <w:rPr>
          <w:color w:val="0D0D0D"/>
        </w:rPr>
        <w:t>La premedicación anestésica a nivel mundial se conoce como uno de los procesos más importantes dentro de cualquier procedimiento quirúrgico en la medicina veterinaria</w:t>
      </w:r>
      <w:r>
        <w:rPr>
          <w:color w:val="0D0D0D"/>
          <w:spacing w:val="-15"/>
        </w:rPr>
        <w:t> </w:t>
      </w:r>
      <w:r>
        <w:rPr>
          <w:color w:val="0D0D0D"/>
        </w:rPr>
        <w:t>donde</w:t>
      </w:r>
      <w:r>
        <w:rPr>
          <w:color w:val="0D0D0D"/>
          <w:spacing w:val="-15"/>
        </w:rPr>
        <w:t> </w:t>
      </w:r>
      <w:r>
        <w:rPr>
          <w:color w:val="0D0D0D"/>
        </w:rPr>
        <w:t>se</w:t>
      </w:r>
      <w:r>
        <w:rPr>
          <w:color w:val="0D0D0D"/>
          <w:spacing w:val="-15"/>
        </w:rPr>
        <w:t> </w:t>
      </w:r>
      <w:r>
        <w:rPr>
          <w:color w:val="0D0D0D"/>
        </w:rPr>
        <w:t>garantiza</w:t>
      </w:r>
      <w:r>
        <w:rPr>
          <w:color w:val="0D0D0D"/>
          <w:spacing w:val="-15"/>
        </w:rPr>
        <w:t> </w:t>
      </w:r>
      <w:r>
        <w:rPr>
          <w:color w:val="0D0D0D"/>
        </w:rPr>
        <w:t>el</w:t>
      </w:r>
      <w:r>
        <w:rPr>
          <w:color w:val="0D0D0D"/>
          <w:spacing w:val="-15"/>
        </w:rPr>
        <w:t> </w:t>
      </w:r>
      <w:r>
        <w:rPr>
          <w:color w:val="0D0D0D"/>
        </w:rPr>
        <w:t>éxito</w:t>
      </w:r>
      <w:r>
        <w:rPr>
          <w:color w:val="0D0D0D"/>
          <w:spacing w:val="-15"/>
        </w:rPr>
        <w:t> </w:t>
      </w:r>
      <w:r>
        <w:rPr>
          <w:color w:val="0D0D0D"/>
        </w:rPr>
        <w:t>de</w:t>
      </w:r>
      <w:r>
        <w:rPr>
          <w:color w:val="0D0D0D"/>
          <w:spacing w:val="-15"/>
        </w:rPr>
        <w:t> </w:t>
      </w:r>
      <w:r>
        <w:rPr>
          <w:color w:val="0D0D0D"/>
        </w:rPr>
        <w:t>la</w:t>
      </w:r>
      <w:r>
        <w:rPr>
          <w:color w:val="0D0D0D"/>
          <w:spacing w:val="-15"/>
        </w:rPr>
        <w:t> </w:t>
      </w:r>
      <w:r>
        <w:rPr>
          <w:color w:val="0D0D0D"/>
        </w:rPr>
        <w:t>técnica,</w:t>
      </w:r>
      <w:r>
        <w:rPr>
          <w:color w:val="0D0D0D"/>
          <w:spacing w:val="-15"/>
        </w:rPr>
        <w:t> </w:t>
      </w:r>
      <w:r>
        <w:rPr>
          <w:color w:val="0D0D0D"/>
        </w:rPr>
        <w:t>pasando</w:t>
      </w:r>
      <w:r>
        <w:rPr>
          <w:color w:val="0D0D0D"/>
          <w:spacing w:val="-15"/>
        </w:rPr>
        <w:t> </w:t>
      </w:r>
      <w:r>
        <w:rPr>
          <w:color w:val="0D0D0D"/>
        </w:rPr>
        <w:t>de</w:t>
      </w:r>
      <w:r>
        <w:rPr>
          <w:color w:val="0D0D0D"/>
          <w:spacing w:val="-15"/>
        </w:rPr>
        <w:t> </w:t>
      </w:r>
      <w:r>
        <w:rPr>
          <w:color w:val="0D0D0D"/>
        </w:rPr>
        <w:t>la</w:t>
      </w:r>
      <w:r>
        <w:rPr>
          <w:color w:val="0D0D0D"/>
          <w:spacing w:val="-15"/>
        </w:rPr>
        <w:t> </w:t>
      </w:r>
      <w:r>
        <w:rPr>
          <w:color w:val="0D0D0D"/>
        </w:rPr>
        <w:t>vigilia</w:t>
      </w:r>
      <w:r>
        <w:rPr>
          <w:color w:val="0D0D0D"/>
          <w:spacing w:val="-15"/>
        </w:rPr>
        <w:t> </w:t>
      </w:r>
      <w:r>
        <w:rPr>
          <w:color w:val="0D0D0D"/>
        </w:rPr>
        <w:t>a</w:t>
      </w:r>
      <w:r>
        <w:rPr>
          <w:color w:val="0D0D0D"/>
          <w:spacing w:val="-15"/>
        </w:rPr>
        <w:t> </w:t>
      </w:r>
      <w:r>
        <w:rPr>
          <w:color w:val="0D0D0D"/>
        </w:rPr>
        <w:t>un</w:t>
      </w:r>
      <w:r>
        <w:rPr>
          <w:color w:val="0D0D0D"/>
          <w:spacing w:val="-15"/>
        </w:rPr>
        <w:t> </w:t>
      </w:r>
      <w:r>
        <w:rPr>
          <w:color w:val="0D0D0D"/>
        </w:rPr>
        <w:t>estado de</w:t>
      </w:r>
      <w:r>
        <w:rPr>
          <w:color w:val="0D0D0D"/>
          <w:spacing w:val="-9"/>
        </w:rPr>
        <w:t> </w:t>
      </w:r>
      <w:r>
        <w:rPr>
          <w:color w:val="0D0D0D"/>
        </w:rPr>
        <w:t>sedación</w:t>
      </w:r>
      <w:r>
        <w:rPr>
          <w:color w:val="0D0D0D"/>
          <w:spacing w:val="-9"/>
        </w:rPr>
        <w:t> </w:t>
      </w:r>
      <w:r>
        <w:rPr>
          <w:color w:val="0D0D0D"/>
        </w:rPr>
        <w:t>profunda,</w:t>
      </w:r>
      <w:r>
        <w:rPr>
          <w:color w:val="0D0D0D"/>
          <w:spacing w:val="-10"/>
        </w:rPr>
        <w:t> </w:t>
      </w:r>
      <w:r>
        <w:rPr>
          <w:color w:val="0D0D0D"/>
        </w:rPr>
        <w:t>evitando</w:t>
      </w:r>
      <w:r>
        <w:rPr>
          <w:color w:val="0D0D0D"/>
          <w:spacing w:val="-14"/>
        </w:rPr>
        <w:t> </w:t>
      </w:r>
      <w:r>
        <w:rPr>
          <w:color w:val="0D0D0D"/>
        </w:rPr>
        <w:t>el</w:t>
      </w:r>
      <w:r>
        <w:rPr>
          <w:color w:val="0D0D0D"/>
          <w:spacing w:val="-13"/>
        </w:rPr>
        <w:t> </w:t>
      </w:r>
      <w:r>
        <w:rPr>
          <w:color w:val="0D0D0D"/>
        </w:rPr>
        <w:t>trauma</w:t>
      </w:r>
      <w:r>
        <w:rPr>
          <w:color w:val="0D0D0D"/>
          <w:spacing w:val="-9"/>
        </w:rPr>
        <w:t> </w:t>
      </w:r>
      <w:r>
        <w:rPr>
          <w:color w:val="0D0D0D"/>
        </w:rPr>
        <w:t>ocasionado</w:t>
      </w:r>
      <w:r>
        <w:rPr>
          <w:color w:val="0D0D0D"/>
          <w:spacing w:val="-10"/>
        </w:rPr>
        <w:t> </w:t>
      </w:r>
      <w:r>
        <w:rPr>
          <w:color w:val="0D0D0D"/>
        </w:rPr>
        <w:t>por</w:t>
      </w:r>
      <w:r>
        <w:rPr>
          <w:color w:val="0D0D0D"/>
          <w:spacing w:val="-14"/>
        </w:rPr>
        <w:t> </w:t>
      </w:r>
      <w:r>
        <w:rPr>
          <w:color w:val="0D0D0D"/>
        </w:rPr>
        <w:t>el</w:t>
      </w:r>
      <w:r>
        <w:rPr>
          <w:color w:val="0D0D0D"/>
          <w:spacing w:val="-9"/>
        </w:rPr>
        <w:t> </w:t>
      </w:r>
      <w:r>
        <w:rPr>
          <w:color w:val="0D0D0D"/>
        </w:rPr>
        <w:t>dolor</w:t>
      </w:r>
      <w:r>
        <w:rPr>
          <w:color w:val="0D0D0D"/>
          <w:spacing w:val="-10"/>
        </w:rPr>
        <w:t> </w:t>
      </w:r>
      <w:r>
        <w:rPr>
          <w:color w:val="0D0D0D"/>
        </w:rPr>
        <w:t>(Pan</w:t>
      </w:r>
      <w:r>
        <w:rPr>
          <w:color w:val="0D0D0D"/>
          <w:spacing w:val="-14"/>
        </w:rPr>
        <w:t> </w:t>
      </w:r>
      <w:r>
        <w:rPr>
          <w:color w:val="0D0D0D"/>
        </w:rPr>
        <w:t>et</w:t>
      </w:r>
      <w:r>
        <w:rPr>
          <w:color w:val="0D0D0D"/>
          <w:spacing w:val="-13"/>
        </w:rPr>
        <w:t> </w:t>
      </w:r>
      <w:r>
        <w:rPr>
          <w:color w:val="0D0D0D"/>
        </w:rPr>
        <w:t>al.,</w:t>
      </w:r>
      <w:r>
        <w:rPr>
          <w:color w:val="0D0D0D"/>
          <w:spacing w:val="-10"/>
        </w:rPr>
        <w:t> </w:t>
      </w:r>
      <w:r>
        <w:rPr>
          <w:color w:val="0D0D0D"/>
        </w:rPr>
        <w:t>2021). La dexmedetomidina es un agonista selectivo de los receptores </w:t>
      </w:r>
      <w:r>
        <w:rPr>
          <w:rFonts w:ascii="Cambria Math" w:hAnsi="Cambria Math" w:eastAsia="Cambria Math"/>
          <w:color w:val="0D0D0D"/>
        </w:rPr>
        <w:t>𝛼</w:t>
      </w:r>
      <w:r>
        <w:rPr>
          <w:rFonts w:ascii="Cambria Math" w:hAnsi="Cambria Math" w:eastAsia="Cambria Math"/>
          <w:color w:val="0D0D0D"/>
          <w:vertAlign w:val="subscript"/>
        </w:rPr>
        <w:t>2</w:t>
      </w:r>
      <w:r>
        <w:rPr>
          <w:color w:val="0D0D0D"/>
          <w:vertAlign w:val="baseline"/>
        </w:rPr>
        <w:t>-adrenérgicos y también inhibe</w:t>
      </w:r>
      <w:r>
        <w:rPr>
          <w:color w:val="0D0D0D"/>
          <w:spacing w:val="-1"/>
          <w:vertAlign w:val="baseline"/>
        </w:rPr>
        <w:t> </w:t>
      </w:r>
      <w:r>
        <w:rPr>
          <w:color w:val="0D0D0D"/>
          <w:vertAlign w:val="baseline"/>
        </w:rPr>
        <w:t>la</w:t>
      </w:r>
      <w:r>
        <w:rPr>
          <w:color w:val="0D0D0D"/>
          <w:spacing w:val="-1"/>
          <w:vertAlign w:val="baseline"/>
        </w:rPr>
        <w:t> </w:t>
      </w:r>
      <w:r>
        <w:rPr>
          <w:color w:val="0D0D0D"/>
          <w:vertAlign w:val="baseline"/>
        </w:rPr>
        <w:t>liberación de</w:t>
      </w:r>
      <w:r>
        <w:rPr>
          <w:color w:val="0D0D0D"/>
          <w:spacing w:val="-1"/>
          <w:vertAlign w:val="baseline"/>
        </w:rPr>
        <w:t> </w:t>
      </w:r>
      <w:r>
        <w:rPr>
          <w:color w:val="0D0D0D"/>
          <w:vertAlign w:val="baseline"/>
        </w:rPr>
        <w:t>noradrenalina en</w:t>
      </w:r>
      <w:r>
        <w:rPr>
          <w:color w:val="0D0D0D"/>
          <w:spacing w:val="-3"/>
          <w:vertAlign w:val="baseline"/>
        </w:rPr>
        <w:t> </w:t>
      </w:r>
      <w:r>
        <w:rPr>
          <w:color w:val="0D0D0D"/>
          <w:vertAlign w:val="baseline"/>
        </w:rPr>
        <w:t>el</w:t>
      </w:r>
      <w:r>
        <w:rPr>
          <w:color w:val="0D0D0D"/>
          <w:spacing w:val="-1"/>
          <w:vertAlign w:val="baseline"/>
        </w:rPr>
        <w:t> </w:t>
      </w:r>
      <w:r>
        <w:rPr>
          <w:color w:val="0D0D0D"/>
          <w:vertAlign w:val="baseline"/>
        </w:rPr>
        <w:t>locus cerúleo,</w:t>
      </w:r>
      <w:r>
        <w:rPr>
          <w:color w:val="0D0D0D"/>
          <w:spacing w:val="-2"/>
          <w:vertAlign w:val="baseline"/>
        </w:rPr>
        <w:t> </w:t>
      </w:r>
      <w:r>
        <w:rPr>
          <w:color w:val="0D0D0D"/>
          <w:vertAlign w:val="baseline"/>
        </w:rPr>
        <w:t>lo que</w:t>
      </w:r>
      <w:r>
        <w:rPr>
          <w:color w:val="0D0D0D"/>
          <w:spacing w:val="-1"/>
          <w:vertAlign w:val="baseline"/>
        </w:rPr>
        <w:t> </w:t>
      </w:r>
      <w:r>
        <w:rPr>
          <w:color w:val="0D0D0D"/>
          <w:vertAlign w:val="baseline"/>
        </w:rPr>
        <w:t>resulta</w:t>
      </w:r>
      <w:r>
        <w:rPr>
          <w:color w:val="0D0D0D"/>
          <w:spacing w:val="-1"/>
          <w:vertAlign w:val="baseline"/>
        </w:rPr>
        <w:t> </w:t>
      </w:r>
      <w:r>
        <w:rPr>
          <w:color w:val="0D0D0D"/>
          <w:vertAlign w:val="baseline"/>
        </w:rPr>
        <w:t>en una disminución de la frecuencia cardiaca. Además, tiene potentes propiedades analgésicas, tal así, sus efectos secundarios llegan a provocar una bradicardia transitoria y aumento de la presión arterial (Akashi et al., 2020). Mientras que los anestésicos inhalatorios como el sevoflurano, a nivel latinoamericano se entiende que son agentes ampliamente utilizados actualmente, que han demostrado tener efectos positivos sobre el mantenimiento de la inconsciencia y la inmovilidad en diversas especies. Es importante señalar que no ofrecen analgesia postoperatoria, los animales se recuperan de manera rápida y tienen periodos de eliminación de corta duración. Sin embargo, pueden presentar efectos secundarios como hipotensión y depresión respiratoria dependiente de la dosis (Ko et al., 2024). La administración</w:t>
      </w:r>
      <w:r>
        <w:rPr>
          <w:color w:val="0D0D0D"/>
          <w:spacing w:val="-7"/>
          <w:vertAlign w:val="baseline"/>
        </w:rPr>
        <w:t> </w:t>
      </w:r>
      <w:r>
        <w:rPr>
          <w:color w:val="0D0D0D"/>
          <w:vertAlign w:val="baseline"/>
        </w:rPr>
        <w:t>de</w:t>
      </w:r>
      <w:r>
        <w:rPr>
          <w:color w:val="0D0D0D"/>
          <w:spacing w:val="-5"/>
          <w:vertAlign w:val="baseline"/>
        </w:rPr>
        <w:t> </w:t>
      </w:r>
      <w:r>
        <w:rPr>
          <w:color w:val="0D0D0D"/>
          <w:vertAlign w:val="baseline"/>
        </w:rPr>
        <w:t>estos</w:t>
      </w:r>
      <w:r>
        <w:rPr>
          <w:color w:val="0D0D0D"/>
          <w:spacing w:val="-8"/>
          <w:vertAlign w:val="baseline"/>
        </w:rPr>
        <w:t> </w:t>
      </w:r>
      <w:r>
        <w:rPr>
          <w:color w:val="0D0D0D"/>
          <w:vertAlign w:val="baseline"/>
        </w:rPr>
        <w:t>fármacos</w:t>
      </w:r>
      <w:r>
        <w:rPr>
          <w:color w:val="0D0D0D"/>
          <w:spacing w:val="-8"/>
          <w:vertAlign w:val="baseline"/>
        </w:rPr>
        <w:t> </w:t>
      </w:r>
      <w:r>
        <w:rPr>
          <w:color w:val="0D0D0D"/>
          <w:vertAlign w:val="baseline"/>
        </w:rPr>
        <w:t>de</w:t>
      </w:r>
      <w:r>
        <w:rPr>
          <w:color w:val="0D0D0D"/>
          <w:spacing w:val="-5"/>
          <w:vertAlign w:val="baseline"/>
        </w:rPr>
        <w:t> </w:t>
      </w:r>
      <w:r>
        <w:rPr>
          <w:color w:val="0D0D0D"/>
          <w:vertAlign w:val="baseline"/>
        </w:rPr>
        <w:t>forma</w:t>
      </w:r>
      <w:r>
        <w:rPr>
          <w:color w:val="0D0D0D"/>
          <w:spacing w:val="-9"/>
          <w:vertAlign w:val="baseline"/>
        </w:rPr>
        <w:t> </w:t>
      </w:r>
      <w:r>
        <w:rPr>
          <w:color w:val="0D0D0D"/>
          <w:vertAlign w:val="baseline"/>
        </w:rPr>
        <w:t>combinada</w:t>
      </w:r>
      <w:r>
        <w:rPr>
          <w:color w:val="0D0D0D"/>
          <w:spacing w:val="-5"/>
          <w:vertAlign w:val="baseline"/>
        </w:rPr>
        <w:t> </w:t>
      </w:r>
      <w:r>
        <w:rPr>
          <w:color w:val="0D0D0D"/>
          <w:vertAlign w:val="baseline"/>
        </w:rPr>
        <w:t>se</w:t>
      </w:r>
      <w:r>
        <w:rPr>
          <w:color w:val="0D0D0D"/>
          <w:spacing w:val="-5"/>
          <w:vertAlign w:val="baseline"/>
        </w:rPr>
        <w:t> </w:t>
      </w:r>
      <w:r>
        <w:rPr>
          <w:color w:val="0D0D0D"/>
          <w:vertAlign w:val="baseline"/>
        </w:rPr>
        <w:t>la</w:t>
      </w:r>
      <w:r>
        <w:rPr>
          <w:color w:val="0D0D0D"/>
          <w:spacing w:val="-5"/>
          <w:vertAlign w:val="baseline"/>
        </w:rPr>
        <w:t> </w:t>
      </w:r>
      <w:r>
        <w:rPr>
          <w:color w:val="0D0D0D"/>
          <w:vertAlign w:val="baseline"/>
        </w:rPr>
        <w:t>conoce</w:t>
      </w:r>
      <w:r>
        <w:rPr>
          <w:color w:val="0D0D0D"/>
          <w:spacing w:val="-9"/>
          <w:vertAlign w:val="baseline"/>
        </w:rPr>
        <w:t> </w:t>
      </w:r>
      <w:r>
        <w:rPr>
          <w:color w:val="0D0D0D"/>
          <w:vertAlign w:val="baseline"/>
        </w:rPr>
        <w:t>como</w:t>
      </w:r>
      <w:r>
        <w:rPr>
          <w:color w:val="0D0D0D"/>
          <w:spacing w:val="-7"/>
          <w:vertAlign w:val="baseline"/>
        </w:rPr>
        <w:t> </w:t>
      </w:r>
      <w:r>
        <w:rPr>
          <w:color w:val="0D0D0D"/>
          <w:vertAlign w:val="baseline"/>
        </w:rPr>
        <w:t>anestesia balanceada,</w:t>
      </w:r>
      <w:r>
        <w:rPr>
          <w:color w:val="0D0D0D"/>
          <w:spacing w:val="-15"/>
          <w:vertAlign w:val="baseline"/>
        </w:rPr>
        <w:t> </w:t>
      </w:r>
      <w:r>
        <w:rPr>
          <w:color w:val="0D0D0D"/>
          <w:vertAlign w:val="baseline"/>
        </w:rPr>
        <w:t>posee</w:t>
      </w:r>
      <w:r>
        <w:rPr>
          <w:color w:val="0D0D0D"/>
          <w:spacing w:val="-15"/>
          <w:vertAlign w:val="baseline"/>
        </w:rPr>
        <w:t> </w:t>
      </w:r>
      <w:r>
        <w:rPr>
          <w:color w:val="0D0D0D"/>
          <w:vertAlign w:val="baseline"/>
        </w:rPr>
        <w:t>ciertos</w:t>
      </w:r>
      <w:r>
        <w:rPr>
          <w:color w:val="0D0D0D"/>
          <w:spacing w:val="-15"/>
          <w:vertAlign w:val="baseline"/>
        </w:rPr>
        <w:t> </w:t>
      </w:r>
      <w:r>
        <w:rPr>
          <w:color w:val="0D0D0D"/>
          <w:vertAlign w:val="baseline"/>
        </w:rPr>
        <w:t>beneficios</w:t>
      </w:r>
      <w:r>
        <w:rPr>
          <w:color w:val="0D0D0D"/>
          <w:spacing w:val="-15"/>
          <w:vertAlign w:val="baseline"/>
        </w:rPr>
        <w:t> </w:t>
      </w:r>
      <w:r>
        <w:rPr>
          <w:color w:val="0D0D0D"/>
          <w:vertAlign w:val="baseline"/>
        </w:rPr>
        <w:t>como</w:t>
      </w:r>
      <w:r>
        <w:rPr>
          <w:color w:val="0D0D0D"/>
          <w:spacing w:val="-15"/>
          <w:vertAlign w:val="baseline"/>
        </w:rPr>
        <w:t> </w:t>
      </w:r>
      <w:r>
        <w:rPr>
          <w:color w:val="0D0D0D"/>
          <w:vertAlign w:val="baseline"/>
        </w:rPr>
        <w:t>una</w:t>
      </w:r>
      <w:r>
        <w:rPr>
          <w:color w:val="0D0D0D"/>
          <w:spacing w:val="-15"/>
          <w:vertAlign w:val="baseline"/>
        </w:rPr>
        <w:t> </w:t>
      </w:r>
      <w:r>
        <w:rPr>
          <w:color w:val="0D0D0D"/>
          <w:vertAlign w:val="baseline"/>
        </w:rPr>
        <w:t>mayor</w:t>
      </w:r>
      <w:r>
        <w:rPr>
          <w:color w:val="0D0D0D"/>
          <w:spacing w:val="-15"/>
          <w:vertAlign w:val="baseline"/>
        </w:rPr>
        <w:t> </w:t>
      </w:r>
      <w:r>
        <w:rPr>
          <w:color w:val="0D0D0D"/>
          <w:vertAlign w:val="baseline"/>
        </w:rPr>
        <w:t>estabilidad</w:t>
      </w:r>
      <w:r>
        <w:rPr>
          <w:color w:val="0D0D0D"/>
          <w:spacing w:val="-15"/>
          <w:vertAlign w:val="baseline"/>
        </w:rPr>
        <w:t> </w:t>
      </w:r>
      <w:r>
        <w:rPr>
          <w:color w:val="0D0D0D"/>
          <w:vertAlign w:val="baseline"/>
        </w:rPr>
        <w:t>analgésica,</w:t>
      </w:r>
      <w:r>
        <w:rPr>
          <w:color w:val="0D0D0D"/>
          <w:spacing w:val="-15"/>
          <w:vertAlign w:val="baseline"/>
        </w:rPr>
        <w:t> </w:t>
      </w:r>
      <w:r>
        <w:rPr>
          <w:color w:val="0D0D0D"/>
          <w:vertAlign w:val="baseline"/>
        </w:rPr>
        <w:t>menor requerimiento de gases y mejor relajación muscular. Si se administra adecuadamente, la dexmedetomidina ayuda a reduce el riesgo de dolor posoperatorio (Pan et al., 2021). La combinación de dexmedetomidina y anestesia general permite reducir las dosis requeridas de ambos fármacos, lo que a su vez</w:t>
      </w:r>
    </w:p>
    <w:p>
      <w:pPr>
        <w:pStyle w:val="BodyText"/>
        <w:spacing w:after="0" w:line="480" w:lineRule="auto"/>
        <w:jc w:val="both"/>
        <w:sectPr>
          <w:footerReference w:type="default" r:id="rId11"/>
          <w:pgSz w:w="11910" w:h="16840"/>
          <w:pgMar w:header="0" w:footer="1038" w:top="1860" w:bottom="1220" w:left="1700" w:right="1559"/>
          <w:pgNumType w:start="1"/>
        </w:sectPr>
      </w:pPr>
    </w:p>
    <w:p>
      <w:pPr>
        <w:pStyle w:val="BodyText"/>
        <w:spacing w:line="480" w:lineRule="auto" w:before="64"/>
        <w:ind w:left="568" w:right="143"/>
        <w:jc w:val="both"/>
      </w:pPr>
      <w:r>
        <w:rPr>
          <w:color w:val="0D0D0D"/>
        </w:rPr>
        <w:t>disminuye</w:t>
      </w:r>
      <w:r>
        <w:rPr>
          <w:color w:val="0D0D0D"/>
          <w:spacing w:val="-3"/>
        </w:rPr>
        <w:t> </w:t>
      </w:r>
      <w:r>
        <w:rPr>
          <w:color w:val="0D0D0D"/>
        </w:rPr>
        <w:t>la</w:t>
      </w:r>
      <w:r>
        <w:rPr>
          <w:color w:val="0D0D0D"/>
          <w:spacing w:val="-3"/>
        </w:rPr>
        <w:t> </w:t>
      </w:r>
      <w:r>
        <w:rPr>
          <w:color w:val="0D0D0D"/>
        </w:rPr>
        <w:t>incidencia</w:t>
      </w:r>
      <w:r>
        <w:rPr>
          <w:color w:val="0D0D0D"/>
          <w:spacing w:val="-3"/>
        </w:rPr>
        <w:t> </w:t>
      </w:r>
      <w:r>
        <w:rPr>
          <w:color w:val="0D0D0D"/>
        </w:rPr>
        <w:t>de</w:t>
      </w:r>
      <w:r>
        <w:rPr>
          <w:color w:val="0D0D0D"/>
          <w:spacing w:val="-3"/>
        </w:rPr>
        <w:t> </w:t>
      </w:r>
      <w:r>
        <w:rPr>
          <w:color w:val="0D0D0D"/>
        </w:rPr>
        <w:t>efectos</w:t>
      </w:r>
      <w:r>
        <w:rPr>
          <w:color w:val="0D0D0D"/>
          <w:spacing w:val="-6"/>
        </w:rPr>
        <w:t> </w:t>
      </w:r>
      <w:r>
        <w:rPr>
          <w:color w:val="0D0D0D"/>
        </w:rPr>
        <w:t>adversos</w:t>
      </w:r>
      <w:r>
        <w:rPr>
          <w:color w:val="0D0D0D"/>
          <w:spacing w:val="-6"/>
        </w:rPr>
        <w:t> </w:t>
      </w:r>
      <w:r>
        <w:rPr>
          <w:color w:val="0D0D0D"/>
        </w:rPr>
        <w:t>asociados,</w:t>
      </w:r>
      <w:r>
        <w:rPr>
          <w:color w:val="0D0D0D"/>
          <w:spacing w:val="-4"/>
        </w:rPr>
        <w:t> </w:t>
      </w:r>
      <w:r>
        <w:rPr>
          <w:color w:val="0D0D0D"/>
        </w:rPr>
        <w:t>como</w:t>
      </w:r>
      <w:r>
        <w:rPr>
          <w:color w:val="0D0D0D"/>
          <w:spacing w:val="-4"/>
        </w:rPr>
        <w:t> </w:t>
      </w:r>
      <w:r>
        <w:rPr>
          <w:color w:val="0D0D0D"/>
        </w:rPr>
        <w:t>la</w:t>
      </w:r>
      <w:r>
        <w:rPr>
          <w:color w:val="0D0D0D"/>
          <w:spacing w:val="-3"/>
        </w:rPr>
        <w:t> </w:t>
      </w:r>
      <w:r>
        <w:rPr>
          <w:color w:val="0D0D0D"/>
        </w:rPr>
        <w:t>hipotensión</w:t>
      </w:r>
      <w:r>
        <w:rPr>
          <w:color w:val="0D0D0D"/>
          <w:spacing w:val="-4"/>
        </w:rPr>
        <w:t> </w:t>
      </w:r>
      <w:r>
        <w:rPr>
          <w:color w:val="0D0D0D"/>
        </w:rPr>
        <w:t>severa por halogenados. No obstante, en Ecuador los estudios realizados en perros han evaluado escasamente el impacto hemodinámico comparativo según su ruta de entrega. En medicina internacional, en cambio, se han empleado diversas vías de administración (intravenosa e intramuscular) con buenos resultados (Ko et al., 2024). En el Hospital de Especialidades Veterinarias VITAL PET, ubicado en la ciudad de</w:t>
      </w:r>
      <w:r>
        <w:rPr>
          <w:color w:val="0D0D0D"/>
          <w:spacing w:val="-1"/>
        </w:rPr>
        <w:t> </w:t>
      </w:r>
      <w:r>
        <w:rPr>
          <w:color w:val="0D0D0D"/>
        </w:rPr>
        <w:t>Ambato, se presentó un entorno idóneo para la investigación donde se evaluó la eficacia y seguridad de distintas vías en perros, con el objetivo de minimizar</w:t>
      </w:r>
      <w:r>
        <w:rPr>
          <w:color w:val="0D0D0D"/>
          <w:spacing w:val="-3"/>
        </w:rPr>
        <w:t> </w:t>
      </w:r>
      <w:r>
        <w:rPr>
          <w:color w:val="0D0D0D"/>
        </w:rPr>
        <w:t>los</w:t>
      </w:r>
      <w:r>
        <w:rPr>
          <w:color w:val="0D0D0D"/>
          <w:spacing w:val="-1"/>
        </w:rPr>
        <w:t> </w:t>
      </w:r>
      <w:r>
        <w:rPr>
          <w:color w:val="0D0D0D"/>
        </w:rPr>
        <w:t>efectos</w:t>
      </w:r>
      <w:r>
        <w:rPr>
          <w:color w:val="0D0D0D"/>
          <w:spacing w:val="-5"/>
        </w:rPr>
        <w:t> </w:t>
      </w:r>
      <w:r>
        <w:rPr>
          <w:color w:val="0D0D0D"/>
        </w:rPr>
        <w:t>adversos</w:t>
      </w:r>
      <w:r>
        <w:rPr>
          <w:color w:val="0D0D0D"/>
          <w:spacing w:val="-1"/>
        </w:rPr>
        <w:t> </w:t>
      </w:r>
      <w:r>
        <w:rPr>
          <w:color w:val="0D0D0D"/>
        </w:rPr>
        <w:t>y reducir</w:t>
      </w:r>
      <w:r>
        <w:rPr>
          <w:color w:val="0D0D0D"/>
          <w:spacing w:val="-3"/>
        </w:rPr>
        <w:t> </w:t>
      </w:r>
      <w:r>
        <w:rPr>
          <w:color w:val="0D0D0D"/>
        </w:rPr>
        <w:t>las</w:t>
      </w:r>
      <w:r>
        <w:rPr>
          <w:color w:val="0D0D0D"/>
          <w:spacing w:val="-1"/>
        </w:rPr>
        <w:t> </w:t>
      </w:r>
      <w:r>
        <w:rPr>
          <w:color w:val="0D0D0D"/>
        </w:rPr>
        <w:t>variaciones</w:t>
      </w:r>
      <w:r>
        <w:rPr>
          <w:color w:val="0D0D0D"/>
          <w:spacing w:val="-1"/>
        </w:rPr>
        <w:t> </w:t>
      </w:r>
      <w:r>
        <w:rPr>
          <w:color w:val="0D0D0D"/>
        </w:rPr>
        <w:t>hemodinámicas</w:t>
      </w:r>
      <w:r>
        <w:rPr>
          <w:color w:val="0D0D0D"/>
          <w:spacing w:val="-1"/>
        </w:rPr>
        <w:t> </w:t>
      </w:r>
      <w:r>
        <w:rPr>
          <w:color w:val="0D0D0D"/>
        </w:rPr>
        <w:t>asociadas al acto quirúrgico.</w:t>
      </w:r>
    </w:p>
    <w:p>
      <w:pPr>
        <w:pStyle w:val="BodyText"/>
        <w:spacing w:after="0" w:line="480" w:lineRule="auto"/>
        <w:jc w:val="both"/>
        <w:sectPr>
          <w:pgSz w:w="11910" w:h="16840"/>
          <w:pgMar w:header="0" w:footer="1038" w:top="1620" w:bottom="1220" w:left="1700" w:right="1559"/>
        </w:sectPr>
      </w:pPr>
    </w:p>
    <w:p>
      <w:pPr>
        <w:pStyle w:val="Heading2"/>
        <w:numPr>
          <w:ilvl w:val="1"/>
          <w:numId w:val="6"/>
        </w:numPr>
        <w:tabs>
          <w:tab w:pos="944" w:val="left" w:leader="none"/>
        </w:tabs>
        <w:spacing w:line="240" w:lineRule="auto" w:before="66" w:after="0"/>
        <w:ind w:left="944" w:right="0" w:hanging="700"/>
        <w:jc w:val="left"/>
        <w:rPr>
          <w:sz w:val="26"/>
        </w:rPr>
      </w:pPr>
      <w:bookmarkStart w:name="_bookmark2" w:id="3"/>
      <w:bookmarkEnd w:id="3"/>
      <w:r>
        <w:rPr>
          <w:sz w:val="26"/>
        </w:rPr>
      </w:r>
      <w:r>
        <w:rPr>
          <w:spacing w:val="-2"/>
        </w:rPr>
        <w:t>PROBLEMA</w:t>
      </w:r>
    </w:p>
    <w:p>
      <w:pPr>
        <w:pStyle w:val="BodyText"/>
        <w:spacing w:before="95"/>
        <w:rPr>
          <w:b/>
        </w:rPr>
      </w:pPr>
    </w:p>
    <w:p>
      <w:pPr>
        <w:pStyle w:val="BodyText"/>
        <w:spacing w:line="480" w:lineRule="auto"/>
        <w:ind w:left="284" w:right="137"/>
        <w:jc w:val="both"/>
      </w:pPr>
      <w:r>
        <w:rPr/>
        <w:t>En el territorio ecuatoriano, el acceso a fármacos anestésicos especializados presenta serias</w:t>
      </w:r>
      <w:r>
        <w:rPr>
          <w:spacing w:val="-5"/>
        </w:rPr>
        <w:t> </w:t>
      </w:r>
      <w:r>
        <w:rPr/>
        <w:t>restricciones,</w:t>
      </w:r>
      <w:r>
        <w:rPr>
          <w:spacing w:val="-3"/>
        </w:rPr>
        <w:t> </w:t>
      </w:r>
      <w:r>
        <w:rPr/>
        <w:t>además,</w:t>
      </w:r>
      <w:r>
        <w:rPr>
          <w:spacing w:val="-3"/>
        </w:rPr>
        <w:t> </w:t>
      </w:r>
      <w:r>
        <w:rPr/>
        <w:t>la</w:t>
      </w:r>
      <w:r>
        <w:rPr>
          <w:spacing w:val="-2"/>
        </w:rPr>
        <w:t> </w:t>
      </w:r>
      <w:r>
        <w:rPr/>
        <w:t>infraestructura</w:t>
      </w:r>
      <w:r>
        <w:rPr>
          <w:spacing w:val="-2"/>
        </w:rPr>
        <w:t> </w:t>
      </w:r>
      <w:r>
        <w:rPr/>
        <w:t>de</w:t>
      </w:r>
      <w:r>
        <w:rPr>
          <w:spacing w:val="-2"/>
        </w:rPr>
        <w:t> </w:t>
      </w:r>
      <w:r>
        <w:rPr/>
        <w:t>monitorización</w:t>
      </w:r>
      <w:r>
        <w:rPr>
          <w:spacing w:val="-3"/>
        </w:rPr>
        <w:t> </w:t>
      </w:r>
      <w:r>
        <w:rPr/>
        <w:t>avanzada,</w:t>
      </w:r>
      <w:r>
        <w:rPr>
          <w:spacing w:val="-3"/>
        </w:rPr>
        <w:t> </w:t>
      </w:r>
      <w:r>
        <w:rPr/>
        <w:t>que</w:t>
      </w:r>
      <w:r>
        <w:rPr>
          <w:spacing w:val="-2"/>
        </w:rPr>
        <w:t> </w:t>
      </w:r>
      <w:r>
        <w:rPr/>
        <w:t>exige equipos especializados, puede ser de un valor no accesible a la ciudadanía, por ende, suele</w:t>
      </w:r>
      <w:r>
        <w:rPr>
          <w:spacing w:val="-6"/>
        </w:rPr>
        <w:t> </w:t>
      </w:r>
      <w:r>
        <w:rPr/>
        <w:t>estar</w:t>
      </w:r>
      <w:r>
        <w:rPr>
          <w:spacing w:val="-7"/>
        </w:rPr>
        <w:t> </w:t>
      </w:r>
      <w:r>
        <w:rPr/>
        <w:t>escasa</w:t>
      </w:r>
      <w:r>
        <w:rPr>
          <w:spacing w:val="-10"/>
        </w:rPr>
        <w:t> </w:t>
      </w:r>
      <w:r>
        <w:rPr/>
        <w:t>en</w:t>
      </w:r>
      <w:r>
        <w:rPr>
          <w:spacing w:val="-8"/>
        </w:rPr>
        <w:t> </w:t>
      </w:r>
      <w:r>
        <w:rPr/>
        <w:t>clínicas</w:t>
      </w:r>
      <w:r>
        <w:rPr>
          <w:spacing w:val="-9"/>
        </w:rPr>
        <w:t> </w:t>
      </w:r>
      <w:r>
        <w:rPr/>
        <w:t>y</w:t>
      </w:r>
      <w:r>
        <w:rPr>
          <w:spacing w:val="-8"/>
        </w:rPr>
        <w:t> </w:t>
      </w:r>
      <w:r>
        <w:rPr/>
        <w:t>hospitales</w:t>
      </w:r>
      <w:r>
        <w:rPr>
          <w:spacing w:val="-13"/>
        </w:rPr>
        <w:t> </w:t>
      </w:r>
      <w:r>
        <w:rPr/>
        <w:t>de</w:t>
      </w:r>
      <w:r>
        <w:rPr>
          <w:spacing w:val="-6"/>
        </w:rPr>
        <w:t> </w:t>
      </w:r>
      <w:r>
        <w:rPr/>
        <w:t>menor</w:t>
      </w:r>
      <w:r>
        <w:rPr>
          <w:spacing w:val="-11"/>
        </w:rPr>
        <w:t> </w:t>
      </w:r>
      <w:r>
        <w:rPr/>
        <w:t>tamaño.</w:t>
      </w:r>
      <w:r>
        <w:rPr>
          <w:spacing w:val="-4"/>
        </w:rPr>
        <w:t> </w:t>
      </w:r>
      <w:r>
        <w:rPr/>
        <w:t>Las</w:t>
      </w:r>
      <w:r>
        <w:rPr>
          <w:spacing w:val="-8"/>
        </w:rPr>
        <w:t> </w:t>
      </w:r>
      <w:r>
        <w:rPr/>
        <w:t>limitaciones</w:t>
      </w:r>
      <w:r>
        <w:rPr>
          <w:spacing w:val="-7"/>
        </w:rPr>
        <w:t> </w:t>
      </w:r>
      <w:r>
        <w:rPr/>
        <w:t>descritas evidencian la necesidad de implementar estrategias anestésicas basadas en combinaciones farmacológicas eficaces.</w:t>
      </w:r>
    </w:p>
    <w:p>
      <w:pPr>
        <w:pStyle w:val="BodyText"/>
        <w:spacing w:line="480" w:lineRule="auto" w:before="241"/>
        <w:ind w:left="284" w:right="137"/>
        <w:jc w:val="both"/>
      </w:pPr>
      <w:r>
        <w:rPr/>
        <w:t>La limitada capacitación en farmacología anestésica veterinaria es otro factor de preocupación, sobre</w:t>
      </w:r>
      <w:r>
        <w:rPr>
          <w:spacing w:val="-1"/>
        </w:rPr>
        <w:t> </w:t>
      </w:r>
      <w:r>
        <w:rPr/>
        <w:t>todo</w:t>
      </w:r>
      <w:r>
        <w:rPr>
          <w:spacing w:val="-2"/>
        </w:rPr>
        <w:t> </w:t>
      </w:r>
      <w:r>
        <w:rPr/>
        <w:t>en</w:t>
      </w:r>
      <w:r>
        <w:rPr>
          <w:spacing w:val="-2"/>
        </w:rPr>
        <w:t> </w:t>
      </w:r>
      <w:r>
        <w:rPr/>
        <w:t>zonas rurales</w:t>
      </w:r>
      <w:r>
        <w:rPr>
          <w:spacing w:val="-3"/>
        </w:rPr>
        <w:t> </w:t>
      </w:r>
      <w:r>
        <w:rPr/>
        <w:t>o en</w:t>
      </w:r>
      <w:r>
        <w:rPr>
          <w:spacing w:val="-3"/>
        </w:rPr>
        <w:t> </w:t>
      </w:r>
      <w:r>
        <w:rPr/>
        <w:t>clínicas de</w:t>
      </w:r>
      <w:r>
        <w:rPr>
          <w:spacing w:val="-1"/>
        </w:rPr>
        <w:t> </w:t>
      </w:r>
      <w:r>
        <w:rPr/>
        <w:t>bajo</w:t>
      </w:r>
      <w:r>
        <w:rPr>
          <w:spacing w:val="-3"/>
        </w:rPr>
        <w:t> </w:t>
      </w:r>
      <w:r>
        <w:rPr/>
        <w:t>presupuesto, donde</w:t>
      </w:r>
      <w:r>
        <w:rPr>
          <w:spacing w:val="-1"/>
        </w:rPr>
        <w:t> </w:t>
      </w:r>
      <w:r>
        <w:rPr/>
        <w:t>la mayoría de los profesionales deben recurrir a la experiencia empírica e incluso a protocolos</w:t>
      </w:r>
      <w:r>
        <w:rPr>
          <w:spacing w:val="-8"/>
        </w:rPr>
        <w:t> </w:t>
      </w:r>
      <w:r>
        <w:rPr/>
        <w:t>diseñados</w:t>
      </w:r>
      <w:r>
        <w:rPr>
          <w:spacing w:val="-8"/>
        </w:rPr>
        <w:t> </w:t>
      </w:r>
      <w:r>
        <w:rPr/>
        <w:t>para</w:t>
      </w:r>
      <w:r>
        <w:rPr>
          <w:spacing w:val="-2"/>
        </w:rPr>
        <w:t> </w:t>
      </w:r>
      <w:r>
        <w:rPr/>
        <w:t>entornos</w:t>
      </w:r>
      <w:r>
        <w:rPr>
          <w:spacing w:val="-7"/>
        </w:rPr>
        <w:t> </w:t>
      </w:r>
      <w:r>
        <w:rPr/>
        <w:t>distintos,</w:t>
      </w:r>
      <w:r>
        <w:rPr>
          <w:spacing w:val="-5"/>
        </w:rPr>
        <w:t> </w:t>
      </w:r>
      <w:r>
        <w:rPr/>
        <w:t>situación</w:t>
      </w:r>
      <w:r>
        <w:rPr>
          <w:spacing w:val="-5"/>
        </w:rPr>
        <w:t> </w:t>
      </w:r>
      <w:r>
        <w:rPr/>
        <w:t>que</w:t>
      </w:r>
      <w:r>
        <w:rPr>
          <w:spacing w:val="-5"/>
        </w:rPr>
        <w:t> </w:t>
      </w:r>
      <w:r>
        <w:rPr/>
        <w:t>compromete</w:t>
      </w:r>
      <w:r>
        <w:rPr>
          <w:spacing w:val="-5"/>
        </w:rPr>
        <w:t> </w:t>
      </w:r>
      <w:r>
        <w:rPr/>
        <w:t>la</w:t>
      </w:r>
      <w:r>
        <w:rPr>
          <w:spacing w:val="-5"/>
        </w:rPr>
        <w:t> </w:t>
      </w:r>
      <w:r>
        <w:rPr/>
        <w:t>calidad</w:t>
      </w:r>
      <w:r>
        <w:rPr>
          <w:spacing w:val="-7"/>
        </w:rPr>
        <w:t> </w:t>
      </w:r>
      <w:r>
        <w:rPr/>
        <w:t>del procedimiento</w:t>
      </w:r>
      <w:r>
        <w:rPr>
          <w:spacing w:val="-11"/>
        </w:rPr>
        <w:t> </w:t>
      </w:r>
      <w:r>
        <w:rPr/>
        <w:t>anestésico.</w:t>
      </w:r>
      <w:r>
        <w:rPr>
          <w:spacing w:val="-4"/>
        </w:rPr>
        <w:t> </w:t>
      </w:r>
      <w:r>
        <w:rPr/>
        <w:t>La</w:t>
      </w:r>
      <w:r>
        <w:rPr>
          <w:spacing w:val="-6"/>
        </w:rPr>
        <w:t> </w:t>
      </w:r>
      <w:r>
        <w:rPr/>
        <w:t>brecha</w:t>
      </w:r>
      <w:r>
        <w:rPr>
          <w:spacing w:val="-5"/>
        </w:rPr>
        <w:t> </w:t>
      </w:r>
      <w:r>
        <w:rPr/>
        <w:t>existente</w:t>
      </w:r>
      <w:r>
        <w:rPr>
          <w:spacing w:val="-5"/>
        </w:rPr>
        <w:t> </w:t>
      </w:r>
      <w:r>
        <w:rPr/>
        <w:t>en</w:t>
      </w:r>
      <w:r>
        <w:rPr>
          <w:spacing w:val="-11"/>
        </w:rPr>
        <w:t> </w:t>
      </w:r>
      <w:r>
        <w:rPr/>
        <w:t>la</w:t>
      </w:r>
      <w:r>
        <w:rPr>
          <w:spacing w:val="-6"/>
        </w:rPr>
        <w:t> </w:t>
      </w:r>
      <w:r>
        <w:rPr/>
        <w:t>información</w:t>
      </w:r>
      <w:r>
        <w:rPr>
          <w:spacing w:val="-8"/>
        </w:rPr>
        <w:t> </w:t>
      </w:r>
      <w:r>
        <w:rPr/>
        <w:t>técnica</w:t>
      </w:r>
      <w:r>
        <w:rPr>
          <w:spacing w:val="-6"/>
        </w:rPr>
        <w:t> </w:t>
      </w:r>
      <w:r>
        <w:rPr/>
        <w:t>impide</w:t>
      </w:r>
      <w:r>
        <w:rPr>
          <w:spacing w:val="-10"/>
        </w:rPr>
        <w:t> </w:t>
      </w:r>
      <w:r>
        <w:rPr/>
        <w:t>el</w:t>
      </w:r>
      <w:r>
        <w:rPr>
          <w:spacing w:val="-7"/>
        </w:rPr>
        <w:t> </w:t>
      </w:r>
      <w:r>
        <w:rPr/>
        <w:t>uso óptimo de la dexmedetomidina, debido a que su correcta dosificación requiere de conocimientos específicos sobre sus efectos con la interacción de otros fármacos.</w:t>
      </w:r>
    </w:p>
    <w:p>
      <w:pPr>
        <w:pStyle w:val="BodyText"/>
        <w:spacing w:line="480" w:lineRule="auto" w:before="242"/>
        <w:ind w:left="284" w:right="140"/>
        <w:jc w:val="both"/>
      </w:pPr>
      <w:r>
        <w:rPr/>
        <w:t>Es así por lo que la evaluación de diferentes vías de administración (intramuscular e intravenosa) de la dexmedetomidina en caninos podría facilitar opciones viables en entornos con recursos limitados. Un correcto análisis permitiría la optimización de la estabilidad hemodinámica, la duración junto con la calidad anestésica, así como la recuperación de los pacientes. Pese a eso, hay escasos estudios que corroboren la eficacia de vías que logren una estabilidad hemodinámica adecuada y una menor incidencia</w:t>
      </w:r>
      <w:r>
        <w:rPr>
          <w:spacing w:val="-15"/>
        </w:rPr>
        <w:t> </w:t>
      </w:r>
      <w:r>
        <w:rPr/>
        <w:t>de</w:t>
      </w:r>
      <w:r>
        <w:rPr>
          <w:spacing w:val="-15"/>
        </w:rPr>
        <w:t> </w:t>
      </w:r>
      <w:r>
        <w:rPr/>
        <w:t>efectos</w:t>
      </w:r>
      <w:r>
        <w:rPr>
          <w:spacing w:val="-15"/>
        </w:rPr>
        <w:t> </w:t>
      </w:r>
      <w:r>
        <w:rPr/>
        <w:t>adversos,</w:t>
      </w:r>
      <w:r>
        <w:rPr>
          <w:spacing w:val="-15"/>
        </w:rPr>
        <w:t> </w:t>
      </w:r>
      <w:r>
        <w:rPr/>
        <w:t>generando</w:t>
      </w:r>
      <w:r>
        <w:rPr>
          <w:spacing w:val="-15"/>
        </w:rPr>
        <w:t> </w:t>
      </w:r>
      <w:r>
        <w:rPr/>
        <w:t>incertidumbre</w:t>
      </w:r>
      <w:r>
        <w:rPr>
          <w:spacing w:val="-15"/>
        </w:rPr>
        <w:t> </w:t>
      </w:r>
      <w:r>
        <w:rPr/>
        <w:t>clínica</w:t>
      </w:r>
      <w:r>
        <w:rPr>
          <w:spacing w:val="-15"/>
        </w:rPr>
        <w:t> </w:t>
      </w:r>
      <w:r>
        <w:rPr/>
        <w:t>en</w:t>
      </w:r>
      <w:r>
        <w:rPr>
          <w:spacing w:val="-15"/>
        </w:rPr>
        <w:t> </w:t>
      </w:r>
      <w:r>
        <w:rPr/>
        <w:t>la</w:t>
      </w:r>
      <w:r>
        <w:rPr>
          <w:spacing w:val="-15"/>
        </w:rPr>
        <w:t> </w:t>
      </w:r>
      <w:r>
        <w:rPr/>
        <w:t>elección</w:t>
      </w:r>
      <w:r>
        <w:rPr>
          <w:spacing w:val="-15"/>
        </w:rPr>
        <w:t> </w:t>
      </w:r>
      <w:r>
        <w:rPr/>
        <w:t>de</w:t>
      </w:r>
      <w:r>
        <w:rPr>
          <w:spacing w:val="-15"/>
        </w:rPr>
        <w:t> </w:t>
      </w:r>
      <w:r>
        <w:rPr/>
        <w:t>dosis para procedimientos quirúrgicos (Wamaitha et al., 2019).</w:t>
      </w:r>
    </w:p>
    <w:p>
      <w:pPr>
        <w:pStyle w:val="BodyText"/>
        <w:spacing w:after="0" w:line="480" w:lineRule="auto"/>
        <w:jc w:val="both"/>
        <w:sectPr>
          <w:pgSz w:w="11910" w:h="16840"/>
          <w:pgMar w:header="0" w:footer="1038" w:top="1620" w:bottom="1220" w:left="1700" w:right="1559"/>
        </w:sectPr>
      </w:pPr>
    </w:p>
    <w:p>
      <w:pPr>
        <w:pStyle w:val="Heading2"/>
        <w:numPr>
          <w:ilvl w:val="1"/>
          <w:numId w:val="7"/>
        </w:numPr>
        <w:tabs>
          <w:tab w:pos="1288" w:val="left" w:leader="none"/>
        </w:tabs>
        <w:spacing w:line="240" w:lineRule="auto" w:before="66" w:after="0"/>
        <w:ind w:left="1288" w:right="0" w:hanging="684"/>
        <w:jc w:val="left"/>
      </w:pPr>
      <w:bookmarkStart w:name="_bookmark3" w:id="4"/>
      <w:bookmarkEnd w:id="4"/>
      <w:r>
        <w:rPr>
          <w:b w:val="0"/>
        </w:rPr>
      </w:r>
      <w:r>
        <w:rPr>
          <w:spacing w:val="-2"/>
        </w:rPr>
        <w:t>OBJETIVOS</w:t>
      </w:r>
    </w:p>
    <w:p>
      <w:pPr>
        <w:pStyle w:val="BodyText"/>
        <w:spacing w:before="95"/>
        <w:rPr>
          <w:b/>
        </w:rPr>
      </w:pPr>
    </w:p>
    <w:p>
      <w:pPr>
        <w:pStyle w:val="Heading3"/>
        <w:ind w:left="568" w:firstLine="0"/>
      </w:pPr>
      <w:bookmarkStart w:name="_bookmark4" w:id="5"/>
      <w:bookmarkEnd w:id="5"/>
      <w:r>
        <w:rPr>
          <w:b w:val="0"/>
        </w:rPr>
      </w:r>
      <w:r>
        <w:rPr/>
        <w:t>Objetivo</w:t>
      </w:r>
      <w:r>
        <w:rPr>
          <w:spacing w:val="1"/>
        </w:rPr>
        <w:t> </w:t>
      </w:r>
      <w:r>
        <w:rPr>
          <w:spacing w:val="-2"/>
        </w:rPr>
        <w:t>General</w:t>
      </w:r>
    </w:p>
    <w:p>
      <w:pPr>
        <w:pStyle w:val="BodyText"/>
        <w:spacing w:before="241"/>
        <w:rPr>
          <w:b/>
        </w:rPr>
      </w:pPr>
    </w:p>
    <w:p>
      <w:pPr>
        <w:pStyle w:val="BodyText"/>
        <w:spacing w:line="480" w:lineRule="auto"/>
        <w:ind w:left="568" w:right="142"/>
        <w:jc w:val="both"/>
      </w:pPr>
      <w:r>
        <w:rPr>
          <w:color w:val="0D0D0D"/>
        </w:rPr>
        <w:t>Evaluar</w:t>
      </w:r>
      <w:r>
        <w:rPr>
          <w:color w:val="0D0D0D"/>
          <w:spacing w:val="-11"/>
        </w:rPr>
        <w:t> </w:t>
      </w:r>
      <w:r>
        <w:rPr>
          <w:color w:val="0D0D0D"/>
        </w:rPr>
        <w:t>los</w:t>
      </w:r>
      <w:r>
        <w:rPr>
          <w:color w:val="0D0D0D"/>
          <w:spacing w:val="-9"/>
        </w:rPr>
        <w:t> </w:t>
      </w:r>
      <w:r>
        <w:rPr>
          <w:color w:val="0D0D0D"/>
        </w:rPr>
        <w:t>efectos</w:t>
      </w:r>
      <w:r>
        <w:rPr>
          <w:color w:val="0D0D0D"/>
          <w:spacing w:val="-9"/>
        </w:rPr>
        <w:t> </w:t>
      </w:r>
      <w:r>
        <w:rPr>
          <w:color w:val="0D0D0D"/>
        </w:rPr>
        <w:t>hemodinámicos</w:t>
      </w:r>
      <w:r>
        <w:rPr>
          <w:color w:val="0D0D0D"/>
          <w:spacing w:val="-9"/>
        </w:rPr>
        <w:t> </w:t>
      </w:r>
      <w:r>
        <w:rPr>
          <w:color w:val="0D0D0D"/>
        </w:rPr>
        <w:t>de</w:t>
      </w:r>
      <w:r>
        <w:rPr>
          <w:color w:val="0D0D0D"/>
          <w:spacing w:val="-6"/>
        </w:rPr>
        <w:t> </w:t>
      </w:r>
      <w:r>
        <w:rPr>
          <w:color w:val="0D0D0D"/>
        </w:rPr>
        <w:t>la</w:t>
      </w:r>
      <w:r>
        <w:rPr>
          <w:color w:val="0D0D0D"/>
          <w:spacing w:val="-6"/>
        </w:rPr>
        <w:t> </w:t>
      </w:r>
      <w:r>
        <w:rPr>
          <w:color w:val="0D0D0D"/>
        </w:rPr>
        <w:t>dexmedetomidina</w:t>
      </w:r>
      <w:r>
        <w:rPr>
          <w:color w:val="0D0D0D"/>
          <w:spacing w:val="-10"/>
        </w:rPr>
        <w:t> </w:t>
      </w:r>
      <w:r>
        <w:rPr>
          <w:color w:val="0D0D0D"/>
        </w:rPr>
        <w:t>en</w:t>
      </w:r>
      <w:r>
        <w:rPr>
          <w:color w:val="0D0D0D"/>
          <w:spacing w:val="-8"/>
        </w:rPr>
        <w:t> </w:t>
      </w:r>
      <w:r>
        <w:rPr>
          <w:color w:val="0D0D0D"/>
        </w:rPr>
        <w:t>caninos</w:t>
      </w:r>
      <w:r>
        <w:rPr>
          <w:color w:val="0D0D0D"/>
          <w:spacing w:val="-9"/>
        </w:rPr>
        <w:t> </w:t>
      </w:r>
      <w:r>
        <w:rPr>
          <w:color w:val="0D0D0D"/>
        </w:rPr>
        <w:t>sometidos</w:t>
      </w:r>
      <w:r>
        <w:rPr>
          <w:color w:val="0D0D0D"/>
          <w:spacing w:val="-9"/>
        </w:rPr>
        <w:t> </w:t>
      </w:r>
      <w:r>
        <w:rPr>
          <w:color w:val="0D0D0D"/>
        </w:rPr>
        <w:t>a anestesia general, comparando las vías de administración intravenosa e </w:t>
      </w:r>
      <w:r>
        <w:rPr>
          <w:color w:val="0D0D0D"/>
          <w:spacing w:val="-2"/>
        </w:rPr>
        <w:t>intramuscular</w:t>
      </w:r>
    </w:p>
    <w:p>
      <w:pPr>
        <w:pStyle w:val="Heading3"/>
        <w:spacing w:before="240"/>
        <w:ind w:left="568" w:firstLine="0"/>
      </w:pPr>
      <w:bookmarkStart w:name="_bookmark5" w:id="6"/>
      <w:bookmarkEnd w:id="6"/>
      <w:r>
        <w:rPr>
          <w:b w:val="0"/>
        </w:rPr>
      </w:r>
      <w:r>
        <w:rPr/>
        <w:t>Objetivos</w:t>
      </w:r>
      <w:r>
        <w:rPr>
          <w:spacing w:val="-3"/>
        </w:rPr>
        <w:t> </w:t>
      </w:r>
      <w:r>
        <w:rPr>
          <w:spacing w:val="-2"/>
        </w:rPr>
        <w:t>Específicos</w:t>
      </w:r>
    </w:p>
    <w:p>
      <w:pPr>
        <w:pStyle w:val="BodyText"/>
        <w:spacing w:before="239"/>
        <w:rPr>
          <w:b/>
        </w:rPr>
      </w:pPr>
    </w:p>
    <w:p>
      <w:pPr>
        <w:pStyle w:val="ListParagraph"/>
        <w:numPr>
          <w:ilvl w:val="2"/>
          <w:numId w:val="7"/>
        </w:numPr>
        <w:tabs>
          <w:tab w:pos="1288" w:val="left" w:leader="none"/>
        </w:tabs>
        <w:spacing w:line="468" w:lineRule="auto" w:before="0" w:after="0"/>
        <w:ind w:left="1288" w:right="146" w:hanging="360"/>
        <w:jc w:val="left"/>
        <w:rPr>
          <w:sz w:val="24"/>
        </w:rPr>
      </w:pPr>
      <w:r>
        <w:rPr>
          <w:color w:val="0D0D0D"/>
          <w:sz w:val="24"/>
        </w:rPr>
        <w:t>Identificar</w:t>
      </w:r>
      <w:r>
        <w:rPr>
          <w:color w:val="0D0D0D"/>
          <w:spacing w:val="40"/>
          <w:sz w:val="24"/>
        </w:rPr>
        <w:t> </w:t>
      </w:r>
      <w:r>
        <w:rPr>
          <w:color w:val="0D0D0D"/>
          <w:sz w:val="24"/>
        </w:rPr>
        <w:t>los</w:t>
      </w:r>
      <w:r>
        <w:rPr>
          <w:color w:val="0D0D0D"/>
          <w:spacing w:val="40"/>
          <w:sz w:val="24"/>
        </w:rPr>
        <w:t> </w:t>
      </w:r>
      <w:r>
        <w:rPr>
          <w:color w:val="0D0D0D"/>
          <w:sz w:val="24"/>
        </w:rPr>
        <w:t>cambios</w:t>
      </w:r>
      <w:r>
        <w:rPr>
          <w:color w:val="0D0D0D"/>
          <w:spacing w:val="40"/>
          <w:sz w:val="24"/>
        </w:rPr>
        <w:t> </w:t>
      </w:r>
      <w:r>
        <w:rPr>
          <w:color w:val="0D0D0D"/>
          <w:sz w:val="24"/>
        </w:rPr>
        <w:t>en</w:t>
      </w:r>
      <w:r>
        <w:rPr>
          <w:color w:val="0D0D0D"/>
          <w:spacing w:val="40"/>
          <w:sz w:val="24"/>
        </w:rPr>
        <w:t> </w:t>
      </w:r>
      <w:r>
        <w:rPr>
          <w:color w:val="0D0D0D"/>
          <w:sz w:val="24"/>
        </w:rPr>
        <w:t>marcadores</w:t>
      </w:r>
      <w:r>
        <w:rPr>
          <w:color w:val="0D0D0D"/>
          <w:spacing w:val="40"/>
          <w:sz w:val="24"/>
        </w:rPr>
        <w:t> </w:t>
      </w:r>
      <w:r>
        <w:rPr>
          <w:color w:val="0D0D0D"/>
          <w:sz w:val="24"/>
        </w:rPr>
        <w:t>de</w:t>
      </w:r>
      <w:r>
        <w:rPr>
          <w:color w:val="0D0D0D"/>
          <w:spacing w:val="40"/>
          <w:sz w:val="24"/>
        </w:rPr>
        <w:t> </w:t>
      </w:r>
      <w:r>
        <w:rPr>
          <w:color w:val="0D0D0D"/>
          <w:sz w:val="24"/>
        </w:rPr>
        <w:t>estabilidad</w:t>
      </w:r>
      <w:r>
        <w:rPr>
          <w:color w:val="0D0D0D"/>
          <w:spacing w:val="40"/>
          <w:sz w:val="24"/>
        </w:rPr>
        <w:t> </w:t>
      </w:r>
      <w:r>
        <w:rPr>
          <w:color w:val="0D0D0D"/>
          <w:sz w:val="24"/>
        </w:rPr>
        <w:t>hemodinámica</w:t>
      </w:r>
      <w:r>
        <w:rPr>
          <w:color w:val="0D0D0D"/>
          <w:spacing w:val="40"/>
          <w:sz w:val="24"/>
        </w:rPr>
        <w:t> </w:t>
      </w:r>
      <w:r>
        <w:rPr>
          <w:color w:val="0D0D0D"/>
          <w:sz w:val="24"/>
        </w:rPr>
        <w:t>en pacientes sometidos anestesia multimodal con el uso de dexmedetomidina</w:t>
      </w:r>
    </w:p>
    <w:p>
      <w:pPr>
        <w:pStyle w:val="ListParagraph"/>
        <w:numPr>
          <w:ilvl w:val="2"/>
          <w:numId w:val="7"/>
        </w:numPr>
        <w:tabs>
          <w:tab w:pos="1288" w:val="left" w:leader="none"/>
        </w:tabs>
        <w:spacing w:line="465" w:lineRule="auto" w:before="13" w:after="0"/>
        <w:ind w:left="1288" w:right="150" w:hanging="360"/>
        <w:jc w:val="left"/>
        <w:rPr>
          <w:sz w:val="24"/>
        </w:rPr>
      </w:pPr>
      <w:r>
        <w:rPr>
          <w:color w:val="0D0D0D"/>
          <w:sz w:val="24"/>
        </w:rPr>
        <w:t>Determinar los efectos adversos asociados al uso de la dexmedetomidina mediante la administración intramuscular e intravenosa</w:t>
      </w:r>
    </w:p>
    <w:p>
      <w:pPr>
        <w:pStyle w:val="ListParagraph"/>
        <w:numPr>
          <w:ilvl w:val="2"/>
          <w:numId w:val="7"/>
        </w:numPr>
        <w:tabs>
          <w:tab w:pos="1288" w:val="left" w:leader="none"/>
        </w:tabs>
        <w:spacing w:line="240" w:lineRule="auto" w:before="14" w:after="0"/>
        <w:ind w:left="1288" w:right="0" w:hanging="360"/>
        <w:jc w:val="left"/>
        <w:rPr>
          <w:sz w:val="24"/>
        </w:rPr>
      </w:pPr>
      <w:r>
        <w:rPr>
          <w:color w:val="0D0D0D"/>
          <w:sz w:val="24"/>
        </w:rPr>
        <w:t>Comparar</w:t>
      </w:r>
      <w:r>
        <w:rPr>
          <w:color w:val="0D0D0D"/>
          <w:spacing w:val="-1"/>
          <w:sz w:val="24"/>
        </w:rPr>
        <w:t> </w:t>
      </w:r>
      <w:r>
        <w:rPr>
          <w:color w:val="0D0D0D"/>
          <w:sz w:val="24"/>
        </w:rPr>
        <w:t>los</w:t>
      </w:r>
      <w:r>
        <w:rPr>
          <w:color w:val="0D0D0D"/>
          <w:spacing w:val="-3"/>
          <w:sz w:val="24"/>
        </w:rPr>
        <w:t> </w:t>
      </w:r>
      <w:r>
        <w:rPr>
          <w:color w:val="0D0D0D"/>
          <w:sz w:val="24"/>
        </w:rPr>
        <w:t>parámetros</w:t>
      </w:r>
      <w:r>
        <w:rPr>
          <w:color w:val="0D0D0D"/>
          <w:spacing w:val="-2"/>
          <w:sz w:val="24"/>
        </w:rPr>
        <w:t> hemodinámicos</w:t>
      </w:r>
    </w:p>
    <w:p>
      <w:pPr>
        <w:pStyle w:val="ListParagraph"/>
        <w:spacing w:after="0" w:line="240" w:lineRule="auto"/>
        <w:jc w:val="left"/>
        <w:rPr>
          <w:sz w:val="24"/>
        </w:rPr>
        <w:sectPr>
          <w:pgSz w:w="11910" w:h="16840"/>
          <w:pgMar w:header="0" w:footer="1038" w:top="1620" w:bottom="1220" w:left="1700" w:right="1559"/>
        </w:sectPr>
      </w:pPr>
    </w:p>
    <w:p>
      <w:pPr>
        <w:pStyle w:val="Heading2"/>
        <w:numPr>
          <w:ilvl w:val="1"/>
          <w:numId w:val="7"/>
        </w:numPr>
        <w:tabs>
          <w:tab w:pos="1288" w:val="left" w:leader="none"/>
        </w:tabs>
        <w:spacing w:line="240" w:lineRule="auto" w:before="66" w:after="0"/>
        <w:ind w:left="1288" w:right="0" w:hanging="684"/>
        <w:jc w:val="left"/>
      </w:pPr>
      <w:bookmarkStart w:name="_bookmark6" w:id="7"/>
      <w:bookmarkEnd w:id="7"/>
      <w:r>
        <w:rPr>
          <w:b w:val="0"/>
        </w:rPr>
      </w:r>
      <w:r>
        <w:rPr>
          <w:spacing w:val="-2"/>
        </w:rPr>
        <w:t>HIPÓTESIS</w:t>
      </w:r>
    </w:p>
    <w:p>
      <w:pPr>
        <w:pStyle w:val="BodyText"/>
        <w:spacing w:before="95"/>
        <w:rPr>
          <w:b/>
        </w:rPr>
      </w:pPr>
    </w:p>
    <w:p>
      <w:pPr>
        <w:pStyle w:val="BodyText"/>
        <w:spacing w:line="480" w:lineRule="auto"/>
        <w:ind w:left="568" w:right="138"/>
        <w:jc w:val="both"/>
      </w:pPr>
      <w:r>
        <w:rPr>
          <w:b/>
          <w:color w:val="0D0D0D"/>
        </w:rPr>
        <w:t>Ho: </w:t>
      </w:r>
      <w:r>
        <w:rPr>
          <w:color w:val="0D0D0D"/>
        </w:rPr>
        <w:t>No existen diferencias estadísticamente significativas en los parámetros hemodinámicos de los pacientes caninos sometidos a anestesia general, premedicados</w:t>
      </w:r>
      <w:r>
        <w:rPr>
          <w:color w:val="0D0D0D"/>
          <w:spacing w:val="-5"/>
        </w:rPr>
        <w:t> </w:t>
      </w:r>
      <w:r>
        <w:rPr>
          <w:color w:val="0D0D0D"/>
        </w:rPr>
        <w:t>con dexmedetomidina</w:t>
      </w:r>
      <w:r>
        <w:rPr>
          <w:color w:val="0D0D0D"/>
          <w:spacing w:val="-1"/>
        </w:rPr>
        <w:t> </w:t>
      </w:r>
      <w:r>
        <w:rPr>
          <w:color w:val="0D0D0D"/>
        </w:rPr>
        <w:t>por vía</w:t>
      </w:r>
      <w:r>
        <w:rPr>
          <w:color w:val="0D0D0D"/>
          <w:spacing w:val="-2"/>
        </w:rPr>
        <w:t> </w:t>
      </w:r>
      <w:r>
        <w:rPr>
          <w:color w:val="0D0D0D"/>
        </w:rPr>
        <w:t>tanto</w:t>
      </w:r>
      <w:r>
        <w:rPr>
          <w:color w:val="0D0D0D"/>
          <w:spacing w:val="-1"/>
        </w:rPr>
        <w:t> </w:t>
      </w:r>
      <w:r>
        <w:rPr>
          <w:color w:val="0D0D0D"/>
        </w:rPr>
        <w:t>intramuscular</w:t>
      </w:r>
      <w:r>
        <w:rPr>
          <w:color w:val="0D0D0D"/>
          <w:spacing w:val="-1"/>
        </w:rPr>
        <w:t> </w:t>
      </w:r>
      <w:r>
        <w:rPr>
          <w:color w:val="0D0D0D"/>
        </w:rPr>
        <w:t>como</w:t>
      </w:r>
      <w:r>
        <w:rPr>
          <w:color w:val="0D0D0D"/>
          <w:spacing w:val="-1"/>
        </w:rPr>
        <w:t> </w:t>
      </w:r>
      <w:r>
        <w:rPr>
          <w:color w:val="0D0D0D"/>
          <w:spacing w:val="-2"/>
        </w:rPr>
        <w:t>intravenosa</w:t>
      </w:r>
    </w:p>
    <w:p>
      <w:pPr>
        <w:pStyle w:val="BodyText"/>
        <w:spacing w:line="480" w:lineRule="auto" w:before="241"/>
        <w:ind w:left="568" w:right="142"/>
        <w:jc w:val="both"/>
      </w:pPr>
      <w:r>
        <w:rPr>
          <w:b/>
          <w:color w:val="0D0D0D"/>
        </w:rPr>
        <w:t>Ha: </w:t>
      </w:r>
      <w:r>
        <w:rPr>
          <w:color w:val="0D0D0D"/>
        </w:rPr>
        <w:t>Existen diferencias estadísticamente significativas en los parámetros hemodinámicos de los pacientes caninos sometidos a anestesia general, premedicados</w:t>
      </w:r>
      <w:r>
        <w:rPr>
          <w:color w:val="0D0D0D"/>
          <w:spacing w:val="-5"/>
        </w:rPr>
        <w:t> </w:t>
      </w:r>
      <w:r>
        <w:rPr>
          <w:color w:val="0D0D0D"/>
        </w:rPr>
        <w:t>con</w:t>
      </w:r>
      <w:r>
        <w:rPr>
          <w:color w:val="0D0D0D"/>
          <w:spacing w:val="-2"/>
        </w:rPr>
        <w:t> </w:t>
      </w:r>
      <w:r>
        <w:rPr>
          <w:color w:val="0D0D0D"/>
        </w:rPr>
        <w:t>dexmedetomidina</w:t>
      </w:r>
      <w:r>
        <w:rPr>
          <w:color w:val="0D0D0D"/>
          <w:spacing w:val="-1"/>
        </w:rPr>
        <w:t> </w:t>
      </w:r>
      <w:r>
        <w:rPr>
          <w:color w:val="0D0D0D"/>
        </w:rPr>
        <w:t>por</w:t>
      </w:r>
      <w:r>
        <w:rPr>
          <w:color w:val="0D0D0D"/>
          <w:spacing w:val="3"/>
        </w:rPr>
        <w:t> </w:t>
      </w:r>
      <w:r>
        <w:rPr>
          <w:color w:val="0D0D0D"/>
        </w:rPr>
        <w:t>vía</w:t>
      </w:r>
      <w:r>
        <w:rPr>
          <w:color w:val="0D0D0D"/>
          <w:spacing w:val="-2"/>
        </w:rPr>
        <w:t> </w:t>
      </w:r>
      <w:r>
        <w:rPr>
          <w:color w:val="0D0D0D"/>
        </w:rPr>
        <w:t>tanto intramuscular</w:t>
      </w:r>
      <w:r>
        <w:rPr>
          <w:color w:val="0D0D0D"/>
          <w:spacing w:val="-1"/>
        </w:rPr>
        <w:t> </w:t>
      </w:r>
      <w:r>
        <w:rPr>
          <w:color w:val="0D0D0D"/>
        </w:rPr>
        <w:t>como</w:t>
      </w:r>
      <w:r>
        <w:rPr>
          <w:color w:val="0D0D0D"/>
          <w:spacing w:val="-1"/>
        </w:rPr>
        <w:t> </w:t>
      </w:r>
      <w:r>
        <w:rPr>
          <w:color w:val="0D0D0D"/>
          <w:spacing w:val="-2"/>
        </w:rPr>
        <w:t>intravenosa</w:t>
      </w:r>
    </w:p>
    <w:p>
      <w:pPr>
        <w:pStyle w:val="BodyText"/>
        <w:spacing w:after="0" w:line="480" w:lineRule="auto"/>
        <w:jc w:val="both"/>
        <w:sectPr>
          <w:pgSz w:w="11910" w:h="16840"/>
          <w:pgMar w:header="0" w:footer="1038" w:top="1620" w:bottom="1220" w:left="1700" w:right="1559"/>
        </w:sectPr>
      </w:pPr>
    </w:p>
    <w:p>
      <w:pPr>
        <w:pStyle w:val="Heading1"/>
        <w:jc w:val="both"/>
      </w:pPr>
      <w:bookmarkStart w:name="_bookmark7" w:id="8"/>
      <w:bookmarkEnd w:id="8"/>
      <w:r>
        <w:rPr>
          <w:b w:val="0"/>
        </w:rPr>
      </w:r>
      <w:r>
        <w:rPr/>
        <w:t>CAPÍTULO</w:t>
      </w:r>
      <w:r>
        <w:rPr>
          <w:spacing w:val="-2"/>
        </w:rPr>
        <w:t> </w:t>
      </w:r>
      <w:r>
        <w:rPr>
          <w:spacing w:val="-5"/>
        </w:rPr>
        <w:t>II</w:t>
      </w:r>
    </w:p>
    <w:p>
      <w:pPr>
        <w:pStyle w:val="Heading2"/>
        <w:numPr>
          <w:ilvl w:val="0"/>
          <w:numId w:val="8"/>
        </w:numPr>
        <w:tabs>
          <w:tab w:pos="1120" w:val="left" w:leader="none"/>
        </w:tabs>
        <w:spacing w:line="240" w:lineRule="auto" w:before="319" w:after="0"/>
        <w:ind w:left="1120" w:right="0" w:hanging="552"/>
        <w:jc w:val="both"/>
      </w:pPr>
      <w:bookmarkStart w:name="_bookmark8" w:id="9"/>
      <w:bookmarkEnd w:id="9"/>
      <w:r>
        <w:rPr/>
        <w:t>M</w:t>
      </w:r>
      <w:r>
        <w:rPr/>
        <w:t>ARCO</w:t>
      </w:r>
      <w:r>
        <w:rPr>
          <w:spacing w:val="-9"/>
        </w:rPr>
        <w:t> </w:t>
      </w:r>
      <w:r>
        <w:rPr>
          <w:spacing w:val="-2"/>
        </w:rPr>
        <w:t>TEÓRICO</w:t>
      </w:r>
    </w:p>
    <w:p>
      <w:pPr>
        <w:pStyle w:val="BodyText"/>
        <w:spacing w:before="160"/>
        <w:rPr>
          <w:b/>
        </w:rPr>
      </w:pPr>
    </w:p>
    <w:p>
      <w:pPr>
        <w:pStyle w:val="Heading3"/>
        <w:numPr>
          <w:ilvl w:val="1"/>
          <w:numId w:val="8"/>
        </w:numPr>
        <w:tabs>
          <w:tab w:pos="1144" w:val="left" w:leader="none"/>
        </w:tabs>
        <w:spacing w:line="240" w:lineRule="auto" w:before="0" w:after="0"/>
        <w:ind w:left="1144" w:right="0" w:hanging="576"/>
        <w:jc w:val="both"/>
      </w:pPr>
      <w:bookmarkStart w:name="_bookmark9" w:id="10"/>
      <w:bookmarkEnd w:id="10"/>
      <w:r>
        <w:rPr>
          <w:b w:val="0"/>
        </w:rPr>
      </w:r>
      <w:r>
        <w:rPr/>
        <w:t>Anestesia</w:t>
      </w:r>
      <w:r>
        <w:rPr>
          <w:spacing w:val="-1"/>
        </w:rPr>
        <w:t> </w:t>
      </w:r>
      <w:r>
        <w:rPr/>
        <w:t>general</w:t>
      </w:r>
      <w:r>
        <w:rPr>
          <w:spacing w:val="-1"/>
        </w:rPr>
        <w:t> </w:t>
      </w:r>
      <w:r>
        <w:rPr/>
        <w:t>en</w:t>
      </w:r>
      <w:r>
        <w:rPr>
          <w:spacing w:val="-2"/>
        </w:rPr>
        <w:t> caninos</w:t>
      </w:r>
    </w:p>
    <w:p>
      <w:pPr>
        <w:pStyle w:val="BodyText"/>
        <w:spacing w:before="81"/>
        <w:rPr>
          <w:b/>
        </w:rPr>
      </w:pPr>
    </w:p>
    <w:p>
      <w:pPr>
        <w:pStyle w:val="BodyText"/>
        <w:spacing w:line="480" w:lineRule="auto"/>
        <w:ind w:left="568" w:right="146"/>
        <w:jc w:val="both"/>
      </w:pPr>
      <w:r>
        <w:rPr/>
        <w:t>La anestesia general en caninos es un proceso dinámico que busca garantizar inconsciencia, analgesia, hipnosis, relajación muscular y supresión del estrés quirúrgico (Hjalmarsson et al., 2025). Su ejecución requiere una evaluación preanestésica rigurosa y un dominio de la farmacodinamia cardiovascular, ya que puede inducir alteraciones hemodinámicas clínicamente relevantes (Tranquilli et al., 2024).</w:t>
      </w:r>
    </w:p>
    <w:p>
      <w:pPr>
        <w:pStyle w:val="BodyText"/>
        <w:spacing w:line="480" w:lineRule="auto" w:before="1"/>
        <w:ind w:left="568" w:right="137"/>
        <w:jc w:val="both"/>
      </w:pPr>
      <w:r>
        <w:rPr/>
        <w:t>La práctica moderna opta por la anestesia balanceada o multimodal ya que esta estrategia combina fármacos complementarios para disminuir las dosis de anestésicos inhalatorios, de esa manera se mitiga el impacto cardiovascular, destacando</w:t>
      </w:r>
      <w:r>
        <w:rPr>
          <w:spacing w:val="-2"/>
        </w:rPr>
        <w:t> </w:t>
      </w:r>
      <w:r>
        <w:rPr/>
        <w:t>el uso de agentes como la dexmedetomidina para modular la respuesta simpática (Ariza et al., 2025).</w:t>
      </w:r>
    </w:p>
    <w:p>
      <w:pPr>
        <w:pStyle w:val="BodyText"/>
        <w:spacing w:line="480" w:lineRule="auto"/>
        <w:ind w:left="568" w:right="137"/>
        <w:jc w:val="both"/>
      </w:pPr>
      <w:r>
        <w:rPr/>
        <w:t>El protocolo se estructura en tres fases secuenciales, que van desde la premedicación, seguido de la inducción, terminando con el mantenimiento. La ejecución correcta de estas etapas, respaldada por un monitoreo continuo de las constantes vitales, es determinante para la detección de desequilibrios fisiológicos oportunamente, así como para la realización de ajustes en tiempo real.</w:t>
      </w:r>
    </w:p>
    <w:p>
      <w:pPr>
        <w:pStyle w:val="Heading3"/>
        <w:numPr>
          <w:ilvl w:val="2"/>
          <w:numId w:val="8"/>
        </w:numPr>
        <w:tabs>
          <w:tab w:pos="1288" w:val="left" w:leader="none"/>
        </w:tabs>
        <w:spacing w:line="240" w:lineRule="auto" w:before="2" w:after="0"/>
        <w:ind w:left="1288" w:right="0" w:hanging="720"/>
        <w:jc w:val="both"/>
      </w:pPr>
      <w:bookmarkStart w:name="_bookmark10" w:id="11"/>
      <w:bookmarkEnd w:id="11"/>
      <w:r>
        <w:rPr>
          <w:b w:val="0"/>
        </w:rPr>
      </w:r>
      <w:r>
        <w:rPr>
          <w:color w:val="0D0D0D"/>
        </w:rPr>
        <w:t>Definición</w:t>
      </w:r>
      <w:r>
        <w:rPr>
          <w:color w:val="0D0D0D"/>
          <w:spacing w:val="-3"/>
        </w:rPr>
        <w:t> </w:t>
      </w:r>
      <w:r>
        <w:rPr>
          <w:color w:val="0D0D0D"/>
        </w:rPr>
        <w:t>fisiológica</w:t>
      </w:r>
      <w:r>
        <w:rPr>
          <w:color w:val="0D0D0D"/>
          <w:spacing w:val="-1"/>
        </w:rPr>
        <w:t> </w:t>
      </w:r>
      <w:r>
        <w:rPr>
          <w:color w:val="0D0D0D"/>
        </w:rPr>
        <w:t>y </w:t>
      </w:r>
      <w:r>
        <w:rPr>
          <w:color w:val="0D0D0D"/>
          <w:spacing w:val="-2"/>
        </w:rPr>
        <w:t>clínica</w:t>
      </w:r>
    </w:p>
    <w:p>
      <w:pPr>
        <w:pStyle w:val="BodyText"/>
        <w:spacing w:line="480" w:lineRule="auto" w:before="276"/>
        <w:ind w:left="568" w:right="147"/>
        <w:jc w:val="both"/>
      </w:pPr>
      <w:r>
        <w:rPr/>
        <w:t>La</w:t>
      </w:r>
      <w:r>
        <w:rPr>
          <w:spacing w:val="-3"/>
        </w:rPr>
        <w:t> </w:t>
      </w:r>
      <w:r>
        <w:rPr/>
        <w:t>anestesia</w:t>
      </w:r>
      <w:r>
        <w:rPr>
          <w:spacing w:val="-6"/>
        </w:rPr>
        <w:t> </w:t>
      </w:r>
      <w:r>
        <w:rPr/>
        <w:t>general</w:t>
      </w:r>
      <w:r>
        <w:rPr>
          <w:spacing w:val="-7"/>
        </w:rPr>
        <w:t> </w:t>
      </w:r>
      <w:r>
        <w:rPr/>
        <w:t>en</w:t>
      </w:r>
      <w:r>
        <w:rPr>
          <w:spacing w:val="-8"/>
        </w:rPr>
        <w:t> </w:t>
      </w:r>
      <w:r>
        <w:rPr/>
        <w:t>caninos</w:t>
      </w:r>
      <w:r>
        <w:rPr>
          <w:spacing w:val="-9"/>
        </w:rPr>
        <w:t> </w:t>
      </w:r>
      <w:r>
        <w:rPr/>
        <w:t>es</w:t>
      </w:r>
      <w:r>
        <w:rPr>
          <w:spacing w:val="-5"/>
        </w:rPr>
        <w:t> </w:t>
      </w:r>
      <w:r>
        <w:rPr/>
        <w:t>un</w:t>
      </w:r>
      <w:r>
        <w:rPr>
          <w:spacing w:val="-4"/>
        </w:rPr>
        <w:t> </w:t>
      </w:r>
      <w:r>
        <w:rPr/>
        <w:t>proceso</w:t>
      </w:r>
      <w:r>
        <w:rPr>
          <w:spacing w:val="-4"/>
        </w:rPr>
        <w:t> </w:t>
      </w:r>
      <w:r>
        <w:rPr/>
        <w:t>farmacológico</w:t>
      </w:r>
      <w:r>
        <w:rPr>
          <w:spacing w:val="-4"/>
        </w:rPr>
        <w:t> </w:t>
      </w:r>
      <w:r>
        <w:rPr/>
        <w:t>reversible</w:t>
      </w:r>
      <w:r>
        <w:rPr>
          <w:spacing w:val="-3"/>
        </w:rPr>
        <w:t> </w:t>
      </w:r>
      <w:r>
        <w:rPr/>
        <w:t>que</w:t>
      </w:r>
      <w:r>
        <w:rPr>
          <w:spacing w:val="-6"/>
        </w:rPr>
        <w:t> </w:t>
      </w:r>
      <w:r>
        <w:rPr/>
        <w:t>induce inconsciencia, analgesia profunda y relajación muscular, permitiendo realizar cirugías</w:t>
      </w:r>
      <w:r>
        <w:rPr>
          <w:spacing w:val="59"/>
        </w:rPr>
        <w:t> </w:t>
      </w:r>
      <w:r>
        <w:rPr/>
        <w:t>y</w:t>
      </w:r>
      <w:r>
        <w:rPr>
          <w:spacing w:val="65"/>
        </w:rPr>
        <w:t> </w:t>
      </w:r>
      <w:r>
        <w:rPr/>
        <w:t>diagnósticos</w:t>
      </w:r>
      <w:r>
        <w:rPr>
          <w:spacing w:val="60"/>
        </w:rPr>
        <w:t> </w:t>
      </w:r>
      <w:r>
        <w:rPr/>
        <w:t>sin</w:t>
      </w:r>
      <w:r>
        <w:rPr>
          <w:spacing w:val="65"/>
        </w:rPr>
        <w:t> </w:t>
      </w:r>
      <w:r>
        <w:rPr/>
        <w:t>dolor.</w:t>
      </w:r>
      <w:r>
        <w:rPr>
          <w:spacing w:val="60"/>
        </w:rPr>
        <w:t> </w:t>
      </w:r>
      <w:r>
        <w:rPr/>
        <w:t>En</w:t>
      </w:r>
      <w:r>
        <w:rPr>
          <w:spacing w:val="65"/>
        </w:rPr>
        <w:t> </w:t>
      </w:r>
      <w:r>
        <w:rPr/>
        <w:t>la</w:t>
      </w:r>
      <w:r>
        <w:rPr>
          <w:spacing w:val="66"/>
        </w:rPr>
        <w:t> </w:t>
      </w:r>
      <w:r>
        <w:rPr/>
        <w:t>práctica</w:t>
      </w:r>
      <w:r>
        <w:rPr>
          <w:spacing w:val="63"/>
        </w:rPr>
        <w:t> </w:t>
      </w:r>
      <w:r>
        <w:rPr/>
        <w:t>actual,</w:t>
      </w:r>
      <w:r>
        <w:rPr>
          <w:spacing w:val="60"/>
        </w:rPr>
        <w:t> </w:t>
      </w:r>
      <w:r>
        <w:rPr/>
        <w:t>este</w:t>
      </w:r>
      <w:r>
        <w:rPr>
          <w:spacing w:val="63"/>
        </w:rPr>
        <w:t> </w:t>
      </w:r>
      <w:r>
        <w:rPr/>
        <w:t>estado</w:t>
      </w:r>
      <w:r>
        <w:rPr>
          <w:spacing w:val="65"/>
        </w:rPr>
        <w:t> </w:t>
      </w:r>
      <w:r>
        <w:rPr/>
        <w:t>se</w:t>
      </w:r>
      <w:r>
        <w:rPr>
          <w:spacing w:val="63"/>
        </w:rPr>
        <w:t> </w:t>
      </w:r>
      <w:r>
        <w:rPr>
          <w:spacing w:val="-2"/>
        </w:rPr>
        <w:t>logra</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7"/>
        <w:jc w:val="both"/>
      </w:pPr>
      <w:r>
        <w:rPr/>
        <w:t>combinando</w:t>
      </w:r>
      <w:r>
        <w:rPr>
          <w:spacing w:val="-15"/>
        </w:rPr>
        <w:t> </w:t>
      </w:r>
      <w:r>
        <w:rPr/>
        <w:t>agentes</w:t>
      </w:r>
      <w:r>
        <w:rPr>
          <w:spacing w:val="-13"/>
        </w:rPr>
        <w:t> </w:t>
      </w:r>
      <w:r>
        <w:rPr/>
        <w:t>sedantes,</w:t>
      </w:r>
      <w:r>
        <w:rPr>
          <w:spacing w:val="-11"/>
        </w:rPr>
        <w:t> </w:t>
      </w:r>
      <w:r>
        <w:rPr/>
        <w:t>hipnóticos,</w:t>
      </w:r>
      <w:r>
        <w:rPr>
          <w:spacing w:val="-15"/>
        </w:rPr>
        <w:t> </w:t>
      </w:r>
      <w:r>
        <w:rPr/>
        <w:t>analgésicos</w:t>
      </w:r>
      <w:r>
        <w:rPr>
          <w:spacing w:val="-13"/>
        </w:rPr>
        <w:t> </w:t>
      </w:r>
      <w:r>
        <w:rPr/>
        <w:t>y</w:t>
      </w:r>
      <w:r>
        <w:rPr>
          <w:spacing w:val="-11"/>
        </w:rPr>
        <w:t> </w:t>
      </w:r>
      <w:r>
        <w:rPr/>
        <w:t>relajantes</w:t>
      </w:r>
      <w:r>
        <w:rPr>
          <w:spacing w:val="-13"/>
        </w:rPr>
        <w:t> </w:t>
      </w:r>
      <w:r>
        <w:rPr/>
        <w:t>para</w:t>
      </w:r>
      <w:r>
        <w:rPr>
          <w:spacing w:val="-10"/>
        </w:rPr>
        <w:t> </w:t>
      </w:r>
      <w:r>
        <w:rPr/>
        <w:t>preservar</w:t>
      </w:r>
      <w:r>
        <w:rPr>
          <w:spacing w:val="-11"/>
        </w:rPr>
        <w:t> </w:t>
      </w:r>
      <w:r>
        <w:rPr/>
        <w:t>la homeostasis y mantener estables los parámetros cardiorrespiratorios.</w:t>
      </w:r>
    </w:p>
    <w:p>
      <w:pPr>
        <w:pStyle w:val="BodyText"/>
        <w:spacing w:line="480" w:lineRule="auto"/>
        <w:ind w:left="568" w:right="137"/>
        <w:jc w:val="both"/>
      </w:pPr>
      <w:r>
        <w:rPr/>
        <w:t>Investigaciones clínicas recientes han demostrado que, a diferencia de las técnicas exclusivamente</w:t>
      </w:r>
      <w:r>
        <w:rPr>
          <w:spacing w:val="-15"/>
        </w:rPr>
        <w:t> </w:t>
      </w:r>
      <w:r>
        <w:rPr/>
        <w:t>inhalatorias,</w:t>
      </w:r>
      <w:r>
        <w:rPr>
          <w:spacing w:val="-15"/>
        </w:rPr>
        <w:t> </w:t>
      </w:r>
      <w:r>
        <w:rPr/>
        <w:t>los</w:t>
      </w:r>
      <w:r>
        <w:rPr>
          <w:spacing w:val="-15"/>
        </w:rPr>
        <w:t> </w:t>
      </w:r>
      <w:r>
        <w:rPr/>
        <w:t>protocolos</w:t>
      </w:r>
      <w:r>
        <w:rPr>
          <w:spacing w:val="-15"/>
        </w:rPr>
        <w:t> </w:t>
      </w:r>
      <w:r>
        <w:rPr/>
        <w:t>que</w:t>
      </w:r>
      <w:r>
        <w:rPr>
          <w:spacing w:val="-15"/>
        </w:rPr>
        <w:t> </w:t>
      </w:r>
      <w:r>
        <w:rPr/>
        <w:t>integran</w:t>
      </w:r>
      <w:r>
        <w:rPr>
          <w:spacing w:val="-15"/>
        </w:rPr>
        <w:t> </w:t>
      </w:r>
      <w:r>
        <w:rPr/>
        <w:t>tanto</w:t>
      </w:r>
      <w:r>
        <w:rPr>
          <w:spacing w:val="-15"/>
        </w:rPr>
        <w:t> </w:t>
      </w:r>
      <w:r>
        <w:rPr/>
        <w:t>agentes</w:t>
      </w:r>
      <w:r>
        <w:rPr>
          <w:spacing w:val="-15"/>
        </w:rPr>
        <w:t> </w:t>
      </w:r>
      <w:r>
        <w:rPr/>
        <w:t>intravenosos, así como anestesia total intravenosa (TIVA), ofrecen una mayor estabilidad hemodinámica, junto con una menor incidencia de hipotensión intraoperatoria, ya sea en perros con cardiopatías o en perros sometidos a cirugías prolongadas (Hjalmarsson et al., 2025).</w:t>
      </w:r>
    </w:p>
    <w:p>
      <w:pPr>
        <w:pStyle w:val="BodyText"/>
        <w:spacing w:line="480" w:lineRule="auto" w:before="2"/>
        <w:ind w:left="568" w:right="140"/>
        <w:jc w:val="both"/>
      </w:pPr>
      <w:r>
        <w:rPr/>
        <w:t>La adopción de estos protocolos balanceados mitiga el impacto cardiovascular, reduce</w:t>
      </w:r>
      <w:r>
        <w:rPr>
          <w:spacing w:val="-7"/>
        </w:rPr>
        <w:t> </w:t>
      </w:r>
      <w:r>
        <w:rPr/>
        <w:t>el</w:t>
      </w:r>
      <w:r>
        <w:rPr>
          <w:spacing w:val="-3"/>
        </w:rPr>
        <w:t> </w:t>
      </w:r>
      <w:r>
        <w:rPr/>
        <w:t>riesgo</w:t>
      </w:r>
      <w:r>
        <w:rPr>
          <w:spacing w:val="-4"/>
        </w:rPr>
        <w:t> </w:t>
      </w:r>
      <w:r>
        <w:rPr/>
        <w:t>de</w:t>
      </w:r>
      <w:r>
        <w:rPr>
          <w:spacing w:val="-3"/>
        </w:rPr>
        <w:t> </w:t>
      </w:r>
      <w:r>
        <w:rPr/>
        <w:t>complicaciones</w:t>
      </w:r>
      <w:r>
        <w:rPr>
          <w:spacing w:val="-6"/>
        </w:rPr>
        <w:t> </w:t>
      </w:r>
      <w:r>
        <w:rPr/>
        <w:t>perioperatorias,</w:t>
      </w:r>
      <w:r>
        <w:rPr>
          <w:spacing w:val="-4"/>
        </w:rPr>
        <w:t> </w:t>
      </w:r>
      <w:r>
        <w:rPr/>
        <w:t>de</w:t>
      </w:r>
      <w:r>
        <w:rPr>
          <w:spacing w:val="-7"/>
        </w:rPr>
        <w:t> </w:t>
      </w:r>
      <w:r>
        <w:rPr/>
        <w:t>la</w:t>
      </w:r>
      <w:r>
        <w:rPr>
          <w:spacing w:val="-7"/>
        </w:rPr>
        <w:t> </w:t>
      </w:r>
      <w:r>
        <w:rPr/>
        <w:t>misma</w:t>
      </w:r>
      <w:r>
        <w:rPr>
          <w:spacing w:val="-7"/>
        </w:rPr>
        <w:t> </w:t>
      </w:r>
      <w:r>
        <w:rPr/>
        <w:t>manera</w:t>
      </w:r>
      <w:r>
        <w:rPr>
          <w:spacing w:val="-7"/>
        </w:rPr>
        <w:t> </w:t>
      </w:r>
      <w:r>
        <w:rPr/>
        <w:t>representa un</w:t>
      </w:r>
      <w:r>
        <w:rPr>
          <w:spacing w:val="-15"/>
        </w:rPr>
        <w:t> </w:t>
      </w:r>
      <w:r>
        <w:rPr/>
        <w:t>componente</w:t>
      </w:r>
      <w:r>
        <w:rPr>
          <w:spacing w:val="-15"/>
        </w:rPr>
        <w:t> </w:t>
      </w:r>
      <w:r>
        <w:rPr/>
        <w:t>importante</w:t>
      </w:r>
      <w:r>
        <w:rPr>
          <w:spacing w:val="-15"/>
        </w:rPr>
        <w:t> </w:t>
      </w:r>
      <w:r>
        <w:rPr/>
        <w:t>para</w:t>
      </w:r>
      <w:r>
        <w:rPr>
          <w:spacing w:val="-15"/>
        </w:rPr>
        <w:t> </w:t>
      </w:r>
      <w:r>
        <w:rPr/>
        <w:t>la</w:t>
      </w:r>
      <w:r>
        <w:rPr>
          <w:spacing w:val="-15"/>
        </w:rPr>
        <w:t> </w:t>
      </w:r>
      <w:r>
        <w:rPr/>
        <w:t>seguridad,</w:t>
      </w:r>
      <w:r>
        <w:rPr>
          <w:spacing w:val="-15"/>
        </w:rPr>
        <w:t> </w:t>
      </w:r>
      <w:r>
        <w:rPr/>
        <w:t>así</w:t>
      </w:r>
      <w:r>
        <w:rPr>
          <w:spacing w:val="-15"/>
        </w:rPr>
        <w:t> </w:t>
      </w:r>
      <w:r>
        <w:rPr/>
        <w:t>como</w:t>
      </w:r>
      <w:r>
        <w:rPr>
          <w:spacing w:val="-15"/>
        </w:rPr>
        <w:t> </w:t>
      </w:r>
      <w:r>
        <w:rPr/>
        <w:t>para</w:t>
      </w:r>
      <w:r>
        <w:rPr>
          <w:spacing w:val="-15"/>
        </w:rPr>
        <w:t> </w:t>
      </w:r>
      <w:r>
        <w:rPr/>
        <w:t>el</w:t>
      </w:r>
      <w:r>
        <w:rPr>
          <w:spacing w:val="-15"/>
        </w:rPr>
        <w:t> </w:t>
      </w:r>
      <w:r>
        <w:rPr/>
        <w:t>bienestar</w:t>
      </w:r>
      <w:r>
        <w:rPr>
          <w:spacing w:val="-15"/>
        </w:rPr>
        <w:t> </w:t>
      </w:r>
      <w:r>
        <w:rPr/>
        <w:t>del</w:t>
      </w:r>
      <w:r>
        <w:rPr>
          <w:spacing w:val="-15"/>
        </w:rPr>
        <w:t> </w:t>
      </w:r>
      <w:r>
        <w:rPr/>
        <w:t>paciente canino (Bailey et al., 2025).</w:t>
      </w:r>
    </w:p>
    <w:p>
      <w:pPr>
        <w:pStyle w:val="Heading3"/>
        <w:numPr>
          <w:ilvl w:val="2"/>
          <w:numId w:val="8"/>
        </w:numPr>
        <w:tabs>
          <w:tab w:pos="1288" w:val="left" w:leader="none"/>
        </w:tabs>
        <w:spacing w:line="240" w:lineRule="auto" w:before="0" w:after="0"/>
        <w:ind w:left="1288" w:right="0" w:hanging="720"/>
        <w:jc w:val="both"/>
      </w:pPr>
      <w:bookmarkStart w:name="_bookmark11" w:id="12"/>
      <w:bookmarkEnd w:id="12"/>
      <w:r>
        <w:rPr>
          <w:b w:val="0"/>
        </w:rPr>
      </w:r>
      <w:r>
        <w:rPr>
          <w:color w:val="0D0D0D"/>
        </w:rPr>
        <w:t>Bases</w:t>
      </w:r>
      <w:r>
        <w:rPr>
          <w:color w:val="0D0D0D"/>
          <w:spacing w:val="-4"/>
        </w:rPr>
        <w:t> </w:t>
      </w:r>
      <w:r>
        <w:rPr>
          <w:color w:val="0D0D0D"/>
        </w:rPr>
        <w:t>hemodinámicas</w:t>
      </w:r>
      <w:r>
        <w:rPr>
          <w:color w:val="0D0D0D"/>
          <w:spacing w:val="-4"/>
        </w:rPr>
        <w:t> </w:t>
      </w:r>
      <w:r>
        <w:rPr>
          <w:color w:val="0D0D0D"/>
        </w:rPr>
        <w:t>de la</w:t>
      </w:r>
      <w:r>
        <w:rPr>
          <w:color w:val="0D0D0D"/>
          <w:spacing w:val="-2"/>
        </w:rPr>
        <w:t> </w:t>
      </w:r>
      <w:r>
        <w:rPr>
          <w:color w:val="0D0D0D"/>
        </w:rPr>
        <w:t>anestesia</w:t>
      </w:r>
      <w:r>
        <w:rPr>
          <w:color w:val="0D0D0D"/>
          <w:spacing w:val="-1"/>
        </w:rPr>
        <w:t> </w:t>
      </w:r>
      <w:r>
        <w:rPr>
          <w:color w:val="0D0D0D"/>
        </w:rPr>
        <w:t>general</w:t>
      </w:r>
      <w:r>
        <w:rPr>
          <w:color w:val="0D0D0D"/>
          <w:spacing w:val="-1"/>
        </w:rPr>
        <w:t> </w:t>
      </w:r>
      <w:r>
        <w:rPr>
          <w:color w:val="0D0D0D"/>
        </w:rPr>
        <w:t>en</w:t>
      </w:r>
      <w:r>
        <w:rPr>
          <w:color w:val="0D0D0D"/>
          <w:spacing w:val="-3"/>
        </w:rPr>
        <w:t> </w:t>
      </w:r>
      <w:r>
        <w:rPr>
          <w:color w:val="0D0D0D"/>
          <w:spacing w:val="-2"/>
        </w:rPr>
        <w:t>caninos</w:t>
      </w:r>
    </w:p>
    <w:p>
      <w:pPr>
        <w:pStyle w:val="BodyText"/>
        <w:spacing w:before="240"/>
        <w:rPr>
          <w:b/>
        </w:rPr>
      </w:pPr>
    </w:p>
    <w:p>
      <w:pPr>
        <w:pStyle w:val="BodyText"/>
        <w:spacing w:line="480" w:lineRule="auto"/>
        <w:ind w:left="568" w:right="136"/>
        <w:jc w:val="both"/>
      </w:pPr>
      <w:r>
        <w:rPr>
          <w:color w:val="0D0D0D"/>
        </w:rPr>
        <w:t>Las bases hemodinámicas de la anestesia general en caninos radican en la interacción entre los fármacos y los sistemas que regulan el flujo sanguíneo y la perfusión tisular. La anestesia deprime el miocardio, genera vasodilatación periférica y altera el tono autonómico, impactando directamente sobre el gasto cardíaco, la resistencia vascular sistémica y la presión arterial (Beck et al., 2025). El uso de protocolos multimodales como la dexmedetomidina provoca una vasoconstricción inicial seguida de bradicardia refleja, sin embargo, aunque su empleo a dosis bajas en la premedicación optimiza la sedación mientras reduce el requerimiento de inductores como el propofol, estas fluctuaciones exigen una monitorización</w:t>
      </w:r>
      <w:r>
        <w:rPr>
          <w:color w:val="0D0D0D"/>
          <w:spacing w:val="-1"/>
        </w:rPr>
        <w:t> </w:t>
      </w:r>
      <w:r>
        <w:rPr>
          <w:color w:val="0D0D0D"/>
        </w:rPr>
        <w:t>hemodinámica rigurosa (Klasić</w:t>
      </w:r>
      <w:r>
        <w:rPr>
          <w:color w:val="0D0D0D"/>
          <w:spacing w:val="-3"/>
        </w:rPr>
        <w:t> </w:t>
      </w:r>
      <w:r>
        <w:rPr>
          <w:color w:val="0D0D0D"/>
        </w:rPr>
        <w:t>et</w:t>
      </w:r>
      <w:r>
        <w:rPr>
          <w:color w:val="0D0D0D"/>
          <w:spacing w:val="-3"/>
        </w:rPr>
        <w:t> </w:t>
      </w:r>
      <w:r>
        <w:rPr>
          <w:color w:val="0D0D0D"/>
        </w:rPr>
        <w:t>al.,</w:t>
      </w:r>
      <w:r>
        <w:rPr>
          <w:color w:val="0D0D0D"/>
          <w:spacing w:val="-1"/>
        </w:rPr>
        <w:t> </w:t>
      </w:r>
      <w:r>
        <w:rPr>
          <w:color w:val="0D0D0D"/>
        </w:rPr>
        <w:t>2025). La preservación</w:t>
      </w:r>
      <w:r>
        <w:rPr>
          <w:color w:val="0D0D0D"/>
          <w:spacing w:val="-5"/>
        </w:rPr>
        <w:t> </w:t>
      </w:r>
      <w:r>
        <w:rPr>
          <w:color w:val="0D0D0D"/>
        </w:rPr>
        <w:t>de</w:t>
      </w:r>
      <w:r>
        <w:rPr>
          <w:color w:val="0D0D0D"/>
          <w:spacing w:val="-3"/>
        </w:rPr>
        <w:t> </w:t>
      </w:r>
      <w:r>
        <w:rPr>
          <w:color w:val="0D0D0D"/>
        </w:rPr>
        <w:t>la presión</w:t>
      </w:r>
      <w:r>
        <w:rPr>
          <w:color w:val="0D0D0D"/>
          <w:spacing w:val="38"/>
        </w:rPr>
        <w:t> </w:t>
      </w:r>
      <w:r>
        <w:rPr>
          <w:color w:val="0D0D0D"/>
        </w:rPr>
        <w:t>arterial</w:t>
      </w:r>
      <w:r>
        <w:rPr>
          <w:color w:val="0D0D0D"/>
          <w:spacing w:val="36"/>
        </w:rPr>
        <w:t> </w:t>
      </w:r>
      <w:r>
        <w:rPr>
          <w:color w:val="0D0D0D"/>
        </w:rPr>
        <w:t>media,</w:t>
      </w:r>
      <w:r>
        <w:rPr>
          <w:color w:val="0D0D0D"/>
          <w:spacing w:val="39"/>
        </w:rPr>
        <w:t> </w:t>
      </w:r>
      <w:r>
        <w:rPr>
          <w:color w:val="0D0D0D"/>
        </w:rPr>
        <w:t>así</w:t>
      </w:r>
      <w:r>
        <w:rPr>
          <w:color w:val="0D0D0D"/>
          <w:spacing w:val="40"/>
        </w:rPr>
        <w:t> </w:t>
      </w:r>
      <w:r>
        <w:rPr>
          <w:color w:val="0D0D0D"/>
        </w:rPr>
        <w:t>como</w:t>
      </w:r>
      <w:r>
        <w:rPr>
          <w:color w:val="0D0D0D"/>
          <w:spacing w:val="42"/>
        </w:rPr>
        <w:t> </w:t>
      </w:r>
      <w:r>
        <w:rPr>
          <w:color w:val="0D0D0D"/>
        </w:rPr>
        <w:t>la</w:t>
      </w:r>
      <w:r>
        <w:rPr>
          <w:color w:val="0D0D0D"/>
          <w:spacing w:val="40"/>
        </w:rPr>
        <w:t> </w:t>
      </w:r>
      <w:r>
        <w:rPr>
          <w:color w:val="0D0D0D"/>
        </w:rPr>
        <w:t>resistencia</w:t>
      </w:r>
      <w:r>
        <w:rPr>
          <w:color w:val="0D0D0D"/>
          <w:spacing w:val="41"/>
        </w:rPr>
        <w:t> </w:t>
      </w:r>
      <w:r>
        <w:rPr>
          <w:color w:val="0D0D0D"/>
        </w:rPr>
        <w:t>vascular</w:t>
      </w:r>
      <w:r>
        <w:rPr>
          <w:color w:val="0D0D0D"/>
          <w:spacing w:val="39"/>
        </w:rPr>
        <w:t> </w:t>
      </w:r>
      <w:r>
        <w:rPr>
          <w:color w:val="0D0D0D"/>
        </w:rPr>
        <w:t>varían</w:t>
      </w:r>
      <w:r>
        <w:rPr>
          <w:color w:val="0D0D0D"/>
          <w:spacing w:val="40"/>
        </w:rPr>
        <w:t> </w:t>
      </w:r>
      <w:r>
        <w:rPr>
          <w:color w:val="0D0D0D"/>
        </w:rPr>
        <w:t>según</w:t>
      </w:r>
      <w:r>
        <w:rPr>
          <w:color w:val="0D0D0D"/>
          <w:spacing w:val="39"/>
        </w:rPr>
        <w:t> </w:t>
      </w:r>
      <w:r>
        <w:rPr>
          <w:color w:val="0D0D0D"/>
        </w:rPr>
        <w:t>la</w:t>
      </w:r>
      <w:r>
        <w:rPr>
          <w:color w:val="0D0D0D"/>
          <w:spacing w:val="41"/>
        </w:rPr>
        <w:t> </w:t>
      </w:r>
      <w:r>
        <w:rPr>
          <w:color w:val="0D0D0D"/>
          <w:spacing w:val="-2"/>
        </w:rPr>
        <w:t>técnica</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7"/>
        <w:jc w:val="both"/>
      </w:pPr>
      <w:r>
        <w:rPr>
          <w:color w:val="0D0D0D"/>
        </w:rPr>
        <w:t>utilizada; la anestesia total intravenosa (TIVA) con propofol suele asociarse a mejores parámetros hemodinámicos en comparación con las técnicas inhalatorias combinadas (PIVA) (Hjalmarsson et al., 2025). En base a o evidenciado, la selección</w:t>
      </w:r>
      <w:r>
        <w:rPr>
          <w:color w:val="0D0D0D"/>
          <w:spacing w:val="-2"/>
        </w:rPr>
        <w:t> </w:t>
      </w:r>
      <w:r>
        <w:rPr>
          <w:color w:val="0D0D0D"/>
        </w:rPr>
        <w:t>final</w:t>
      </w:r>
      <w:r>
        <w:rPr>
          <w:color w:val="0D0D0D"/>
          <w:spacing w:val="-1"/>
        </w:rPr>
        <w:t> </w:t>
      </w:r>
      <w:r>
        <w:rPr>
          <w:color w:val="0D0D0D"/>
        </w:rPr>
        <w:t>del</w:t>
      </w:r>
      <w:r>
        <w:rPr>
          <w:color w:val="0D0D0D"/>
          <w:spacing w:val="-1"/>
        </w:rPr>
        <w:t> </w:t>
      </w:r>
      <w:r>
        <w:rPr>
          <w:color w:val="0D0D0D"/>
        </w:rPr>
        <w:t>método</w:t>
      </w:r>
      <w:r>
        <w:rPr>
          <w:color w:val="0D0D0D"/>
          <w:spacing w:val="-2"/>
        </w:rPr>
        <w:t> </w:t>
      </w:r>
      <w:r>
        <w:rPr>
          <w:color w:val="0D0D0D"/>
        </w:rPr>
        <w:t>debe</w:t>
      </w:r>
      <w:r>
        <w:rPr>
          <w:color w:val="0D0D0D"/>
          <w:spacing w:val="-1"/>
        </w:rPr>
        <w:t> </w:t>
      </w:r>
      <w:r>
        <w:rPr>
          <w:color w:val="0D0D0D"/>
        </w:rPr>
        <w:t>individualizarse</w:t>
      </w:r>
      <w:r>
        <w:rPr>
          <w:color w:val="0D0D0D"/>
          <w:spacing w:val="-1"/>
        </w:rPr>
        <w:t> </w:t>
      </w:r>
      <w:r>
        <w:rPr>
          <w:color w:val="0D0D0D"/>
        </w:rPr>
        <w:t>según</w:t>
      </w:r>
      <w:r>
        <w:rPr>
          <w:color w:val="0D0D0D"/>
          <w:spacing w:val="-2"/>
        </w:rPr>
        <w:t> </w:t>
      </w:r>
      <w:r>
        <w:rPr>
          <w:color w:val="0D0D0D"/>
        </w:rPr>
        <w:t>la</w:t>
      </w:r>
      <w:r>
        <w:rPr>
          <w:color w:val="0D0D0D"/>
          <w:spacing w:val="-1"/>
        </w:rPr>
        <w:t> </w:t>
      </w:r>
      <w:r>
        <w:rPr>
          <w:color w:val="0D0D0D"/>
        </w:rPr>
        <w:t>condición</w:t>
      </w:r>
      <w:r>
        <w:rPr>
          <w:color w:val="0D0D0D"/>
          <w:spacing w:val="-2"/>
        </w:rPr>
        <w:t> </w:t>
      </w:r>
      <w:r>
        <w:rPr>
          <w:color w:val="0D0D0D"/>
        </w:rPr>
        <w:t>fisiológica</w:t>
      </w:r>
      <w:r>
        <w:rPr>
          <w:color w:val="0D0D0D"/>
          <w:spacing w:val="-1"/>
        </w:rPr>
        <w:t> </w:t>
      </w:r>
      <w:r>
        <w:rPr>
          <w:color w:val="0D0D0D"/>
        </w:rPr>
        <w:t>del </w:t>
      </w:r>
      <w:r>
        <w:rPr>
          <w:color w:val="0D0D0D"/>
          <w:spacing w:val="-2"/>
        </w:rPr>
        <w:t>paciente.</w:t>
      </w:r>
    </w:p>
    <w:p>
      <w:pPr>
        <w:pStyle w:val="Heading3"/>
        <w:numPr>
          <w:ilvl w:val="2"/>
          <w:numId w:val="8"/>
        </w:numPr>
        <w:tabs>
          <w:tab w:pos="1288" w:val="left" w:leader="none"/>
        </w:tabs>
        <w:spacing w:line="240" w:lineRule="auto" w:before="1" w:after="0"/>
        <w:ind w:left="1288" w:right="0" w:hanging="720"/>
        <w:jc w:val="both"/>
      </w:pPr>
      <w:bookmarkStart w:name="_bookmark12" w:id="13"/>
      <w:bookmarkEnd w:id="13"/>
      <w:r>
        <w:rPr>
          <w:b w:val="0"/>
        </w:rPr>
      </w:r>
      <w:r>
        <w:rPr>
          <w:color w:val="0D0D0D"/>
        </w:rPr>
        <w:t>Definición</w:t>
      </w:r>
      <w:r>
        <w:rPr>
          <w:color w:val="0D0D0D"/>
          <w:spacing w:val="-2"/>
        </w:rPr>
        <w:t> </w:t>
      </w:r>
      <w:r>
        <w:rPr>
          <w:color w:val="0D0D0D"/>
        </w:rPr>
        <w:t>y </w:t>
      </w:r>
      <w:r>
        <w:rPr>
          <w:color w:val="0D0D0D"/>
          <w:spacing w:val="-2"/>
        </w:rPr>
        <w:t>fundamentos</w:t>
      </w:r>
    </w:p>
    <w:p>
      <w:pPr>
        <w:pStyle w:val="BodyText"/>
        <w:rPr>
          <w:b/>
        </w:rPr>
      </w:pPr>
    </w:p>
    <w:p>
      <w:pPr>
        <w:pStyle w:val="BodyText"/>
        <w:spacing w:line="480" w:lineRule="auto"/>
        <w:ind w:left="568" w:right="147"/>
        <w:jc w:val="both"/>
      </w:pPr>
      <w:r>
        <w:rPr/>
        <w:t>La anestesia general en caninos es un estado farmacológico reversible que integra inconsciencia,</w:t>
      </w:r>
      <w:r>
        <w:rPr>
          <w:spacing w:val="-8"/>
        </w:rPr>
        <w:t> </w:t>
      </w:r>
      <w:r>
        <w:rPr/>
        <w:t>analgesia,</w:t>
      </w:r>
      <w:r>
        <w:rPr>
          <w:spacing w:val="-8"/>
        </w:rPr>
        <w:t> </w:t>
      </w:r>
      <w:r>
        <w:rPr/>
        <w:t>amnesia,</w:t>
      </w:r>
      <w:r>
        <w:rPr>
          <w:spacing w:val="-8"/>
        </w:rPr>
        <w:t> </w:t>
      </w:r>
      <w:r>
        <w:rPr/>
        <w:t>relajación</w:t>
      </w:r>
      <w:r>
        <w:rPr>
          <w:spacing w:val="-8"/>
        </w:rPr>
        <w:t> </w:t>
      </w:r>
      <w:r>
        <w:rPr/>
        <w:t>muscular</w:t>
      </w:r>
      <w:r>
        <w:rPr>
          <w:spacing w:val="-7"/>
        </w:rPr>
        <w:t> </w:t>
      </w:r>
      <w:r>
        <w:rPr/>
        <w:t>y</w:t>
      </w:r>
      <w:r>
        <w:rPr>
          <w:spacing w:val="-8"/>
        </w:rPr>
        <w:t> </w:t>
      </w:r>
      <w:r>
        <w:rPr/>
        <w:t>la</w:t>
      </w:r>
      <w:r>
        <w:rPr>
          <w:spacing w:val="-6"/>
        </w:rPr>
        <w:t> </w:t>
      </w:r>
      <w:r>
        <w:rPr/>
        <w:t>supresión</w:t>
      </w:r>
      <w:r>
        <w:rPr>
          <w:spacing w:val="-8"/>
        </w:rPr>
        <w:t> </w:t>
      </w:r>
      <w:r>
        <w:rPr/>
        <w:t>de</w:t>
      </w:r>
      <w:r>
        <w:rPr>
          <w:spacing w:val="-6"/>
        </w:rPr>
        <w:t> </w:t>
      </w:r>
      <w:r>
        <w:rPr/>
        <w:t>respuestas reflejas. Más allá de la pérdida de conciencia, implica una modulación de los sistemas nervioso, cardiovascular y</w:t>
      </w:r>
      <w:r>
        <w:rPr>
          <w:spacing w:val="-2"/>
        </w:rPr>
        <w:t> </w:t>
      </w:r>
      <w:r>
        <w:rPr/>
        <w:t>respiratorio para garantizar una cirugía segura (Sarotti et al., 2024).</w:t>
      </w:r>
    </w:p>
    <w:p>
      <w:pPr>
        <w:pStyle w:val="BodyText"/>
        <w:spacing w:line="480" w:lineRule="auto" w:before="1"/>
        <w:ind w:left="568" w:right="136"/>
        <w:jc w:val="both"/>
      </w:pPr>
      <w:r>
        <w:rPr/>
        <w:t>Los fundamentos de este proceso radican en la interacción entre los fármacos con los</w:t>
      </w:r>
      <w:r>
        <w:rPr>
          <w:spacing w:val="-13"/>
        </w:rPr>
        <w:t> </w:t>
      </w:r>
      <w:r>
        <w:rPr/>
        <w:t>mecanismos</w:t>
      </w:r>
      <w:r>
        <w:rPr>
          <w:spacing w:val="-13"/>
        </w:rPr>
        <w:t> </w:t>
      </w:r>
      <w:r>
        <w:rPr/>
        <w:t>que</w:t>
      </w:r>
      <w:r>
        <w:rPr>
          <w:spacing w:val="-10"/>
        </w:rPr>
        <w:t> </w:t>
      </w:r>
      <w:r>
        <w:rPr/>
        <w:t>regulan</w:t>
      </w:r>
      <w:r>
        <w:rPr>
          <w:spacing w:val="-8"/>
        </w:rPr>
        <w:t> </w:t>
      </w:r>
      <w:r>
        <w:rPr/>
        <w:t>tanto</w:t>
      </w:r>
      <w:r>
        <w:rPr>
          <w:spacing w:val="-10"/>
        </w:rPr>
        <w:t> </w:t>
      </w:r>
      <w:r>
        <w:rPr/>
        <w:t>el</w:t>
      </w:r>
      <w:r>
        <w:rPr>
          <w:spacing w:val="-10"/>
        </w:rPr>
        <w:t> </w:t>
      </w:r>
      <w:r>
        <w:rPr/>
        <w:t>tono</w:t>
      </w:r>
      <w:r>
        <w:rPr>
          <w:spacing w:val="-11"/>
        </w:rPr>
        <w:t> </w:t>
      </w:r>
      <w:r>
        <w:rPr/>
        <w:t>vascular,</w:t>
      </w:r>
      <w:r>
        <w:rPr>
          <w:spacing w:val="-11"/>
        </w:rPr>
        <w:t> </w:t>
      </w:r>
      <w:r>
        <w:rPr/>
        <w:t>la</w:t>
      </w:r>
      <w:r>
        <w:rPr>
          <w:spacing w:val="-10"/>
        </w:rPr>
        <w:t> </w:t>
      </w:r>
      <w:r>
        <w:rPr/>
        <w:t>contractilidad</w:t>
      </w:r>
      <w:r>
        <w:rPr>
          <w:spacing w:val="-11"/>
        </w:rPr>
        <w:t> </w:t>
      </w:r>
      <w:r>
        <w:rPr/>
        <w:t>miocárdica,</w:t>
      </w:r>
      <w:r>
        <w:rPr>
          <w:spacing w:val="-11"/>
        </w:rPr>
        <w:t> </w:t>
      </w:r>
      <w:r>
        <w:rPr/>
        <w:t>así como el control autonómico, de tal manera, el uso de protocolos anestésicos balanceados permite un control más predecible de estas variables fisiológicas mientras disminuye las alteraciones hemodinámicas indeseables (Russo &amp; Farry, </w:t>
      </w:r>
      <w:r>
        <w:rPr>
          <w:spacing w:val="-2"/>
        </w:rPr>
        <w:t>2022).</w:t>
      </w:r>
    </w:p>
    <w:p>
      <w:pPr>
        <w:pStyle w:val="BodyText"/>
        <w:spacing w:line="480" w:lineRule="auto" w:before="1"/>
        <w:ind w:left="568" w:right="136"/>
        <w:jc w:val="both"/>
      </w:pPr>
      <w:r>
        <w:rPr/>
        <w:t>La anestesia veterinaria moderna exige individualizar el protocolo según la condición clínica del paciente, el tipo de intervención, así como su duración, con esta</w:t>
      </w:r>
      <w:r>
        <w:rPr>
          <w:spacing w:val="-3"/>
        </w:rPr>
        <w:t> </w:t>
      </w:r>
      <w:r>
        <w:rPr/>
        <w:t>aproximación</w:t>
      </w:r>
      <w:r>
        <w:rPr>
          <w:spacing w:val="-3"/>
        </w:rPr>
        <w:t> </w:t>
      </w:r>
      <w:r>
        <w:rPr/>
        <w:t>se</w:t>
      </w:r>
      <w:r>
        <w:rPr>
          <w:spacing w:val="-3"/>
        </w:rPr>
        <w:t> </w:t>
      </w:r>
      <w:r>
        <w:rPr/>
        <w:t>facilita</w:t>
      </w:r>
      <w:r>
        <w:rPr>
          <w:spacing w:val="-3"/>
        </w:rPr>
        <w:t> </w:t>
      </w:r>
      <w:r>
        <w:rPr/>
        <w:t>la</w:t>
      </w:r>
      <w:r>
        <w:rPr>
          <w:spacing w:val="-3"/>
        </w:rPr>
        <w:t> </w:t>
      </w:r>
      <w:r>
        <w:rPr/>
        <w:t>adaptación</w:t>
      </w:r>
      <w:r>
        <w:rPr>
          <w:spacing w:val="-9"/>
        </w:rPr>
        <w:t> </w:t>
      </w:r>
      <w:r>
        <w:rPr/>
        <w:t>dinámica</w:t>
      </w:r>
      <w:r>
        <w:rPr>
          <w:spacing w:val="-3"/>
        </w:rPr>
        <w:t> </w:t>
      </w:r>
      <w:r>
        <w:rPr/>
        <w:t>del</w:t>
      </w:r>
      <w:r>
        <w:rPr>
          <w:spacing w:val="-3"/>
        </w:rPr>
        <w:t> </w:t>
      </w:r>
      <w:r>
        <w:rPr/>
        <w:t>plano</w:t>
      </w:r>
      <w:r>
        <w:rPr>
          <w:spacing w:val="-4"/>
        </w:rPr>
        <w:t> </w:t>
      </w:r>
      <w:r>
        <w:rPr/>
        <w:t>anestésico</w:t>
      </w:r>
      <w:r>
        <w:rPr>
          <w:spacing w:val="-4"/>
        </w:rPr>
        <w:t> </w:t>
      </w:r>
      <w:r>
        <w:rPr/>
        <w:t>mediante ajustes continuos orientados a preservar la estabilidad cardiovascular, así como reducir el estrés intraoperatorio (Cardozo et al., 2024). La selección racional de fármacos, son elementos de importantes para la optimización de la seguridad perioperatoria como para la preservación del bienestar del paciente.</w:t>
      </w:r>
    </w:p>
    <w:p>
      <w:pPr>
        <w:pStyle w:val="BodyText"/>
        <w:spacing w:after="0" w:line="480" w:lineRule="auto"/>
        <w:jc w:val="both"/>
        <w:sectPr>
          <w:pgSz w:w="11910" w:h="16840"/>
          <w:pgMar w:header="0" w:footer="1038" w:top="1620" w:bottom="1220" w:left="1700" w:right="1559"/>
        </w:sectPr>
      </w:pPr>
    </w:p>
    <w:p>
      <w:pPr>
        <w:pStyle w:val="Heading3"/>
        <w:numPr>
          <w:ilvl w:val="2"/>
          <w:numId w:val="8"/>
        </w:numPr>
        <w:tabs>
          <w:tab w:pos="1288" w:val="left" w:leader="none"/>
        </w:tabs>
        <w:spacing w:line="240" w:lineRule="auto" w:before="64" w:after="0"/>
        <w:ind w:left="1288" w:right="0" w:hanging="720"/>
        <w:jc w:val="both"/>
      </w:pPr>
      <w:bookmarkStart w:name="_bookmark13" w:id="14"/>
      <w:bookmarkEnd w:id="14"/>
      <w:r>
        <w:rPr>
          <w:b w:val="0"/>
        </w:rPr>
      </w:r>
      <w:r>
        <w:rPr>
          <w:color w:val="0D0D0D"/>
        </w:rPr>
        <w:t>Evaluación</w:t>
      </w:r>
      <w:r>
        <w:rPr>
          <w:color w:val="0D0D0D"/>
          <w:spacing w:val="-1"/>
        </w:rPr>
        <w:t> </w:t>
      </w:r>
      <w:r>
        <w:rPr>
          <w:color w:val="0D0D0D"/>
          <w:spacing w:val="-2"/>
        </w:rPr>
        <w:t>preanestésica</w:t>
      </w:r>
    </w:p>
    <w:p>
      <w:pPr>
        <w:pStyle w:val="BodyText"/>
        <w:rPr>
          <w:b/>
        </w:rPr>
      </w:pPr>
    </w:p>
    <w:p>
      <w:pPr>
        <w:pStyle w:val="BodyText"/>
        <w:spacing w:line="480" w:lineRule="auto"/>
        <w:ind w:left="568" w:right="134"/>
        <w:jc w:val="both"/>
      </w:pPr>
      <w:r>
        <w:rPr/>
        <w:t>La evaluación preanestésica en caninos es un proceso sistemático y predictivo importante para</w:t>
      </w:r>
      <w:r>
        <w:rPr>
          <w:spacing w:val="-2"/>
        </w:rPr>
        <w:t> </w:t>
      </w:r>
      <w:r>
        <w:rPr/>
        <w:t>la</w:t>
      </w:r>
      <w:r>
        <w:rPr>
          <w:spacing w:val="-2"/>
        </w:rPr>
        <w:t> </w:t>
      </w:r>
      <w:r>
        <w:rPr/>
        <w:t>identificación de factores</w:t>
      </w:r>
      <w:r>
        <w:rPr>
          <w:spacing w:val="-1"/>
        </w:rPr>
        <w:t> </w:t>
      </w:r>
      <w:r>
        <w:rPr/>
        <w:t>de riesgo que</w:t>
      </w:r>
      <w:r>
        <w:rPr>
          <w:spacing w:val="-2"/>
        </w:rPr>
        <w:t> </w:t>
      </w:r>
      <w:r>
        <w:rPr/>
        <w:t>influyen</w:t>
      </w:r>
      <w:r>
        <w:rPr>
          <w:spacing w:val="-3"/>
        </w:rPr>
        <w:t> </w:t>
      </w:r>
      <w:r>
        <w:rPr/>
        <w:t>en</w:t>
      </w:r>
      <w:r>
        <w:rPr>
          <w:spacing w:val="-3"/>
        </w:rPr>
        <w:t> </w:t>
      </w:r>
      <w:r>
        <w:rPr/>
        <w:t>la respuesta cardiovascular durante la anestesia general. La valoración de este tipo es determinante</w:t>
      </w:r>
      <w:r>
        <w:rPr>
          <w:spacing w:val="-11"/>
        </w:rPr>
        <w:t> </w:t>
      </w:r>
      <w:r>
        <w:rPr/>
        <w:t>para</w:t>
      </w:r>
      <w:r>
        <w:rPr>
          <w:spacing w:val="-8"/>
        </w:rPr>
        <w:t> </w:t>
      </w:r>
      <w:r>
        <w:rPr/>
        <w:t>la</w:t>
      </w:r>
      <w:r>
        <w:rPr>
          <w:spacing w:val="-15"/>
        </w:rPr>
        <w:t> </w:t>
      </w:r>
      <w:r>
        <w:rPr/>
        <w:t>selección</w:t>
      </w:r>
      <w:r>
        <w:rPr>
          <w:spacing w:val="-13"/>
        </w:rPr>
        <w:t> </w:t>
      </w:r>
      <w:r>
        <w:rPr/>
        <w:t>del</w:t>
      </w:r>
      <w:r>
        <w:rPr>
          <w:spacing w:val="-11"/>
        </w:rPr>
        <w:t> </w:t>
      </w:r>
      <w:r>
        <w:rPr/>
        <w:t>protocolo</w:t>
      </w:r>
      <w:r>
        <w:rPr>
          <w:spacing w:val="-12"/>
        </w:rPr>
        <w:t> </w:t>
      </w:r>
      <w:r>
        <w:rPr/>
        <w:t>farmacológico</w:t>
      </w:r>
      <w:r>
        <w:rPr>
          <w:spacing w:val="-12"/>
        </w:rPr>
        <w:t> </w:t>
      </w:r>
      <w:r>
        <w:rPr/>
        <w:t>y</w:t>
      </w:r>
      <w:r>
        <w:rPr>
          <w:spacing w:val="-10"/>
        </w:rPr>
        <w:t> </w:t>
      </w:r>
      <w:r>
        <w:rPr/>
        <w:t>la</w:t>
      </w:r>
      <w:r>
        <w:rPr>
          <w:spacing w:val="-11"/>
        </w:rPr>
        <w:t> </w:t>
      </w:r>
      <w:r>
        <w:rPr/>
        <w:t>planificación</w:t>
      </w:r>
      <w:r>
        <w:rPr>
          <w:spacing w:val="-15"/>
        </w:rPr>
        <w:t> </w:t>
      </w:r>
      <w:r>
        <w:rPr/>
        <w:t>de</w:t>
      </w:r>
      <w:r>
        <w:rPr>
          <w:spacing w:val="-10"/>
        </w:rPr>
        <w:t> </w:t>
      </w:r>
      <w:r>
        <w:rPr/>
        <w:t>las estrategias</w:t>
      </w:r>
      <w:r>
        <w:rPr>
          <w:spacing w:val="-6"/>
        </w:rPr>
        <w:t> </w:t>
      </w:r>
      <w:r>
        <w:rPr/>
        <w:t>de</w:t>
      </w:r>
      <w:r>
        <w:rPr>
          <w:spacing w:val="-3"/>
        </w:rPr>
        <w:t> </w:t>
      </w:r>
      <w:r>
        <w:rPr/>
        <w:t>monitoreo</w:t>
      </w:r>
      <w:r>
        <w:rPr>
          <w:spacing w:val="-9"/>
        </w:rPr>
        <w:t> </w:t>
      </w:r>
      <w:r>
        <w:rPr/>
        <w:t>hemodinámico</w:t>
      </w:r>
      <w:r>
        <w:rPr>
          <w:spacing w:val="-4"/>
        </w:rPr>
        <w:t> </w:t>
      </w:r>
      <w:r>
        <w:rPr/>
        <w:t>según</w:t>
      </w:r>
      <w:r>
        <w:rPr>
          <w:spacing w:val="-4"/>
        </w:rPr>
        <w:t> </w:t>
      </w:r>
      <w:r>
        <w:rPr/>
        <w:t>las</w:t>
      </w:r>
      <w:r>
        <w:rPr>
          <w:spacing w:val="-6"/>
        </w:rPr>
        <w:t> </w:t>
      </w:r>
      <w:r>
        <w:rPr/>
        <w:t>condiciones</w:t>
      </w:r>
      <w:r>
        <w:rPr>
          <w:spacing w:val="-6"/>
        </w:rPr>
        <w:t> </w:t>
      </w:r>
      <w:r>
        <w:rPr/>
        <w:t>del</w:t>
      </w:r>
      <w:r>
        <w:rPr>
          <w:spacing w:val="-3"/>
        </w:rPr>
        <w:t> </w:t>
      </w:r>
      <w:r>
        <w:rPr/>
        <w:t>paciente</w:t>
      </w:r>
      <w:r>
        <w:rPr>
          <w:spacing w:val="-7"/>
        </w:rPr>
        <w:t> </w:t>
      </w:r>
      <w:r>
        <w:rPr/>
        <w:t>(Klasić et al., 2025).</w:t>
      </w:r>
    </w:p>
    <w:p>
      <w:pPr>
        <w:pStyle w:val="BodyText"/>
        <w:spacing w:line="480" w:lineRule="auto" w:before="1"/>
        <w:ind w:left="568" w:right="135"/>
        <w:jc w:val="both"/>
      </w:pPr>
      <w:r>
        <w:rPr/>
        <w:t>La</w:t>
      </w:r>
      <w:r>
        <w:rPr>
          <w:spacing w:val="-4"/>
        </w:rPr>
        <w:t> </w:t>
      </w:r>
      <w:r>
        <w:rPr/>
        <w:t>valoración</w:t>
      </w:r>
      <w:r>
        <w:rPr>
          <w:spacing w:val="-3"/>
        </w:rPr>
        <w:t> </w:t>
      </w:r>
      <w:r>
        <w:rPr/>
        <w:t>preanestésica</w:t>
      </w:r>
      <w:r>
        <w:rPr>
          <w:spacing w:val="-4"/>
        </w:rPr>
        <w:t> </w:t>
      </w:r>
      <w:r>
        <w:rPr/>
        <w:t>basada</w:t>
      </w:r>
      <w:r>
        <w:rPr>
          <w:spacing w:val="-1"/>
        </w:rPr>
        <w:t> </w:t>
      </w:r>
      <w:r>
        <w:rPr/>
        <w:t>en</w:t>
      </w:r>
      <w:r>
        <w:rPr>
          <w:spacing w:val="-5"/>
        </w:rPr>
        <w:t> </w:t>
      </w:r>
      <w:r>
        <w:rPr/>
        <w:t>la</w:t>
      </w:r>
      <w:r>
        <w:rPr>
          <w:spacing w:val="-4"/>
        </w:rPr>
        <w:t> </w:t>
      </w:r>
      <w:r>
        <w:rPr/>
        <w:t>anamnesis,</w:t>
      </w:r>
      <w:r>
        <w:rPr>
          <w:spacing w:val="-6"/>
        </w:rPr>
        <w:t> </w:t>
      </w:r>
      <w:r>
        <w:rPr/>
        <w:t>el</w:t>
      </w:r>
      <w:r>
        <w:rPr>
          <w:spacing w:val="-5"/>
        </w:rPr>
        <w:t> </w:t>
      </w:r>
      <w:r>
        <w:rPr/>
        <w:t>examen</w:t>
      </w:r>
      <w:r>
        <w:rPr>
          <w:spacing w:val="-6"/>
        </w:rPr>
        <w:t> </w:t>
      </w:r>
      <w:r>
        <w:rPr/>
        <w:t>físico</w:t>
      </w:r>
      <w:r>
        <w:rPr>
          <w:spacing w:val="-6"/>
        </w:rPr>
        <w:t> </w:t>
      </w:r>
      <w:r>
        <w:rPr/>
        <w:t>y</w:t>
      </w:r>
      <w:r>
        <w:rPr>
          <w:spacing w:val="-6"/>
        </w:rPr>
        <w:t> </w:t>
      </w:r>
      <w:r>
        <w:rPr/>
        <w:t>las</w:t>
      </w:r>
      <w:r>
        <w:rPr>
          <w:spacing w:val="-7"/>
        </w:rPr>
        <w:t> </w:t>
      </w:r>
      <w:r>
        <w:rPr/>
        <w:t>pruebas complementarias, permite la detección temprana de alteraciones subclínicas tales como disfunciones cardíacas incipientes o desequilibrios metabólicos, lo cual reduce evidentemente la incidencia de complicaciones perioperatorias (Wringe et al.,</w:t>
      </w:r>
      <w:r>
        <w:rPr>
          <w:spacing w:val="-15"/>
        </w:rPr>
        <w:t> </w:t>
      </w:r>
      <w:r>
        <w:rPr/>
        <w:t>2025).</w:t>
      </w:r>
      <w:r>
        <w:rPr>
          <w:spacing w:val="28"/>
        </w:rPr>
        <w:t> </w:t>
      </w:r>
      <w:r>
        <w:rPr/>
        <w:t>El</w:t>
      </w:r>
      <w:r>
        <w:rPr>
          <w:spacing w:val="-11"/>
        </w:rPr>
        <w:t> </w:t>
      </w:r>
      <w:r>
        <w:rPr/>
        <w:t>sistema</w:t>
      </w:r>
      <w:r>
        <w:rPr>
          <w:spacing w:val="-11"/>
        </w:rPr>
        <w:t> </w:t>
      </w:r>
      <w:r>
        <w:rPr/>
        <w:t>de</w:t>
      </w:r>
      <w:r>
        <w:rPr>
          <w:spacing w:val="-11"/>
        </w:rPr>
        <w:t> </w:t>
      </w:r>
      <w:r>
        <w:rPr/>
        <w:t>clasificación</w:t>
      </w:r>
      <w:r>
        <w:rPr>
          <w:spacing w:val="-15"/>
        </w:rPr>
        <w:t> </w:t>
      </w:r>
      <w:r>
        <w:rPr/>
        <w:t>ASA</w:t>
      </w:r>
      <w:r>
        <w:rPr>
          <w:spacing w:val="-15"/>
        </w:rPr>
        <w:t> </w:t>
      </w:r>
      <w:r>
        <w:rPr/>
        <w:t>continúa</w:t>
      </w:r>
      <w:r>
        <w:rPr>
          <w:spacing w:val="-10"/>
        </w:rPr>
        <w:t> </w:t>
      </w:r>
      <w:r>
        <w:rPr/>
        <w:t>siendo</w:t>
      </w:r>
      <w:r>
        <w:rPr>
          <w:spacing w:val="-12"/>
        </w:rPr>
        <w:t> </w:t>
      </w:r>
      <w:r>
        <w:rPr/>
        <w:t>la</w:t>
      </w:r>
      <w:r>
        <w:rPr>
          <w:spacing w:val="-11"/>
        </w:rPr>
        <w:t> </w:t>
      </w:r>
      <w:r>
        <w:rPr/>
        <w:t>herramienta</w:t>
      </w:r>
      <w:r>
        <w:rPr>
          <w:spacing w:val="-11"/>
        </w:rPr>
        <w:t> </w:t>
      </w:r>
      <w:r>
        <w:rPr/>
        <w:t>estándar para la estratificación del riesgo, aunque las investigaciones actuales recomiendan complementarlo con parámetros clínicos y diagnósticos objetivos con el fin de anticipar alteraciones hemodinámicas de manera más precisa (Cañón</w:t>
      </w:r>
      <w:r>
        <w:rPr>
          <w:spacing w:val="-2"/>
        </w:rPr>
        <w:t> </w:t>
      </w:r>
      <w:r>
        <w:rPr/>
        <w:t>et al., 2025). La evaluación preanestésica constituye una herramienta clínica estratégica indispensable, y no un simple procedimiento rutinario. Su correcta aplicación permite individualizar el protocolo, anticipar desequilibrios fisiológicos y fundamentar</w:t>
      </w:r>
      <w:r>
        <w:rPr>
          <w:spacing w:val="-10"/>
        </w:rPr>
        <w:t> </w:t>
      </w:r>
      <w:r>
        <w:rPr/>
        <w:t>la</w:t>
      </w:r>
      <w:r>
        <w:rPr>
          <w:spacing w:val="-9"/>
        </w:rPr>
        <w:t> </w:t>
      </w:r>
      <w:r>
        <w:rPr/>
        <w:t>toma</w:t>
      </w:r>
      <w:r>
        <w:rPr>
          <w:spacing w:val="-9"/>
        </w:rPr>
        <w:t> </w:t>
      </w:r>
      <w:r>
        <w:rPr/>
        <w:t>de</w:t>
      </w:r>
      <w:r>
        <w:rPr>
          <w:spacing w:val="-9"/>
        </w:rPr>
        <w:t> </w:t>
      </w:r>
      <w:r>
        <w:rPr/>
        <w:t>decisiones</w:t>
      </w:r>
      <w:r>
        <w:rPr>
          <w:spacing w:val="-12"/>
        </w:rPr>
        <w:t> </w:t>
      </w:r>
      <w:r>
        <w:rPr/>
        <w:t>para</w:t>
      </w:r>
      <w:r>
        <w:rPr>
          <w:spacing w:val="-9"/>
        </w:rPr>
        <w:t> </w:t>
      </w:r>
      <w:r>
        <w:rPr/>
        <w:t>optimizar</w:t>
      </w:r>
      <w:r>
        <w:rPr>
          <w:spacing w:val="-10"/>
        </w:rPr>
        <w:t> </w:t>
      </w:r>
      <w:r>
        <w:rPr/>
        <w:t>la</w:t>
      </w:r>
      <w:r>
        <w:rPr>
          <w:spacing w:val="-9"/>
        </w:rPr>
        <w:t> </w:t>
      </w:r>
      <w:r>
        <w:rPr/>
        <w:t>estabilidad</w:t>
      </w:r>
      <w:r>
        <w:rPr>
          <w:spacing w:val="-10"/>
        </w:rPr>
        <w:t> </w:t>
      </w:r>
      <w:r>
        <w:rPr/>
        <w:t>hemodinámica</w:t>
      </w:r>
      <w:r>
        <w:rPr>
          <w:spacing w:val="-9"/>
        </w:rPr>
        <w:t> </w:t>
      </w:r>
      <w:r>
        <w:rPr/>
        <w:t>y</w:t>
      </w:r>
      <w:r>
        <w:rPr>
          <w:spacing w:val="-10"/>
        </w:rPr>
        <w:t> </w:t>
      </w:r>
      <w:r>
        <w:rPr/>
        <w:t>el bienestar del paciente.</w:t>
      </w:r>
    </w:p>
    <w:p>
      <w:pPr>
        <w:pStyle w:val="Heading3"/>
        <w:numPr>
          <w:ilvl w:val="1"/>
          <w:numId w:val="8"/>
        </w:numPr>
        <w:tabs>
          <w:tab w:pos="1144" w:val="left" w:leader="none"/>
        </w:tabs>
        <w:spacing w:line="240" w:lineRule="auto" w:before="163" w:after="0"/>
        <w:ind w:left="1144" w:right="0" w:hanging="576"/>
        <w:jc w:val="both"/>
      </w:pPr>
      <w:bookmarkStart w:name="_bookmark14" w:id="15"/>
      <w:bookmarkEnd w:id="15"/>
      <w:r>
        <w:rPr>
          <w:b w:val="0"/>
        </w:rPr>
      </w:r>
      <w:r>
        <w:rPr/>
        <w:t>Fisiología</w:t>
      </w:r>
      <w:r>
        <w:rPr>
          <w:spacing w:val="3"/>
        </w:rPr>
        <w:t> </w:t>
      </w:r>
      <w:r>
        <w:rPr>
          <w:spacing w:val="-2"/>
        </w:rPr>
        <w:t>hemodinámica</w:t>
      </w:r>
    </w:p>
    <w:p>
      <w:pPr>
        <w:pStyle w:val="BodyText"/>
        <w:spacing w:before="239"/>
        <w:rPr>
          <w:b/>
        </w:rPr>
      </w:pPr>
    </w:p>
    <w:p>
      <w:pPr>
        <w:pStyle w:val="BodyText"/>
        <w:spacing w:line="480" w:lineRule="auto" w:before="1"/>
        <w:ind w:left="568" w:right="145"/>
        <w:jc w:val="both"/>
      </w:pPr>
      <w:r>
        <w:rPr>
          <w:color w:val="0D0D0D"/>
        </w:rPr>
        <w:t>El</w:t>
      </w:r>
      <w:r>
        <w:rPr>
          <w:color w:val="0D0D0D"/>
          <w:spacing w:val="-11"/>
        </w:rPr>
        <w:t> </w:t>
      </w:r>
      <w:r>
        <w:rPr>
          <w:color w:val="0D0D0D"/>
        </w:rPr>
        <w:t>sistema</w:t>
      </w:r>
      <w:r>
        <w:rPr>
          <w:color w:val="0D0D0D"/>
          <w:spacing w:val="-11"/>
        </w:rPr>
        <w:t> </w:t>
      </w:r>
      <w:r>
        <w:rPr>
          <w:color w:val="0D0D0D"/>
        </w:rPr>
        <w:t>cardiovascular</w:t>
      </w:r>
      <w:r>
        <w:rPr>
          <w:color w:val="0D0D0D"/>
          <w:spacing w:val="-15"/>
        </w:rPr>
        <w:t> </w:t>
      </w:r>
      <w:r>
        <w:rPr>
          <w:color w:val="0D0D0D"/>
        </w:rPr>
        <w:t>en</w:t>
      </w:r>
      <w:r>
        <w:rPr>
          <w:color w:val="0D0D0D"/>
          <w:spacing w:val="-12"/>
        </w:rPr>
        <w:t> </w:t>
      </w:r>
      <w:r>
        <w:rPr>
          <w:color w:val="0D0D0D"/>
        </w:rPr>
        <w:t>caninos</w:t>
      </w:r>
      <w:r>
        <w:rPr>
          <w:color w:val="0D0D0D"/>
          <w:spacing w:val="-14"/>
        </w:rPr>
        <w:t> </w:t>
      </w:r>
      <w:r>
        <w:rPr>
          <w:color w:val="0D0D0D"/>
        </w:rPr>
        <w:t>mantiene</w:t>
      </w:r>
      <w:r>
        <w:rPr>
          <w:color w:val="0D0D0D"/>
          <w:spacing w:val="-15"/>
        </w:rPr>
        <w:t> </w:t>
      </w:r>
      <w:r>
        <w:rPr>
          <w:color w:val="0D0D0D"/>
        </w:rPr>
        <w:t>el</w:t>
      </w:r>
      <w:r>
        <w:rPr>
          <w:color w:val="0D0D0D"/>
          <w:spacing w:val="-11"/>
        </w:rPr>
        <w:t> </w:t>
      </w:r>
      <w:r>
        <w:rPr>
          <w:color w:val="0D0D0D"/>
        </w:rPr>
        <w:t>transporte</w:t>
      </w:r>
      <w:r>
        <w:rPr>
          <w:color w:val="0D0D0D"/>
          <w:spacing w:val="-11"/>
        </w:rPr>
        <w:t> </w:t>
      </w:r>
      <w:r>
        <w:rPr>
          <w:color w:val="0D0D0D"/>
        </w:rPr>
        <w:t>de</w:t>
      </w:r>
      <w:r>
        <w:rPr>
          <w:color w:val="0D0D0D"/>
          <w:spacing w:val="-11"/>
        </w:rPr>
        <w:t> </w:t>
      </w:r>
      <w:r>
        <w:rPr>
          <w:color w:val="0D0D0D"/>
        </w:rPr>
        <w:t>oxígeno</w:t>
      </w:r>
      <w:r>
        <w:rPr>
          <w:color w:val="0D0D0D"/>
          <w:spacing w:val="-15"/>
        </w:rPr>
        <w:t> </w:t>
      </w:r>
      <w:r>
        <w:rPr>
          <w:color w:val="0D0D0D"/>
        </w:rPr>
        <w:t>y</w:t>
      </w:r>
      <w:r>
        <w:rPr>
          <w:color w:val="0D0D0D"/>
          <w:spacing w:val="-12"/>
        </w:rPr>
        <w:t> </w:t>
      </w:r>
      <w:r>
        <w:rPr>
          <w:color w:val="0D0D0D"/>
        </w:rPr>
        <w:t>nutrientes hacia los tejidos, además de la eliminación de desechos metabólicos, mediante la regulación</w:t>
      </w:r>
      <w:r>
        <w:rPr>
          <w:color w:val="0D0D0D"/>
          <w:spacing w:val="1"/>
        </w:rPr>
        <w:t> </w:t>
      </w:r>
      <w:r>
        <w:rPr>
          <w:color w:val="0D0D0D"/>
        </w:rPr>
        <w:t>del</w:t>
      </w:r>
      <w:r>
        <w:rPr>
          <w:color w:val="0D0D0D"/>
          <w:spacing w:val="3"/>
        </w:rPr>
        <w:t> </w:t>
      </w:r>
      <w:r>
        <w:rPr>
          <w:color w:val="0D0D0D"/>
        </w:rPr>
        <w:t>gasto</w:t>
      </w:r>
      <w:r>
        <w:rPr>
          <w:color w:val="0D0D0D"/>
          <w:spacing w:val="1"/>
        </w:rPr>
        <w:t> </w:t>
      </w:r>
      <w:r>
        <w:rPr>
          <w:color w:val="0D0D0D"/>
        </w:rPr>
        <w:t>cardíaco</w:t>
      </w:r>
      <w:r>
        <w:rPr>
          <w:color w:val="0D0D0D"/>
          <w:spacing w:val="2"/>
        </w:rPr>
        <w:t> </w:t>
      </w:r>
      <w:r>
        <w:rPr>
          <w:color w:val="0D0D0D"/>
        </w:rPr>
        <w:t>y</w:t>
      </w:r>
      <w:r>
        <w:rPr>
          <w:color w:val="0D0D0D"/>
          <w:spacing w:val="2"/>
        </w:rPr>
        <w:t> </w:t>
      </w:r>
      <w:r>
        <w:rPr>
          <w:color w:val="0D0D0D"/>
        </w:rPr>
        <w:t>la</w:t>
      </w:r>
      <w:r>
        <w:rPr>
          <w:color w:val="0D0D0D"/>
          <w:spacing w:val="3"/>
        </w:rPr>
        <w:t> </w:t>
      </w:r>
      <w:r>
        <w:rPr>
          <w:color w:val="0D0D0D"/>
        </w:rPr>
        <w:t>presión</w:t>
      </w:r>
      <w:r>
        <w:rPr>
          <w:color w:val="0D0D0D"/>
          <w:spacing w:val="-1"/>
        </w:rPr>
        <w:t> </w:t>
      </w:r>
      <w:r>
        <w:rPr>
          <w:color w:val="0D0D0D"/>
        </w:rPr>
        <w:t>arterial.</w:t>
      </w:r>
      <w:r>
        <w:rPr>
          <w:color w:val="0D0D0D"/>
          <w:spacing w:val="1"/>
        </w:rPr>
        <w:t> </w:t>
      </w:r>
      <w:r>
        <w:rPr>
          <w:color w:val="0D0D0D"/>
        </w:rPr>
        <w:t>Para</w:t>
      </w:r>
      <w:r>
        <w:rPr>
          <w:color w:val="0D0D0D"/>
          <w:spacing w:val="4"/>
        </w:rPr>
        <w:t> </w:t>
      </w:r>
      <w:r>
        <w:rPr>
          <w:color w:val="0D0D0D"/>
        </w:rPr>
        <w:t>evaluar</w:t>
      </w:r>
      <w:r>
        <w:rPr>
          <w:color w:val="0D0D0D"/>
          <w:spacing w:val="-1"/>
        </w:rPr>
        <w:t> </w:t>
      </w:r>
      <w:r>
        <w:rPr>
          <w:color w:val="0D0D0D"/>
        </w:rPr>
        <w:t>la</w:t>
      </w:r>
      <w:r>
        <w:rPr>
          <w:color w:val="0D0D0D"/>
          <w:spacing w:val="3"/>
        </w:rPr>
        <w:t> </w:t>
      </w:r>
      <w:r>
        <w:rPr>
          <w:color w:val="0D0D0D"/>
        </w:rPr>
        <w:t>estabilidad</w:t>
      </w:r>
      <w:r>
        <w:rPr>
          <w:color w:val="0D0D0D"/>
          <w:spacing w:val="2"/>
        </w:rPr>
        <w:t> </w:t>
      </w:r>
      <w:r>
        <w:rPr>
          <w:color w:val="0D0D0D"/>
        </w:rPr>
        <w:t>de</w:t>
      </w:r>
      <w:r>
        <w:rPr>
          <w:color w:val="0D0D0D"/>
          <w:spacing w:val="4"/>
        </w:rPr>
        <w:t> </w:t>
      </w:r>
      <w:r>
        <w:rPr>
          <w:color w:val="0D0D0D"/>
          <w:spacing w:val="-5"/>
        </w:rPr>
        <w:t>la</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5"/>
        <w:jc w:val="both"/>
      </w:pPr>
      <w:r>
        <w:rPr>
          <w:color w:val="0D0D0D"/>
        </w:rPr>
        <w:t>perfusión y oxigenación tisular en el periodo perianestésico, los parámetros más importantes son la frecuencia cardiaca (FC), la presión arterial sistólica (PAS), diastólica</w:t>
      </w:r>
      <w:r>
        <w:rPr>
          <w:color w:val="0D0D0D"/>
          <w:spacing w:val="-10"/>
        </w:rPr>
        <w:t> </w:t>
      </w:r>
      <w:r>
        <w:rPr>
          <w:color w:val="0D0D0D"/>
        </w:rPr>
        <w:t>(PAD)</w:t>
      </w:r>
      <w:r>
        <w:rPr>
          <w:color w:val="0D0D0D"/>
          <w:spacing w:val="-11"/>
        </w:rPr>
        <w:t> </w:t>
      </w:r>
      <w:r>
        <w:rPr>
          <w:color w:val="0D0D0D"/>
        </w:rPr>
        <w:t>y</w:t>
      </w:r>
      <w:r>
        <w:rPr>
          <w:color w:val="0D0D0D"/>
          <w:spacing w:val="-12"/>
        </w:rPr>
        <w:t> </w:t>
      </w:r>
      <w:r>
        <w:rPr>
          <w:color w:val="0D0D0D"/>
        </w:rPr>
        <w:t>media</w:t>
      </w:r>
      <w:r>
        <w:rPr>
          <w:color w:val="0D0D0D"/>
          <w:spacing w:val="-10"/>
        </w:rPr>
        <w:t> </w:t>
      </w:r>
      <w:r>
        <w:rPr>
          <w:color w:val="0D0D0D"/>
        </w:rPr>
        <w:t>(PAM),</w:t>
      </w:r>
      <w:r>
        <w:rPr>
          <w:color w:val="0D0D0D"/>
          <w:spacing w:val="-11"/>
        </w:rPr>
        <w:t> </w:t>
      </w:r>
      <w:r>
        <w:rPr>
          <w:color w:val="0D0D0D"/>
        </w:rPr>
        <w:t>junto</w:t>
      </w:r>
      <w:r>
        <w:rPr>
          <w:color w:val="0D0D0D"/>
          <w:spacing w:val="-14"/>
        </w:rPr>
        <w:t> </w:t>
      </w:r>
      <w:r>
        <w:rPr>
          <w:color w:val="0D0D0D"/>
        </w:rPr>
        <w:t>a</w:t>
      </w:r>
      <w:r>
        <w:rPr>
          <w:color w:val="0D0D0D"/>
          <w:spacing w:val="-10"/>
        </w:rPr>
        <w:t> </w:t>
      </w:r>
      <w:r>
        <w:rPr>
          <w:color w:val="0D0D0D"/>
        </w:rPr>
        <w:t>la</w:t>
      </w:r>
      <w:r>
        <w:rPr>
          <w:color w:val="0D0D0D"/>
          <w:spacing w:val="-10"/>
        </w:rPr>
        <w:t> </w:t>
      </w:r>
      <w:r>
        <w:rPr>
          <w:color w:val="0D0D0D"/>
        </w:rPr>
        <w:t>saturación</w:t>
      </w:r>
      <w:r>
        <w:rPr>
          <w:color w:val="0D0D0D"/>
          <w:spacing w:val="-12"/>
        </w:rPr>
        <w:t> </w:t>
      </w:r>
      <w:r>
        <w:rPr>
          <w:color w:val="0D0D0D"/>
        </w:rPr>
        <w:t>de</w:t>
      </w:r>
      <w:r>
        <w:rPr>
          <w:color w:val="0D0D0D"/>
          <w:spacing w:val="-10"/>
        </w:rPr>
        <w:t> </w:t>
      </w:r>
      <w:r>
        <w:rPr>
          <w:color w:val="0D0D0D"/>
        </w:rPr>
        <w:t>oxígeno</w:t>
      </w:r>
      <w:r>
        <w:rPr>
          <w:color w:val="0D0D0D"/>
          <w:spacing w:val="-12"/>
        </w:rPr>
        <w:t> </w:t>
      </w:r>
      <w:r>
        <w:rPr>
          <w:color w:val="0D0D0D"/>
        </w:rPr>
        <w:t>(SpO</w:t>
      </w:r>
      <w:r>
        <w:rPr>
          <w:color w:val="0D0D0D"/>
          <w:vertAlign w:val="subscript"/>
        </w:rPr>
        <w:t>2</w:t>
      </w:r>
      <w:r>
        <w:rPr>
          <w:color w:val="0D0D0D"/>
          <w:vertAlign w:val="baseline"/>
        </w:rPr>
        <w:t>)</w:t>
      </w:r>
      <w:r>
        <w:rPr>
          <w:color w:val="0D0D0D"/>
          <w:spacing w:val="-11"/>
          <w:vertAlign w:val="baseline"/>
        </w:rPr>
        <w:t> </w:t>
      </w:r>
      <w:r>
        <w:rPr>
          <w:color w:val="0D0D0D"/>
          <w:vertAlign w:val="baseline"/>
        </w:rPr>
        <w:t>(Sánchez et al., 2023). La inducción, así como el mantenimiento anestésico alteran el equilibrio entre demanda y suministro de oxígeno debido a factores como la depresión de la contractilidad miocárdica, la vasodilatación, o la alteración del control autonómico. Estudios clínicos han demostrado que inductores como el propofol y el alfaxalone tienen perfiles hemodinámicos distintos, esto genera variaciones inmediatas tanto en la PAM como en la FC que impactan la perfusión sistémica (Sarotti et al., 2024). Las combinaciones anestésicas de este tipo son capaces de provocar una vasodilatación dependiente de la dosis o caídas en la resistencia vascular sistémica. El ajuste minucioso de los fármacos durante la inducción anestésica es importante porque previene episodios de hipotensión significativa,</w:t>
      </w:r>
      <w:r>
        <w:rPr>
          <w:color w:val="0D0D0D"/>
          <w:spacing w:val="-5"/>
          <w:vertAlign w:val="baseline"/>
        </w:rPr>
        <w:t> </w:t>
      </w:r>
      <w:r>
        <w:rPr>
          <w:color w:val="0D0D0D"/>
          <w:vertAlign w:val="baseline"/>
        </w:rPr>
        <w:t>por</w:t>
      </w:r>
      <w:r>
        <w:rPr>
          <w:color w:val="0D0D0D"/>
          <w:spacing w:val="-7"/>
          <w:vertAlign w:val="baseline"/>
        </w:rPr>
        <w:t> </w:t>
      </w:r>
      <w:r>
        <w:rPr>
          <w:color w:val="0D0D0D"/>
          <w:vertAlign w:val="baseline"/>
        </w:rPr>
        <w:t>lo</w:t>
      </w:r>
      <w:r>
        <w:rPr>
          <w:color w:val="0D0D0D"/>
          <w:spacing w:val="-8"/>
          <w:vertAlign w:val="baseline"/>
        </w:rPr>
        <w:t> </w:t>
      </w:r>
      <w:r>
        <w:rPr>
          <w:color w:val="0D0D0D"/>
          <w:vertAlign w:val="baseline"/>
        </w:rPr>
        <w:t>cual</w:t>
      </w:r>
      <w:r>
        <w:rPr>
          <w:color w:val="0D0D0D"/>
          <w:spacing w:val="-7"/>
          <w:vertAlign w:val="baseline"/>
        </w:rPr>
        <w:t> </w:t>
      </w:r>
      <w:r>
        <w:rPr>
          <w:color w:val="0D0D0D"/>
          <w:vertAlign w:val="baseline"/>
        </w:rPr>
        <w:t>el</w:t>
      </w:r>
      <w:r>
        <w:rPr>
          <w:color w:val="0D0D0D"/>
          <w:spacing w:val="-7"/>
          <w:vertAlign w:val="baseline"/>
        </w:rPr>
        <w:t> </w:t>
      </w:r>
      <w:r>
        <w:rPr>
          <w:color w:val="0D0D0D"/>
          <w:vertAlign w:val="baseline"/>
        </w:rPr>
        <w:t>monitoreo</w:t>
      </w:r>
      <w:r>
        <w:rPr>
          <w:color w:val="0D0D0D"/>
          <w:spacing w:val="-4"/>
          <w:vertAlign w:val="baseline"/>
        </w:rPr>
        <w:t> </w:t>
      </w:r>
      <w:r>
        <w:rPr>
          <w:color w:val="0D0D0D"/>
          <w:vertAlign w:val="baseline"/>
        </w:rPr>
        <w:t>continuo</w:t>
      </w:r>
      <w:r>
        <w:rPr>
          <w:color w:val="0D0D0D"/>
          <w:spacing w:val="-8"/>
          <w:vertAlign w:val="baseline"/>
        </w:rPr>
        <w:t> </w:t>
      </w:r>
      <w:r>
        <w:rPr>
          <w:color w:val="0D0D0D"/>
          <w:vertAlign w:val="baseline"/>
        </w:rPr>
        <w:t>es</w:t>
      </w:r>
      <w:r>
        <w:rPr>
          <w:color w:val="0D0D0D"/>
          <w:spacing w:val="-8"/>
          <w:vertAlign w:val="baseline"/>
        </w:rPr>
        <w:t> </w:t>
      </w:r>
      <w:r>
        <w:rPr>
          <w:color w:val="0D0D0D"/>
          <w:vertAlign w:val="baseline"/>
        </w:rPr>
        <w:t>indispensable</w:t>
      </w:r>
      <w:r>
        <w:rPr>
          <w:color w:val="0D0D0D"/>
          <w:spacing w:val="-4"/>
          <w:vertAlign w:val="baseline"/>
        </w:rPr>
        <w:t> </w:t>
      </w:r>
      <w:r>
        <w:rPr>
          <w:color w:val="0D0D0D"/>
          <w:vertAlign w:val="baseline"/>
        </w:rPr>
        <w:t>para</w:t>
      </w:r>
      <w:r>
        <w:rPr>
          <w:color w:val="0D0D0D"/>
          <w:spacing w:val="-6"/>
          <w:vertAlign w:val="baseline"/>
        </w:rPr>
        <w:t> </w:t>
      </w:r>
      <w:r>
        <w:rPr>
          <w:color w:val="0D0D0D"/>
          <w:vertAlign w:val="baseline"/>
        </w:rPr>
        <w:t>una</w:t>
      </w:r>
      <w:r>
        <w:rPr>
          <w:color w:val="0D0D0D"/>
          <w:spacing w:val="-5"/>
          <w:vertAlign w:val="baseline"/>
        </w:rPr>
        <w:t> </w:t>
      </w:r>
      <w:r>
        <w:rPr>
          <w:color w:val="0D0D0D"/>
          <w:vertAlign w:val="baseline"/>
        </w:rPr>
        <w:t>respuesta a tiempo (Beck et al., 2025). La comprensión de estos mecanismos es de gran importancia ya que las respuestas hemodinámicas varían según el individuo, la técnica, así como el estado basal. En pacientes geriátricos o cardiópatas, estas alteraciones elevan drásticamente el riesgo de complicaciones perioperatorias, lo que obliga a implementar estrategias de soporte hemodinámico personalizadas.</w:t>
      </w:r>
    </w:p>
    <w:p>
      <w:pPr>
        <w:pStyle w:val="Heading3"/>
        <w:numPr>
          <w:ilvl w:val="2"/>
          <w:numId w:val="8"/>
        </w:numPr>
        <w:tabs>
          <w:tab w:pos="1288" w:val="left" w:leader="none"/>
        </w:tabs>
        <w:spacing w:line="240" w:lineRule="auto" w:before="4" w:after="0"/>
        <w:ind w:left="1288" w:right="0" w:hanging="720"/>
        <w:jc w:val="both"/>
      </w:pPr>
      <w:bookmarkStart w:name="_bookmark15" w:id="16"/>
      <w:bookmarkEnd w:id="16"/>
      <w:r>
        <w:rPr>
          <w:b w:val="0"/>
        </w:rPr>
      </w:r>
      <w:r>
        <w:rPr>
          <w:color w:val="0D0D0D"/>
        </w:rPr>
        <w:t>Anatomía</w:t>
      </w:r>
      <w:r>
        <w:rPr>
          <w:color w:val="0D0D0D"/>
          <w:spacing w:val="-3"/>
        </w:rPr>
        <w:t> </w:t>
      </w:r>
      <w:r>
        <w:rPr>
          <w:color w:val="0D0D0D"/>
        </w:rPr>
        <w:t>y</w:t>
      </w:r>
      <w:r>
        <w:rPr>
          <w:color w:val="0D0D0D"/>
          <w:spacing w:val="-3"/>
        </w:rPr>
        <w:t> </w:t>
      </w:r>
      <w:r>
        <w:rPr>
          <w:color w:val="0D0D0D"/>
        </w:rPr>
        <w:t>fisiología</w:t>
      </w:r>
      <w:r>
        <w:rPr>
          <w:color w:val="0D0D0D"/>
          <w:spacing w:val="-3"/>
        </w:rPr>
        <w:t> </w:t>
      </w:r>
      <w:r>
        <w:rPr>
          <w:color w:val="0D0D0D"/>
        </w:rPr>
        <w:t>del</w:t>
      </w:r>
      <w:r>
        <w:rPr>
          <w:color w:val="0D0D0D"/>
          <w:spacing w:val="-2"/>
        </w:rPr>
        <w:t> </w:t>
      </w:r>
      <w:r>
        <w:rPr>
          <w:color w:val="0D0D0D"/>
        </w:rPr>
        <w:t>sistema</w:t>
      </w:r>
      <w:r>
        <w:rPr>
          <w:color w:val="0D0D0D"/>
          <w:spacing w:val="-3"/>
        </w:rPr>
        <w:t> </w:t>
      </w:r>
      <w:r>
        <w:rPr>
          <w:color w:val="0D0D0D"/>
        </w:rPr>
        <w:t>cardiovascular</w:t>
      </w:r>
      <w:r>
        <w:rPr>
          <w:color w:val="0D0D0D"/>
          <w:spacing w:val="-5"/>
        </w:rPr>
        <w:t> </w:t>
      </w:r>
      <w:r>
        <w:rPr>
          <w:color w:val="0D0D0D"/>
          <w:spacing w:val="-2"/>
        </w:rPr>
        <w:t>canino</w:t>
      </w:r>
    </w:p>
    <w:p>
      <w:pPr>
        <w:pStyle w:val="BodyText"/>
        <w:spacing w:before="239"/>
        <w:rPr>
          <w:b/>
        </w:rPr>
      </w:pPr>
    </w:p>
    <w:p>
      <w:pPr>
        <w:pStyle w:val="BodyText"/>
        <w:spacing w:line="480" w:lineRule="auto" w:before="1"/>
        <w:ind w:left="568" w:right="147"/>
        <w:jc w:val="both"/>
      </w:pPr>
      <w:r>
        <w:rPr>
          <w:color w:val="0D0D0D"/>
        </w:rPr>
        <w:t>El sistema vascular del canino</w:t>
      </w:r>
      <w:r>
        <w:rPr>
          <w:color w:val="0D0D0D"/>
          <w:spacing w:val="-2"/>
        </w:rPr>
        <w:t> </w:t>
      </w:r>
      <w:r>
        <w:rPr>
          <w:color w:val="0D0D0D"/>
        </w:rPr>
        <w:t>está constituido por el corazón y una red jerárquica de vasos arteriales, venosos y capilares que aseguran la distribución de oxígeno y nutrientes, así como</w:t>
      </w:r>
      <w:r>
        <w:rPr>
          <w:color w:val="0D0D0D"/>
          <w:spacing w:val="-1"/>
        </w:rPr>
        <w:t> </w:t>
      </w:r>
      <w:r>
        <w:rPr>
          <w:color w:val="0D0D0D"/>
        </w:rPr>
        <w:t>la remoción de desechos metabólicos. El corazón</w:t>
      </w:r>
      <w:r>
        <w:rPr>
          <w:color w:val="0D0D0D"/>
          <w:spacing w:val="-1"/>
        </w:rPr>
        <w:t> </w:t>
      </w:r>
      <w:r>
        <w:rPr>
          <w:color w:val="0D0D0D"/>
        </w:rPr>
        <w:t>actúa como una</w:t>
      </w:r>
      <w:r>
        <w:rPr>
          <w:color w:val="0D0D0D"/>
          <w:spacing w:val="16"/>
        </w:rPr>
        <w:t> </w:t>
      </w:r>
      <w:r>
        <w:rPr>
          <w:color w:val="0D0D0D"/>
        </w:rPr>
        <w:t>bomba</w:t>
      </w:r>
      <w:r>
        <w:rPr>
          <w:color w:val="0D0D0D"/>
          <w:spacing w:val="21"/>
        </w:rPr>
        <w:t> </w:t>
      </w:r>
      <w:r>
        <w:rPr>
          <w:color w:val="0D0D0D"/>
        </w:rPr>
        <w:t>muscular</w:t>
      </w:r>
      <w:r>
        <w:rPr>
          <w:color w:val="0D0D0D"/>
          <w:spacing w:val="18"/>
        </w:rPr>
        <w:t> </w:t>
      </w:r>
      <w:r>
        <w:rPr>
          <w:color w:val="0D0D0D"/>
        </w:rPr>
        <w:t>de</w:t>
      </w:r>
      <w:r>
        <w:rPr>
          <w:color w:val="0D0D0D"/>
          <w:spacing w:val="19"/>
        </w:rPr>
        <w:t> </w:t>
      </w:r>
      <w:r>
        <w:rPr>
          <w:color w:val="0D0D0D"/>
        </w:rPr>
        <w:t>cuatro</w:t>
      </w:r>
      <w:r>
        <w:rPr>
          <w:color w:val="0D0D0D"/>
          <w:spacing w:val="18"/>
        </w:rPr>
        <w:t> </w:t>
      </w:r>
      <w:r>
        <w:rPr>
          <w:color w:val="0D0D0D"/>
        </w:rPr>
        <w:t>cámaras</w:t>
      </w:r>
      <w:r>
        <w:rPr>
          <w:color w:val="0D0D0D"/>
          <w:spacing w:val="16"/>
        </w:rPr>
        <w:t> </w:t>
      </w:r>
      <w:r>
        <w:rPr>
          <w:color w:val="0D0D0D"/>
        </w:rPr>
        <w:t>cuya</w:t>
      </w:r>
      <w:r>
        <w:rPr>
          <w:color w:val="0D0D0D"/>
          <w:spacing w:val="19"/>
        </w:rPr>
        <w:t> </w:t>
      </w:r>
      <w:r>
        <w:rPr>
          <w:color w:val="0D0D0D"/>
        </w:rPr>
        <w:t>eficiencia</w:t>
      </w:r>
      <w:r>
        <w:rPr>
          <w:color w:val="0D0D0D"/>
          <w:spacing w:val="19"/>
        </w:rPr>
        <w:t> </w:t>
      </w:r>
      <w:r>
        <w:rPr>
          <w:color w:val="0D0D0D"/>
        </w:rPr>
        <w:t>depende</w:t>
      </w:r>
      <w:r>
        <w:rPr>
          <w:color w:val="0D0D0D"/>
          <w:spacing w:val="19"/>
        </w:rPr>
        <w:t> </w:t>
      </w:r>
      <w:r>
        <w:rPr>
          <w:color w:val="0D0D0D"/>
        </w:rPr>
        <w:t>de</w:t>
      </w:r>
      <w:r>
        <w:rPr>
          <w:color w:val="0D0D0D"/>
          <w:spacing w:val="19"/>
        </w:rPr>
        <w:t> </w:t>
      </w:r>
      <w:r>
        <w:rPr>
          <w:color w:val="0D0D0D"/>
        </w:rPr>
        <w:t>la</w:t>
      </w:r>
      <w:r>
        <w:rPr>
          <w:color w:val="0D0D0D"/>
          <w:spacing w:val="19"/>
        </w:rPr>
        <w:t> </w:t>
      </w:r>
      <w:r>
        <w:rPr>
          <w:color w:val="0D0D0D"/>
          <w:spacing w:val="-2"/>
        </w:rPr>
        <w:t>integridad</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9"/>
        <w:jc w:val="both"/>
      </w:pPr>
      <w:r>
        <w:rPr>
          <w:color w:val="0D0D0D"/>
        </w:rPr>
        <w:t>del</w:t>
      </w:r>
      <w:r>
        <w:rPr>
          <w:color w:val="0D0D0D"/>
          <w:spacing w:val="-10"/>
        </w:rPr>
        <w:t> </w:t>
      </w:r>
      <w:r>
        <w:rPr>
          <w:color w:val="0D0D0D"/>
        </w:rPr>
        <w:t>miocardio,</w:t>
      </w:r>
      <w:r>
        <w:rPr>
          <w:color w:val="0D0D0D"/>
          <w:spacing w:val="-10"/>
        </w:rPr>
        <w:t> </w:t>
      </w:r>
      <w:r>
        <w:rPr>
          <w:color w:val="0D0D0D"/>
        </w:rPr>
        <w:t>el</w:t>
      </w:r>
      <w:r>
        <w:rPr>
          <w:color w:val="0D0D0D"/>
          <w:spacing w:val="-10"/>
        </w:rPr>
        <w:t> </w:t>
      </w:r>
      <w:r>
        <w:rPr>
          <w:color w:val="0D0D0D"/>
        </w:rPr>
        <w:t>retorno</w:t>
      </w:r>
      <w:r>
        <w:rPr>
          <w:color w:val="0D0D0D"/>
          <w:spacing w:val="-10"/>
        </w:rPr>
        <w:t> </w:t>
      </w:r>
      <w:r>
        <w:rPr>
          <w:color w:val="0D0D0D"/>
        </w:rPr>
        <w:t>venoso</w:t>
      </w:r>
      <w:r>
        <w:rPr>
          <w:color w:val="0D0D0D"/>
          <w:spacing w:val="-10"/>
        </w:rPr>
        <w:t> </w:t>
      </w:r>
      <w:r>
        <w:rPr>
          <w:color w:val="0D0D0D"/>
        </w:rPr>
        <w:t>y</w:t>
      </w:r>
      <w:r>
        <w:rPr>
          <w:color w:val="0D0D0D"/>
          <w:spacing w:val="-10"/>
        </w:rPr>
        <w:t> </w:t>
      </w:r>
      <w:r>
        <w:rPr>
          <w:color w:val="0D0D0D"/>
        </w:rPr>
        <w:t>el</w:t>
      </w:r>
      <w:r>
        <w:rPr>
          <w:color w:val="0D0D0D"/>
          <w:spacing w:val="-10"/>
        </w:rPr>
        <w:t> </w:t>
      </w:r>
      <w:r>
        <w:rPr>
          <w:color w:val="0D0D0D"/>
        </w:rPr>
        <w:t>equilibrio</w:t>
      </w:r>
      <w:r>
        <w:rPr>
          <w:color w:val="0D0D0D"/>
          <w:spacing w:val="-10"/>
        </w:rPr>
        <w:t> </w:t>
      </w:r>
      <w:r>
        <w:rPr>
          <w:color w:val="0D0D0D"/>
        </w:rPr>
        <w:t>entre</w:t>
      </w:r>
      <w:r>
        <w:rPr>
          <w:color w:val="0D0D0D"/>
          <w:spacing w:val="-10"/>
        </w:rPr>
        <w:t> </w:t>
      </w:r>
      <w:r>
        <w:rPr>
          <w:color w:val="0D0D0D"/>
        </w:rPr>
        <w:t>la</w:t>
      </w:r>
      <w:r>
        <w:rPr>
          <w:color w:val="0D0D0D"/>
          <w:spacing w:val="-10"/>
        </w:rPr>
        <w:t> </w:t>
      </w:r>
      <w:r>
        <w:rPr>
          <w:color w:val="0D0D0D"/>
        </w:rPr>
        <w:t>precarga</w:t>
      </w:r>
      <w:r>
        <w:rPr>
          <w:color w:val="0D0D0D"/>
          <w:spacing w:val="-10"/>
        </w:rPr>
        <w:t> </w:t>
      </w:r>
      <w:r>
        <w:rPr>
          <w:color w:val="0D0D0D"/>
        </w:rPr>
        <w:t>y</w:t>
      </w:r>
      <w:r>
        <w:rPr>
          <w:color w:val="0D0D0D"/>
          <w:spacing w:val="-10"/>
        </w:rPr>
        <w:t> </w:t>
      </w:r>
      <w:r>
        <w:rPr>
          <w:color w:val="0D0D0D"/>
        </w:rPr>
        <w:t>la</w:t>
      </w:r>
      <w:r>
        <w:rPr>
          <w:color w:val="0D0D0D"/>
          <w:spacing w:val="-10"/>
        </w:rPr>
        <w:t> </w:t>
      </w:r>
      <w:r>
        <w:rPr>
          <w:color w:val="0D0D0D"/>
        </w:rPr>
        <w:t>poscarga.</w:t>
      </w:r>
      <w:r>
        <w:rPr>
          <w:color w:val="0D0D0D"/>
          <w:spacing w:val="-10"/>
        </w:rPr>
        <w:t> </w:t>
      </w:r>
      <w:r>
        <w:rPr>
          <w:color w:val="0D0D0D"/>
        </w:rPr>
        <w:t>Esta función es modulada por mecanismos neuro humorales y el sistema nervioso autónomo,</w:t>
      </w:r>
      <w:r>
        <w:rPr>
          <w:color w:val="0D0D0D"/>
          <w:spacing w:val="-15"/>
        </w:rPr>
        <w:t> </w:t>
      </w:r>
      <w:r>
        <w:rPr>
          <w:color w:val="0D0D0D"/>
        </w:rPr>
        <w:t>los</w:t>
      </w:r>
      <w:r>
        <w:rPr>
          <w:color w:val="0D0D0D"/>
          <w:spacing w:val="-15"/>
        </w:rPr>
        <w:t> </w:t>
      </w:r>
      <w:r>
        <w:rPr>
          <w:color w:val="0D0D0D"/>
        </w:rPr>
        <w:t>cuales</w:t>
      </w:r>
      <w:r>
        <w:rPr>
          <w:color w:val="0D0D0D"/>
          <w:spacing w:val="-15"/>
        </w:rPr>
        <w:t> </w:t>
      </w:r>
      <w:r>
        <w:rPr>
          <w:color w:val="0D0D0D"/>
        </w:rPr>
        <w:t>ajustan</w:t>
      </w:r>
      <w:r>
        <w:rPr>
          <w:color w:val="0D0D0D"/>
          <w:spacing w:val="-15"/>
        </w:rPr>
        <w:t> </w:t>
      </w:r>
      <w:r>
        <w:rPr>
          <w:color w:val="0D0D0D"/>
        </w:rPr>
        <w:t>la</w:t>
      </w:r>
      <w:r>
        <w:rPr>
          <w:color w:val="0D0D0D"/>
          <w:spacing w:val="-15"/>
        </w:rPr>
        <w:t> </w:t>
      </w:r>
      <w:r>
        <w:rPr>
          <w:color w:val="0D0D0D"/>
        </w:rPr>
        <w:t>frecuencia</w:t>
      </w:r>
      <w:r>
        <w:rPr>
          <w:color w:val="0D0D0D"/>
          <w:spacing w:val="-15"/>
        </w:rPr>
        <w:t> </w:t>
      </w:r>
      <w:r>
        <w:rPr>
          <w:color w:val="0D0D0D"/>
        </w:rPr>
        <w:t>cardíaca</w:t>
      </w:r>
      <w:r>
        <w:rPr>
          <w:color w:val="0D0D0D"/>
          <w:spacing w:val="-11"/>
        </w:rPr>
        <w:t> </w:t>
      </w:r>
      <w:r>
        <w:rPr>
          <w:color w:val="0D0D0D"/>
        </w:rPr>
        <w:t>y</w:t>
      </w:r>
      <w:r>
        <w:rPr>
          <w:color w:val="0D0D0D"/>
          <w:spacing w:val="-13"/>
        </w:rPr>
        <w:t> </w:t>
      </w:r>
      <w:r>
        <w:rPr>
          <w:color w:val="0D0D0D"/>
        </w:rPr>
        <w:t>la</w:t>
      </w:r>
      <w:r>
        <w:rPr>
          <w:color w:val="0D0D0D"/>
          <w:spacing w:val="-12"/>
        </w:rPr>
        <w:t> </w:t>
      </w:r>
      <w:r>
        <w:rPr>
          <w:color w:val="0D0D0D"/>
        </w:rPr>
        <w:t>fuerza</w:t>
      </w:r>
      <w:r>
        <w:rPr>
          <w:color w:val="0D0D0D"/>
          <w:spacing w:val="-12"/>
        </w:rPr>
        <w:t> </w:t>
      </w:r>
      <w:r>
        <w:rPr>
          <w:color w:val="0D0D0D"/>
        </w:rPr>
        <w:t>de</w:t>
      </w:r>
      <w:r>
        <w:rPr>
          <w:color w:val="0D0D0D"/>
          <w:spacing w:val="-15"/>
        </w:rPr>
        <w:t> </w:t>
      </w:r>
      <w:r>
        <w:rPr>
          <w:color w:val="0D0D0D"/>
        </w:rPr>
        <w:t>contracción</w:t>
      </w:r>
      <w:r>
        <w:rPr>
          <w:color w:val="0D0D0D"/>
          <w:spacing w:val="-13"/>
        </w:rPr>
        <w:t> </w:t>
      </w:r>
      <w:r>
        <w:rPr>
          <w:color w:val="0D0D0D"/>
        </w:rPr>
        <w:t>según las demandas del organismo (Megías et al., 2023).</w:t>
      </w:r>
    </w:p>
    <w:p>
      <w:pPr>
        <w:pStyle w:val="BodyText"/>
        <w:spacing w:line="480" w:lineRule="auto" w:before="241"/>
        <w:ind w:left="568" w:right="137"/>
        <w:jc w:val="both"/>
      </w:pPr>
      <w:r>
        <w:rPr>
          <w:color w:val="0D0D0D"/>
        </w:rPr>
        <w:t>La</w:t>
      </w:r>
      <w:r>
        <w:rPr>
          <w:color w:val="0D0D0D"/>
          <w:spacing w:val="-10"/>
        </w:rPr>
        <w:t> </w:t>
      </w:r>
      <w:r>
        <w:rPr>
          <w:color w:val="0D0D0D"/>
        </w:rPr>
        <w:t>coordinación</w:t>
      </w:r>
      <w:r>
        <w:rPr>
          <w:color w:val="0D0D0D"/>
          <w:spacing w:val="-11"/>
        </w:rPr>
        <w:t> </w:t>
      </w:r>
      <w:r>
        <w:rPr>
          <w:color w:val="0D0D0D"/>
        </w:rPr>
        <w:t>entre</w:t>
      </w:r>
      <w:r>
        <w:rPr>
          <w:color w:val="0D0D0D"/>
          <w:spacing w:val="-14"/>
        </w:rPr>
        <w:t> </w:t>
      </w:r>
      <w:r>
        <w:rPr>
          <w:color w:val="0D0D0D"/>
        </w:rPr>
        <w:t>los</w:t>
      </w:r>
      <w:r>
        <w:rPr>
          <w:color w:val="0D0D0D"/>
          <w:spacing w:val="-13"/>
        </w:rPr>
        <w:t> </w:t>
      </w:r>
      <w:r>
        <w:rPr>
          <w:color w:val="0D0D0D"/>
        </w:rPr>
        <w:t>sistemas</w:t>
      </w:r>
      <w:r>
        <w:rPr>
          <w:color w:val="0D0D0D"/>
          <w:spacing w:val="-11"/>
        </w:rPr>
        <w:t> </w:t>
      </w:r>
      <w:r>
        <w:rPr>
          <w:color w:val="0D0D0D"/>
        </w:rPr>
        <w:t>tanto</w:t>
      </w:r>
      <w:r>
        <w:rPr>
          <w:color w:val="0D0D0D"/>
          <w:spacing w:val="-15"/>
        </w:rPr>
        <w:t> </w:t>
      </w:r>
      <w:r>
        <w:rPr>
          <w:color w:val="0D0D0D"/>
        </w:rPr>
        <w:t>cardiovascular</w:t>
      </w:r>
      <w:r>
        <w:rPr>
          <w:color w:val="0D0D0D"/>
          <w:spacing w:val="-14"/>
        </w:rPr>
        <w:t> </w:t>
      </w:r>
      <w:r>
        <w:rPr>
          <w:color w:val="0D0D0D"/>
        </w:rPr>
        <w:t>como</w:t>
      </w:r>
      <w:r>
        <w:rPr>
          <w:color w:val="0D0D0D"/>
          <w:spacing w:val="-15"/>
        </w:rPr>
        <w:t> </w:t>
      </w:r>
      <w:r>
        <w:rPr>
          <w:color w:val="0D0D0D"/>
        </w:rPr>
        <w:t>respiratorio</w:t>
      </w:r>
      <w:r>
        <w:rPr>
          <w:color w:val="0D0D0D"/>
          <w:spacing w:val="-11"/>
        </w:rPr>
        <w:t> </w:t>
      </w:r>
      <w:r>
        <w:rPr>
          <w:color w:val="0D0D0D"/>
        </w:rPr>
        <w:t>garantiza una oxigenación tisular eficiente; se sabe que en este proceso el gasto cardíaco (producto de la frecuencia cardíaca y el volumen sistólico) es el parámetro central de la regulación hemodinámica, pues sus variaciones modifican directamente la presión arterial, así como la perfusión de los órganos vitales. La comprensión de estos</w:t>
      </w:r>
      <w:r>
        <w:rPr>
          <w:color w:val="0D0D0D"/>
          <w:spacing w:val="-15"/>
        </w:rPr>
        <w:t> </w:t>
      </w:r>
      <w:r>
        <w:rPr>
          <w:color w:val="0D0D0D"/>
        </w:rPr>
        <w:t>mecanismos</w:t>
      </w:r>
      <w:r>
        <w:rPr>
          <w:color w:val="0D0D0D"/>
          <w:spacing w:val="-15"/>
        </w:rPr>
        <w:t> </w:t>
      </w:r>
      <w:r>
        <w:rPr>
          <w:color w:val="0D0D0D"/>
        </w:rPr>
        <w:t>anatómicos</w:t>
      </w:r>
      <w:r>
        <w:rPr>
          <w:color w:val="0D0D0D"/>
          <w:spacing w:val="-15"/>
        </w:rPr>
        <w:t> </w:t>
      </w:r>
      <w:r>
        <w:rPr>
          <w:color w:val="0D0D0D"/>
        </w:rPr>
        <w:t>con</w:t>
      </w:r>
      <w:r>
        <w:rPr>
          <w:color w:val="0D0D0D"/>
          <w:spacing w:val="-15"/>
        </w:rPr>
        <w:t> </w:t>
      </w:r>
      <w:r>
        <w:rPr>
          <w:color w:val="0D0D0D"/>
        </w:rPr>
        <w:t>fisiológicos</w:t>
      </w:r>
      <w:r>
        <w:rPr>
          <w:color w:val="0D0D0D"/>
          <w:spacing w:val="-15"/>
        </w:rPr>
        <w:t> </w:t>
      </w:r>
      <w:r>
        <w:rPr>
          <w:color w:val="0D0D0D"/>
        </w:rPr>
        <w:t>es</w:t>
      </w:r>
      <w:r>
        <w:rPr>
          <w:color w:val="0D0D0D"/>
          <w:spacing w:val="-15"/>
        </w:rPr>
        <w:t> </w:t>
      </w:r>
      <w:r>
        <w:rPr>
          <w:color w:val="0D0D0D"/>
        </w:rPr>
        <w:t>indispensable</w:t>
      </w:r>
      <w:r>
        <w:rPr>
          <w:color w:val="0D0D0D"/>
          <w:spacing w:val="-14"/>
        </w:rPr>
        <w:t> </w:t>
      </w:r>
      <w:r>
        <w:rPr>
          <w:color w:val="0D0D0D"/>
        </w:rPr>
        <w:t>debido</w:t>
      </w:r>
      <w:r>
        <w:rPr>
          <w:color w:val="0D0D0D"/>
          <w:spacing w:val="-15"/>
        </w:rPr>
        <w:t> </w:t>
      </w:r>
      <w:r>
        <w:rPr>
          <w:color w:val="0D0D0D"/>
        </w:rPr>
        <w:t>a</w:t>
      </w:r>
      <w:r>
        <w:rPr>
          <w:color w:val="0D0D0D"/>
          <w:spacing w:val="-13"/>
        </w:rPr>
        <w:t> </w:t>
      </w:r>
      <w:r>
        <w:rPr>
          <w:color w:val="0D0D0D"/>
        </w:rPr>
        <w:t>que</w:t>
      </w:r>
      <w:r>
        <w:rPr>
          <w:color w:val="0D0D0D"/>
          <w:spacing w:val="-15"/>
        </w:rPr>
        <w:t> </w:t>
      </w:r>
      <w:r>
        <w:rPr>
          <w:color w:val="0D0D0D"/>
        </w:rPr>
        <w:t>suelen alterarse considerablemente bajo condiciones de estrés fisiológico como es en el caso de la anestesia general.</w:t>
      </w:r>
    </w:p>
    <w:p>
      <w:pPr>
        <w:pStyle w:val="Heading3"/>
        <w:numPr>
          <w:ilvl w:val="2"/>
          <w:numId w:val="8"/>
        </w:numPr>
        <w:tabs>
          <w:tab w:pos="1288" w:val="left" w:leader="none"/>
        </w:tabs>
        <w:spacing w:line="240" w:lineRule="auto" w:before="1" w:after="0"/>
        <w:ind w:left="1288" w:right="0" w:hanging="720"/>
        <w:jc w:val="both"/>
      </w:pPr>
      <w:bookmarkStart w:name="_bookmark16" w:id="17"/>
      <w:bookmarkEnd w:id="17"/>
      <w:r>
        <w:rPr>
          <w:b w:val="0"/>
        </w:rPr>
      </w:r>
      <w:r>
        <w:rPr>
          <w:color w:val="0D0D0D"/>
        </w:rPr>
        <w:t>Presión</w:t>
      </w:r>
      <w:r>
        <w:rPr>
          <w:color w:val="0D0D0D"/>
          <w:spacing w:val="-5"/>
        </w:rPr>
        <w:t> </w:t>
      </w:r>
      <w:r>
        <w:rPr>
          <w:color w:val="0D0D0D"/>
          <w:spacing w:val="-2"/>
        </w:rPr>
        <w:t>arterial</w:t>
      </w:r>
    </w:p>
    <w:p>
      <w:pPr>
        <w:pStyle w:val="BodyText"/>
        <w:rPr>
          <w:b/>
        </w:rPr>
      </w:pPr>
    </w:p>
    <w:p>
      <w:pPr>
        <w:pStyle w:val="BodyText"/>
        <w:spacing w:line="480" w:lineRule="auto"/>
        <w:ind w:left="568" w:right="136"/>
        <w:jc w:val="both"/>
      </w:pPr>
      <w:r>
        <w:rPr/>
        <w:t>En adultos caninos clínicamente sanos, la presión arterial sistólica se sitúa entre 110-160 mmHg y la diastólica entre 60-90 mmHg. Dentro de estos parámetros, la presión</w:t>
      </w:r>
      <w:r>
        <w:rPr>
          <w:spacing w:val="-15"/>
        </w:rPr>
        <w:t> </w:t>
      </w:r>
      <w:r>
        <w:rPr/>
        <w:t>arterial</w:t>
      </w:r>
      <w:r>
        <w:rPr>
          <w:spacing w:val="-15"/>
        </w:rPr>
        <w:t> </w:t>
      </w:r>
      <w:r>
        <w:rPr/>
        <w:t>media</w:t>
      </w:r>
      <w:r>
        <w:rPr>
          <w:spacing w:val="-15"/>
        </w:rPr>
        <w:t> </w:t>
      </w:r>
      <w:r>
        <w:rPr/>
        <w:t>(PAM)</w:t>
      </w:r>
      <w:r>
        <w:rPr>
          <w:spacing w:val="-15"/>
        </w:rPr>
        <w:t> </w:t>
      </w:r>
      <w:r>
        <w:rPr/>
        <w:t>es</w:t>
      </w:r>
      <w:r>
        <w:rPr>
          <w:spacing w:val="-15"/>
        </w:rPr>
        <w:t> </w:t>
      </w:r>
      <w:r>
        <w:rPr/>
        <w:t>el</w:t>
      </w:r>
      <w:r>
        <w:rPr>
          <w:spacing w:val="-15"/>
        </w:rPr>
        <w:t> </w:t>
      </w:r>
      <w:r>
        <w:rPr/>
        <w:t>principal</w:t>
      </w:r>
      <w:r>
        <w:rPr>
          <w:spacing w:val="-15"/>
        </w:rPr>
        <w:t> </w:t>
      </w:r>
      <w:r>
        <w:rPr/>
        <w:t>determinante</w:t>
      </w:r>
      <w:r>
        <w:rPr>
          <w:spacing w:val="-15"/>
        </w:rPr>
        <w:t> </w:t>
      </w:r>
      <w:r>
        <w:rPr/>
        <w:t>de</w:t>
      </w:r>
      <w:r>
        <w:rPr>
          <w:spacing w:val="-14"/>
        </w:rPr>
        <w:t> </w:t>
      </w:r>
      <w:r>
        <w:rPr/>
        <w:t>la</w:t>
      </w:r>
      <w:r>
        <w:rPr>
          <w:spacing w:val="-14"/>
        </w:rPr>
        <w:t> </w:t>
      </w:r>
      <w:r>
        <w:rPr/>
        <w:t>perfusión</w:t>
      </w:r>
      <w:r>
        <w:rPr>
          <w:spacing w:val="-15"/>
        </w:rPr>
        <w:t> </w:t>
      </w:r>
      <w:r>
        <w:rPr/>
        <w:t>tisular.</w:t>
      </w:r>
      <w:r>
        <w:rPr>
          <w:spacing w:val="-15"/>
        </w:rPr>
        <w:t> </w:t>
      </w:r>
      <w:r>
        <w:rPr/>
        <w:t>En el contexto anestésico, es fundamental mantener valores de PAM entre 80-120 mmHg con el fin de preservar el flujo sanguíneo adecuado hacia órganos vitales y evitar episodios de hipoperfusión (Huerga, 2024).</w:t>
      </w:r>
    </w:p>
    <w:p>
      <w:pPr>
        <w:pStyle w:val="BodyText"/>
        <w:spacing w:line="480" w:lineRule="auto" w:before="2"/>
        <w:ind w:left="568" w:right="135"/>
        <w:jc w:val="both"/>
      </w:pPr>
      <w:r>
        <w:rPr/>
        <w:t>La</w:t>
      </w:r>
      <w:r>
        <w:rPr>
          <w:spacing w:val="-2"/>
        </w:rPr>
        <w:t> </w:t>
      </w:r>
      <w:r>
        <w:rPr/>
        <w:t>presión</w:t>
      </w:r>
      <w:r>
        <w:rPr>
          <w:spacing w:val="-8"/>
        </w:rPr>
        <w:t> </w:t>
      </w:r>
      <w:r>
        <w:rPr/>
        <w:t>arterial</w:t>
      </w:r>
      <w:r>
        <w:rPr>
          <w:spacing w:val="-2"/>
        </w:rPr>
        <w:t> </w:t>
      </w:r>
      <w:r>
        <w:rPr/>
        <w:t>refleja</w:t>
      </w:r>
      <w:r>
        <w:rPr>
          <w:spacing w:val="-3"/>
        </w:rPr>
        <w:t> </w:t>
      </w:r>
      <w:r>
        <w:rPr/>
        <w:t>desde</w:t>
      </w:r>
      <w:r>
        <w:rPr>
          <w:spacing w:val="-6"/>
        </w:rPr>
        <w:t> </w:t>
      </w:r>
      <w:r>
        <w:rPr/>
        <w:t>el</w:t>
      </w:r>
      <w:r>
        <w:rPr>
          <w:spacing w:val="-2"/>
        </w:rPr>
        <w:t> </w:t>
      </w:r>
      <w:r>
        <w:rPr/>
        <w:t>punto</w:t>
      </w:r>
      <w:r>
        <w:rPr>
          <w:spacing w:val="-3"/>
        </w:rPr>
        <w:t> </w:t>
      </w:r>
      <w:r>
        <w:rPr/>
        <w:t>de</w:t>
      </w:r>
      <w:r>
        <w:rPr>
          <w:spacing w:val="-2"/>
        </w:rPr>
        <w:t> </w:t>
      </w:r>
      <w:r>
        <w:rPr/>
        <w:t>vista</w:t>
      </w:r>
      <w:r>
        <w:rPr>
          <w:spacing w:val="-6"/>
        </w:rPr>
        <w:t> </w:t>
      </w:r>
      <w:r>
        <w:rPr/>
        <w:t>fisiológico,</w:t>
      </w:r>
      <w:r>
        <w:rPr>
          <w:spacing w:val="-2"/>
        </w:rPr>
        <w:t> </w:t>
      </w:r>
      <w:r>
        <w:rPr/>
        <w:t>la</w:t>
      </w:r>
      <w:r>
        <w:rPr>
          <w:spacing w:val="-6"/>
        </w:rPr>
        <w:t> </w:t>
      </w:r>
      <w:r>
        <w:rPr/>
        <w:t>interacción</w:t>
      </w:r>
      <w:r>
        <w:rPr>
          <w:spacing w:val="-8"/>
        </w:rPr>
        <w:t> </w:t>
      </w:r>
      <w:r>
        <w:rPr/>
        <w:t>entre</w:t>
      </w:r>
      <w:r>
        <w:rPr>
          <w:spacing w:val="-2"/>
        </w:rPr>
        <w:t> </w:t>
      </w:r>
      <w:r>
        <w:rPr/>
        <w:t>el gasto cardíaco y la resistencia vascular periférica, por lo cual es uno de los indicadores</w:t>
      </w:r>
      <w:r>
        <w:rPr>
          <w:spacing w:val="-13"/>
        </w:rPr>
        <w:t> </w:t>
      </w:r>
      <w:r>
        <w:rPr/>
        <w:t>más</w:t>
      </w:r>
      <w:r>
        <w:rPr>
          <w:spacing w:val="-13"/>
        </w:rPr>
        <w:t> </w:t>
      </w:r>
      <w:r>
        <w:rPr/>
        <w:t>sensibles</w:t>
      </w:r>
      <w:r>
        <w:rPr>
          <w:spacing w:val="-13"/>
        </w:rPr>
        <w:t> </w:t>
      </w:r>
      <w:r>
        <w:rPr/>
        <w:t>del</w:t>
      </w:r>
      <w:r>
        <w:rPr>
          <w:spacing w:val="-10"/>
        </w:rPr>
        <w:t> </w:t>
      </w:r>
      <w:r>
        <w:rPr/>
        <w:t>estado</w:t>
      </w:r>
      <w:r>
        <w:rPr>
          <w:spacing w:val="-11"/>
        </w:rPr>
        <w:t> </w:t>
      </w:r>
      <w:r>
        <w:rPr/>
        <w:t>hemodinámico.</w:t>
      </w:r>
      <w:r>
        <w:rPr>
          <w:spacing w:val="-4"/>
        </w:rPr>
        <w:t> </w:t>
      </w:r>
      <w:r>
        <w:rPr/>
        <w:t>Los</w:t>
      </w:r>
      <w:r>
        <w:rPr>
          <w:spacing w:val="-13"/>
        </w:rPr>
        <w:t> </w:t>
      </w:r>
      <w:r>
        <w:rPr/>
        <w:t>valores</w:t>
      </w:r>
      <w:r>
        <w:rPr>
          <w:spacing w:val="-13"/>
        </w:rPr>
        <w:t> </w:t>
      </w:r>
      <w:r>
        <w:rPr/>
        <w:t>de</w:t>
      </w:r>
      <w:r>
        <w:rPr>
          <w:spacing w:val="-10"/>
        </w:rPr>
        <w:t> </w:t>
      </w:r>
      <w:r>
        <w:rPr/>
        <w:t>presión</w:t>
      </w:r>
      <w:r>
        <w:rPr>
          <w:spacing w:val="-15"/>
        </w:rPr>
        <w:t> </w:t>
      </w:r>
      <w:r>
        <w:rPr/>
        <w:t>arterial durante la anestesia general experimentan modificaciones debido a los efectos de los</w:t>
      </w:r>
      <w:r>
        <w:rPr>
          <w:spacing w:val="32"/>
        </w:rPr>
        <w:t> </w:t>
      </w:r>
      <w:r>
        <w:rPr/>
        <w:t>fármacos</w:t>
      </w:r>
      <w:r>
        <w:rPr>
          <w:spacing w:val="32"/>
        </w:rPr>
        <w:t> </w:t>
      </w:r>
      <w:r>
        <w:rPr/>
        <w:t>sobre</w:t>
      </w:r>
      <w:r>
        <w:rPr>
          <w:spacing w:val="35"/>
        </w:rPr>
        <w:t> </w:t>
      </w:r>
      <w:r>
        <w:rPr/>
        <w:t>el</w:t>
      </w:r>
      <w:r>
        <w:rPr>
          <w:spacing w:val="34"/>
        </w:rPr>
        <w:t> </w:t>
      </w:r>
      <w:r>
        <w:rPr/>
        <w:t>tono</w:t>
      </w:r>
      <w:r>
        <w:rPr>
          <w:spacing w:val="33"/>
        </w:rPr>
        <w:t> </w:t>
      </w:r>
      <w:r>
        <w:rPr/>
        <w:t>vascular</w:t>
      </w:r>
      <w:r>
        <w:rPr>
          <w:spacing w:val="34"/>
        </w:rPr>
        <w:t> </w:t>
      </w:r>
      <w:r>
        <w:rPr/>
        <w:t>y</w:t>
      </w:r>
      <w:r>
        <w:rPr>
          <w:spacing w:val="33"/>
        </w:rPr>
        <w:t> </w:t>
      </w:r>
      <w:r>
        <w:rPr/>
        <w:t>la</w:t>
      </w:r>
      <w:r>
        <w:rPr>
          <w:spacing w:val="31"/>
        </w:rPr>
        <w:t> </w:t>
      </w:r>
      <w:r>
        <w:rPr/>
        <w:t>contractilidad</w:t>
      </w:r>
      <w:r>
        <w:rPr>
          <w:spacing w:val="33"/>
        </w:rPr>
        <w:t> </w:t>
      </w:r>
      <w:r>
        <w:rPr/>
        <w:t>miocárdica.</w:t>
      </w:r>
      <w:r>
        <w:rPr>
          <w:spacing w:val="46"/>
        </w:rPr>
        <w:t> </w:t>
      </w:r>
      <w:r>
        <w:rPr/>
        <w:t>La</w:t>
      </w:r>
      <w:r>
        <w:rPr>
          <w:spacing w:val="35"/>
        </w:rPr>
        <w:t> </w:t>
      </w:r>
      <w:r>
        <w:rPr/>
        <w:t>PAM</w:t>
      </w:r>
      <w:r>
        <w:rPr>
          <w:spacing w:val="33"/>
        </w:rPr>
        <w:t> </w:t>
      </w:r>
      <w:r>
        <w:rPr>
          <w:spacing w:val="-5"/>
        </w:rPr>
        <w:t>se</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6"/>
        <w:jc w:val="both"/>
      </w:pPr>
      <w:r>
        <w:rPr/>
        <w:t>consolida como el parámetro más confiable en la valoración de la perfusión, dada su</w:t>
      </w:r>
      <w:r>
        <w:rPr>
          <w:spacing w:val="-7"/>
        </w:rPr>
        <w:t> </w:t>
      </w:r>
      <w:r>
        <w:rPr/>
        <w:t>relación</w:t>
      </w:r>
      <w:r>
        <w:rPr>
          <w:spacing w:val="-7"/>
        </w:rPr>
        <w:t> </w:t>
      </w:r>
      <w:r>
        <w:rPr/>
        <w:t>directa</w:t>
      </w:r>
      <w:r>
        <w:rPr>
          <w:spacing w:val="-5"/>
        </w:rPr>
        <w:t> </w:t>
      </w:r>
      <w:r>
        <w:rPr/>
        <w:t>con</w:t>
      </w:r>
      <w:r>
        <w:rPr>
          <w:spacing w:val="-7"/>
        </w:rPr>
        <w:t> </w:t>
      </w:r>
      <w:r>
        <w:rPr/>
        <w:t>el</w:t>
      </w:r>
      <w:r>
        <w:rPr>
          <w:spacing w:val="-6"/>
        </w:rPr>
        <w:t> </w:t>
      </w:r>
      <w:r>
        <w:rPr/>
        <w:t>flujo</w:t>
      </w:r>
      <w:r>
        <w:rPr>
          <w:spacing w:val="-7"/>
        </w:rPr>
        <w:t> </w:t>
      </w:r>
      <w:r>
        <w:rPr/>
        <w:t>hacia</w:t>
      </w:r>
      <w:r>
        <w:rPr>
          <w:spacing w:val="-5"/>
        </w:rPr>
        <w:t> </w:t>
      </w:r>
      <w:r>
        <w:rPr/>
        <w:t>los</w:t>
      </w:r>
      <w:r>
        <w:rPr>
          <w:spacing w:val="-8"/>
        </w:rPr>
        <w:t> </w:t>
      </w:r>
      <w:r>
        <w:rPr/>
        <w:t>tejidos más</w:t>
      </w:r>
      <w:r>
        <w:rPr>
          <w:spacing w:val="-8"/>
        </w:rPr>
        <w:t> </w:t>
      </w:r>
      <w:r>
        <w:rPr/>
        <w:t>importantes</w:t>
      </w:r>
      <w:r>
        <w:rPr>
          <w:spacing w:val="-5"/>
        </w:rPr>
        <w:t> </w:t>
      </w:r>
      <w:r>
        <w:rPr/>
        <w:t>(Guamán-Hidalgo &amp; Egas-Proaño, 2022).</w:t>
      </w:r>
    </w:p>
    <w:p>
      <w:pPr>
        <w:pStyle w:val="BodyText"/>
        <w:spacing w:line="480" w:lineRule="auto" w:before="1"/>
        <w:ind w:left="568" w:right="136"/>
        <w:jc w:val="both"/>
      </w:pPr>
      <w:r>
        <w:rPr/>
        <w:t>El mantenimiento de una PAM adecuada es determinante para la reducción del riesgo de hipoperfusión sistémica y la disfunción orgánica,</w:t>
      </w:r>
      <w:r>
        <w:rPr>
          <w:spacing w:val="-1"/>
        </w:rPr>
        <w:t> </w:t>
      </w:r>
      <w:r>
        <w:rPr/>
        <w:t>ciertas investigaciones en caninos demuestran que valores inferiores a los rangos recomendados incrementan</w:t>
      </w:r>
      <w:r>
        <w:rPr>
          <w:spacing w:val="-10"/>
        </w:rPr>
        <w:t> </w:t>
      </w:r>
      <w:r>
        <w:rPr/>
        <w:t>las</w:t>
      </w:r>
      <w:r>
        <w:rPr>
          <w:spacing w:val="-12"/>
        </w:rPr>
        <w:t> </w:t>
      </w:r>
      <w:r>
        <w:rPr/>
        <w:t>complicaciones</w:t>
      </w:r>
      <w:r>
        <w:rPr>
          <w:spacing w:val="-12"/>
        </w:rPr>
        <w:t> </w:t>
      </w:r>
      <w:r>
        <w:rPr/>
        <w:t>perioperatorias,</w:t>
      </w:r>
      <w:r>
        <w:rPr>
          <w:spacing w:val="-4"/>
        </w:rPr>
        <w:t> </w:t>
      </w:r>
      <w:r>
        <w:rPr/>
        <w:t>aún</w:t>
      </w:r>
      <w:r>
        <w:rPr>
          <w:spacing w:val="-10"/>
        </w:rPr>
        <w:t> </w:t>
      </w:r>
      <w:r>
        <w:rPr/>
        <w:t>más</w:t>
      </w:r>
      <w:r>
        <w:rPr>
          <w:spacing w:val="-11"/>
        </w:rPr>
        <w:t> </w:t>
      </w:r>
      <w:r>
        <w:rPr/>
        <w:t>en</w:t>
      </w:r>
      <w:r>
        <w:rPr>
          <w:spacing w:val="-10"/>
        </w:rPr>
        <w:t> </w:t>
      </w:r>
      <w:r>
        <w:rPr/>
        <w:t>cirugías</w:t>
      </w:r>
      <w:r>
        <w:rPr>
          <w:spacing w:val="-12"/>
        </w:rPr>
        <w:t> </w:t>
      </w:r>
      <w:r>
        <w:rPr/>
        <w:t>prolongadas</w:t>
      </w:r>
      <w:r>
        <w:rPr>
          <w:spacing w:val="-12"/>
        </w:rPr>
        <w:t> </w:t>
      </w:r>
      <w:r>
        <w:rPr/>
        <w:t>o pacientes</w:t>
      </w:r>
      <w:r>
        <w:rPr>
          <w:spacing w:val="-5"/>
        </w:rPr>
        <w:t> </w:t>
      </w:r>
      <w:r>
        <w:rPr/>
        <w:t>con</w:t>
      </w:r>
      <w:r>
        <w:rPr>
          <w:spacing w:val="-3"/>
        </w:rPr>
        <w:t> </w:t>
      </w:r>
      <w:r>
        <w:rPr/>
        <w:t>afecciones</w:t>
      </w:r>
      <w:r>
        <w:rPr>
          <w:spacing w:val="-5"/>
        </w:rPr>
        <w:t> </w:t>
      </w:r>
      <w:r>
        <w:rPr/>
        <w:t>cardiovasculares</w:t>
      </w:r>
      <w:r>
        <w:rPr>
          <w:spacing w:val="-9"/>
        </w:rPr>
        <w:t> </w:t>
      </w:r>
      <w:r>
        <w:rPr/>
        <w:t>preexistentes</w:t>
      </w:r>
      <w:r>
        <w:rPr>
          <w:spacing w:val="-5"/>
        </w:rPr>
        <w:t> </w:t>
      </w:r>
      <w:r>
        <w:rPr/>
        <w:t>(Martínez</w:t>
      </w:r>
      <w:r>
        <w:rPr>
          <w:spacing w:val="-2"/>
        </w:rPr>
        <w:t> </w:t>
      </w:r>
      <w:r>
        <w:rPr/>
        <w:t>et</w:t>
      </w:r>
      <w:r>
        <w:rPr>
          <w:spacing w:val="-2"/>
        </w:rPr>
        <w:t> </w:t>
      </w:r>
      <w:r>
        <w:rPr/>
        <w:t>al.,</w:t>
      </w:r>
      <w:r>
        <w:rPr>
          <w:spacing w:val="-3"/>
        </w:rPr>
        <w:t> </w:t>
      </w:r>
      <w:r>
        <w:rPr/>
        <w:t>2022). La monitorización</w:t>
      </w:r>
      <w:r>
        <w:rPr>
          <w:spacing w:val="-4"/>
        </w:rPr>
        <w:t> </w:t>
      </w:r>
      <w:r>
        <w:rPr/>
        <w:t>continua de la presión</w:t>
      </w:r>
      <w:r>
        <w:rPr>
          <w:spacing w:val="-1"/>
        </w:rPr>
        <w:t> </w:t>
      </w:r>
      <w:r>
        <w:rPr/>
        <w:t>arterial</w:t>
      </w:r>
      <w:r>
        <w:rPr>
          <w:spacing w:val="-3"/>
        </w:rPr>
        <w:t> </w:t>
      </w:r>
      <w:r>
        <w:rPr/>
        <w:t>es</w:t>
      </w:r>
      <w:r>
        <w:rPr>
          <w:spacing w:val="-2"/>
        </w:rPr>
        <w:t> </w:t>
      </w:r>
      <w:r>
        <w:rPr/>
        <w:t>una</w:t>
      </w:r>
      <w:r>
        <w:rPr>
          <w:spacing w:val="-3"/>
        </w:rPr>
        <w:t> </w:t>
      </w:r>
      <w:r>
        <w:rPr/>
        <w:t>práctica</w:t>
      </w:r>
      <w:r>
        <w:rPr>
          <w:spacing w:val="-3"/>
        </w:rPr>
        <w:t> </w:t>
      </w:r>
      <w:r>
        <w:rPr/>
        <w:t>clínica</w:t>
      </w:r>
      <w:r>
        <w:rPr>
          <w:spacing w:val="-3"/>
        </w:rPr>
        <w:t> </w:t>
      </w:r>
      <w:r>
        <w:rPr/>
        <w:t>indispensable orientada al sustento de decisiones oportunas que minimicen el riesgo mientras optimizan la seguridad del paciente.</w:t>
      </w:r>
    </w:p>
    <w:p>
      <w:pPr>
        <w:pStyle w:val="Heading3"/>
        <w:numPr>
          <w:ilvl w:val="2"/>
          <w:numId w:val="8"/>
        </w:numPr>
        <w:tabs>
          <w:tab w:pos="1288" w:val="left" w:leader="none"/>
        </w:tabs>
        <w:spacing w:line="240" w:lineRule="auto" w:before="1" w:after="0"/>
        <w:ind w:left="1288" w:right="0" w:hanging="720"/>
        <w:jc w:val="both"/>
      </w:pPr>
      <w:bookmarkStart w:name="_bookmark17" w:id="18"/>
      <w:bookmarkEnd w:id="18"/>
      <w:r>
        <w:rPr>
          <w:b w:val="0"/>
        </w:rPr>
      </w:r>
      <w:r>
        <w:rPr>
          <w:color w:val="0D0D0D"/>
        </w:rPr>
        <w:t>Premediación</w:t>
      </w:r>
      <w:r>
        <w:rPr>
          <w:color w:val="0D0D0D"/>
          <w:spacing w:val="-6"/>
        </w:rPr>
        <w:t> </w:t>
      </w:r>
      <w:r>
        <w:rPr>
          <w:color w:val="0D0D0D"/>
          <w:spacing w:val="-2"/>
        </w:rPr>
        <w:t>anestésica</w:t>
      </w:r>
    </w:p>
    <w:p>
      <w:pPr>
        <w:pStyle w:val="BodyText"/>
        <w:rPr>
          <w:b/>
        </w:rPr>
      </w:pPr>
    </w:p>
    <w:p>
      <w:pPr>
        <w:pStyle w:val="BodyText"/>
        <w:spacing w:line="480" w:lineRule="auto"/>
        <w:ind w:left="568" w:right="137"/>
        <w:jc w:val="both"/>
      </w:pPr>
      <w:r>
        <w:rPr/>
        <w:t>La premedicación anestésica en caninos consiste en la administración planificada de fármacos antes de la inducción para generar sedación, reducir la ansiedad, proveer analgesia preventiva, facilitar el manejo clínico y modular la activación simpática (Pan et al., 2021).</w:t>
      </w:r>
      <w:r>
        <w:rPr>
          <w:spacing w:val="-6"/>
        </w:rPr>
        <w:t> </w:t>
      </w:r>
      <w:r>
        <w:rPr/>
        <w:t>Al atenuar la respuesta neuroendocrina al estrés, esta </w:t>
      </w:r>
      <w:r>
        <w:rPr>
          <w:spacing w:val="-2"/>
        </w:rPr>
        <w:t>fase</w:t>
      </w:r>
      <w:r>
        <w:rPr>
          <w:spacing w:val="-6"/>
        </w:rPr>
        <w:t> </w:t>
      </w:r>
      <w:r>
        <w:rPr>
          <w:spacing w:val="-2"/>
        </w:rPr>
        <w:t>inicial</w:t>
      </w:r>
      <w:r>
        <w:rPr>
          <w:spacing w:val="-7"/>
        </w:rPr>
        <w:t> </w:t>
      </w:r>
      <w:r>
        <w:rPr>
          <w:spacing w:val="-2"/>
        </w:rPr>
        <w:t>reduce</w:t>
      </w:r>
      <w:r>
        <w:rPr>
          <w:spacing w:val="-6"/>
        </w:rPr>
        <w:t> </w:t>
      </w:r>
      <w:r>
        <w:rPr>
          <w:spacing w:val="-2"/>
        </w:rPr>
        <w:t>el</w:t>
      </w:r>
      <w:r>
        <w:rPr>
          <w:spacing w:val="-7"/>
        </w:rPr>
        <w:t> </w:t>
      </w:r>
      <w:r>
        <w:rPr>
          <w:spacing w:val="-2"/>
        </w:rPr>
        <w:t>requerimiento</w:t>
      </w:r>
      <w:r>
        <w:rPr>
          <w:spacing w:val="-8"/>
        </w:rPr>
        <w:t> </w:t>
      </w:r>
      <w:r>
        <w:rPr>
          <w:spacing w:val="-2"/>
        </w:rPr>
        <w:t>de</w:t>
      </w:r>
      <w:r>
        <w:rPr>
          <w:spacing w:val="-6"/>
        </w:rPr>
        <w:t> </w:t>
      </w:r>
      <w:r>
        <w:rPr>
          <w:spacing w:val="-2"/>
        </w:rPr>
        <w:t>dosis</w:t>
      </w:r>
      <w:r>
        <w:rPr>
          <w:spacing w:val="-9"/>
        </w:rPr>
        <w:t> </w:t>
      </w:r>
      <w:r>
        <w:rPr>
          <w:spacing w:val="-2"/>
        </w:rPr>
        <w:t>elevadas</w:t>
      </w:r>
      <w:r>
        <w:rPr>
          <w:spacing w:val="-9"/>
        </w:rPr>
        <w:t> </w:t>
      </w:r>
      <w:r>
        <w:rPr>
          <w:spacing w:val="-2"/>
        </w:rPr>
        <w:t>de</w:t>
      </w:r>
      <w:r>
        <w:rPr>
          <w:spacing w:val="-6"/>
        </w:rPr>
        <w:t> </w:t>
      </w:r>
      <w:r>
        <w:rPr>
          <w:spacing w:val="-2"/>
        </w:rPr>
        <w:t>inductores como</w:t>
      </w:r>
      <w:r>
        <w:rPr>
          <w:spacing w:val="-8"/>
        </w:rPr>
        <w:t> </w:t>
      </w:r>
      <w:r>
        <w:rPr>
          <w:spacing w:val="-2"/>
        </w:rPr>
        <w:t>de</w:t>
      </w:r>
      <w:r>
        <w:rPr>
          <w:spacing w:val="-5"/>
        </w:rPr>
        <w:t> </w:t>
      </w:r>
      <w:r>
        <w:rPr>
          <w:spacing w:val="-2"/>
        </w:rPr>
        <w:t>agentes </w:t>
      </w:r>
      <w:r>
        <w:rPr/>
        <w:t>de mantenimiento, que disminuye las complicaciones intraoperatorias mientras favorece una recuperación posoperatoria más segura (Grubb et al., 2020). Para alcanzar este enfoque multimodal e individualizado, el presente estudio ejecutará un esquema farmacológico estratégico basado en los siguientes agentes:</w:t>
      </w:r>
    </w:p>
    <w:p>
      <w:pPr>
        <w:pStyle w:val="BodyText"/>
        <w:spacing w:line="480" w:lineRule="auto" w:before="2"/>
        <w:ind w:left="568" w:right="144"/>
        <w:jc w:val="both"/>
      </w:pPr>
      <w:r>
        <w:rPr/>
        <w:t>La dexmedetomidina es administrada por vía Intramuscular (IM) a dosis de 5–8 mg/kg</w:t>
      </w:r>
      <w:r>
        <w:rPr>
          <w:spacing w:val="17"/>
        </w:rPr>
        <w:t> </w:t>
      </w:r>
      <w:r>
        <w:rPr/>
        <w:t>para</w:t>
      </w:r>
      <w:r>
        <w:rPr>
          <w:spacing w:val="18"/>
        </w:rPr>
        <w:t> </w:t>
      </w:r>
      <w:r>
        <w:rPr/>
        <w:t>sedación,</w:t>
      </w:r>
      <w:r>
        <w:rPr>
          <w:spacing w:val="14"/>
        </w:rPr>
        <w:t> </w:t>
      </w:r>
      <w:r>
        <w:rPr/>
        <w:t>analgesia</w:t>
      </w:r>
      <w:r>
        <w:rPr>
          <w:spacing w:val="18"/>
        </w:rPr>
        <w:t> </w:t>
      </w:r>
      <w:r>
        <w:rPr/>
        <w:t>y</w:t>
      </w:r>
      <w:r>
        <w:rPr>
          <w:spacing w:val="14"/>
        </w:rPr>
        <w:t> </w:t>
      </w:r>
      <w:r>
        <w:rPr/>
        <w:t>control</w:t>
      </w:r>
      <w:r>
        <w:rPr>
          <w:spacing w:val="14"/>
        </w:rPr>
        <w:t> </w:t>
      </w:r>
      <w:r>
        <w:rPr/>
        <w:t>simpático;</w:t>
      </w:r>
      <w:r>
        <w:rPr>
          <w:spacing w:val="18"/>
        </w:rPr>
        <w:t> </w:t>
      </w:r>
      <w:r>
        <w:rPr/>
        <w:t>o</w:t>
      </w:r>
      <w:r>
        <w:rPr>
          <w:spacing w:val="14"/>
        </w:rPr>
        <w:t> </w:t>
      </w:r>
      <w:r>
        <w:rPr/>
        <w:t>por</w:t>
      </w:r>
      <w:r>
        <w:rPr>
          <w:spacing w:val="17"/>
        </w:rPr>
        <w:t> </w:t>
      </w:r>
      <w:r>
        <w:rPr/>
        <w:t>vía</w:t>
      </w:r>
      <w:r>
        <w:rPr>
          <w:spacing w:val="19"/>
        </w:rPr>
        <w:t> </w:t>
      </w:r>
      <w:r>
        <w:rPr/>
        <w:t>Intravenosa</w:t>
      </w:r>
      <w:r>
        <w:rPr>
          <w:spacing w:val="18"/>
        </w:rPr>
        <w:t> </w:t>
      </w:r>
      <w:r>
        <w:rPr/>
        <w:t>(IV)</w:t>
      </w:r>
      <w:r>
        <w:rPr>
          <w:spacing w:val="14"/>
        </w:rPr>
        <w:t> </w:t>
      </w:r>
      <w:r>
        <w:rPr>
          <w:spacing w:val="-10"/>
        </w:rPr>
        <w:t>a</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4"/>
        <w:jc w:val="both"/>
      </w:pPr>
      <w:r>
        <w:rPr/>
        <w:t>dosis de 0,5–1mg/kg buscando una sedación controlada y estabilidad </w:t>
      </w:r>
      <w:r>
        <w:rPr>
          <w:spacing w:val="-2"/>
        </w:rPr>
        <w:t>hemodinámica.</w:t>
      </w:r>
    </w:p>
    <w:p>
      <w:pPr>
        <w:pStyle w:val="BodyText"/>
        <w:spacing w:line="480" w:lineRule="auto"/>
        <w:ind w:left="568" w:right="143"/>
        <w:jc w:val="both"/>
      </w:pPr>
      <w:r>
        <w:rPr/>
        <w:t>La Ketamina (Anestésico disociativo) es administrada por vía Intravenosa (IV) a dosis de 2 mg/kg con la finalidad clínica de aportar analgesia y potenciación </w:t>
      </w:r>
      <w:r>
        <w:rPr>
          <w:spacing w:val="-2"/>
        </w:rPr>
        <w:t>anestésica.</w:t>
      </w:r>
    </w:p>
    <w:p>
      <w:pPr>
        <w:pStyle w:val="BodyText"/>
        <w:spacing w:line="480" w:lineRule="auto" w:before="1"/>
        <w:ind w:left="568" w:right="142"/>
        <w:jc w:val="both"/>
      </w:pPr>
      <w:r>
        <w:rPr/>
        <w:t>Midazolam (Benzodiacepina),</w:t>
      </w:r>
      <w:r>
        <w:rPr>
          <w:spacing w:val="-1"/>
        </w:rPr>
        <w:t> </w:t>
      </w:r>
      <w:r>
        <w:rPr/>
        <w:t>es administrado por vía Intravenosa (IV) a dosis de 0,25 mg/kg para lograr ansiolisis y relajación muscular.</w:t>
      </w:r>
    </w:p>
    <w:p>
      <w:pPr>
        <w:pStyle w:val="BodyText"/>
        <w:spacing w:line="480" w:lineRule="auto"/>
        <w:ind w:left="568" w:right="148"/>
        <w:jc w:val="both"/>
      </w:pPr>
      <w:r>
        <w:rPr/>
        <w:t>La</w:t>
      </w:r>
      <w:r>
        <w:rPr>
          <w:spacing w:val="-5"/>
        </w:rPr>
        <w:t> </w:t>
      </w:r>
      <w:r>
        <w:rPr/>
        <w:t>combinación</w:t>
      </w:r>
      <w:r>
        <w:rPr>
          <w:spacing w:val="-7"/>
        </w:rPr>
        <w:t> </w:t>
      </w:r>
      <w:r>
        <w:rPr/>
        <w:t>racional</w:t>
      </w:r>
      <w:r>
        <w:rPr>
          <w:spacing w:val="-6"/>
        </w:rPr>
        <w:t> </w:t>
      </w:r>
      <w:r>
        <w:rPr/>
        <w:t>y</w:t>
      </w:r>
      <w:r>
        <w:rPr>
          <w:spacing w:val="-7"/>
        </w:rPr>
        <w:t> </w:t>
      </w:r>
      <w:r>
        <w:rPr/>
        <w:t>el</w:t>
      </w:r>
      <w:r>
        <w:rPr>
          <w:spacing w:val="-6"/>
        </w:rPr>
        <w:t> </w:t>
      </w:r>
      <w:r>
        <w:rPr/>
        <w:t>monitoreo</w:t>
      </w:r>
      <w:r>
        <w:rPr>
          <w:spacing w:val="-7"/>
        </w:rPr>
        <w:t> </w:t>
      </w:r>
      <w:r>
        <w:rPr/>
        <w:t>continuo</w:t>
      </w:r>
      <w:r>
        <w:rPr>
          <w:spacing w:val="-7"/>
        </w:rPr>
        <w:t> </w:t>
      </w:r>
      <w:r>
        <w:rPr/>
        <w:t>de</w:t>
      </w:r>
      <w:r>
        <w:rPr>
          <w:spacing w:val="-5"/>
        </w:rPr>
        <w:t> </w:t>
      </w:r>
      <w:r>
        <w:rPr/>
        <w:t>estos</w:t>
      </w:r>
      <w:r>
        <w:rPr>
          <w:spacing w:val="-8"/>
        </w:rPr>
        <w:t> </w:t>
      </w:r>
      <w:r>
        <w:rPr/>
        <w:t>componentes</w:t>
      </w:r>
      <w:r>
        <w:rPr>
          <w:spacing w:val="-8"/>
        </w:rPr>
        <w:t> </w:t>
      </w:r>
      <w:r>
        <w:rPr/>
        <w:t>garantizan </w:t>
      </w:r>
      <w:r>
        <w:rPr>
          <w:spacing w:val="-2"/>
        </w:rPr>
        <w:t>condiciones</w:t>
      </w:r>
      <w:r>
        <w:rPr>
          <w:spacing w:val="-4"/>
        </w:rPr>
        <w:t> </w:t>
      </w:r>
      <w:r>
        <w:rPr>
          <w:spacing w:val="-2"/>
        </w:rPr>
        <w:t>fisiológicas</w:t>
      </w:r>
      <w:r>
        <w:rPr>
          <w:spacing w:val="-4"/>
        </w:rPr>
        <w:t> </w:t>
      </w:r>
      <w:r>
        <w:rPr>
          <w:spacing w:val="-2"/>
        </w:rPr>
        <w:t>favorables,</w:t>
      </w:r>
      <w:r>
        <w:rPr>
          <w:spacing w:val="-3"/>
        </w:rPr>
        <w:t> </w:t>
      </w:r>
      <w:r>
        <w:rPr>
          <w:spacing w:val="-2"/>
        </w:rPr>
        <w:t>optimizan</w:t>
      </w:r>
      <w:r>
        <w:rPr>
          <w:spacing w:val="-3"/>
        </w:rPr>
        <w:t> </w:t>
      </w:r>
      <w:r>
        <w:rPr>
          <w:spacing w:val="-2"/>
        </w:rPr>
        <w:t>el plano</w:t>
      </w:r>
      <w:r>
        <w:rPr>
          <w:spacing w:val="-3"/>
        </w:rPr>
        <w:t> </w:t>
      </w:r>
      <w:r>
        <w:rPr>
          <w:spacing w:val="-2"/>
        </w:rPr>
        <w:t>anestésico</w:t>
      </w:r>
      <w:r>
        <w:rPr>
          <w:spacing w:val="-3"/>
        </w:rPr>
        <w:t> </w:t>
      </w:r>
      <w:r>
        <w:rPr>
          <w:spacing w:val="-2"/>
        </w:rPr>
        <w:t>frente al estímulo </w:t>
      </w:r>
      <w:r>
        <w:rPr/>
        <w:t>quirúrgico y protegen la estabilidad cardiovascular del paciente</w:t>
      </w:r>
    </w:p>
    <w:p>
      <w:pPr>
        <w:pStyle w:val="Heading3"/>
        <w:numPr>
          <w:ilvl w:val="2"/>
          <w:numId w:val="8"/>
        </w:numPr>
        <w:tabs>
          <w:tab w:pos="1288" w:val="left" w:leader="none"/>
        </w:tabs>
        <w:spacing w:line="240" w:lineRule="auto" w:before="1" w:after="0"/>
        <w:ind w:left="1288" w:right="0" w:hanging="720"/>
        <w:jc w:val="both"/>
      </w:pPr>
      <w:bookmarkStart w:name="_bookmark18" w:id="19"/>
      <w:bookmarkEnd w:id="19"/>
      <w:r>
        <w:rPr>
          <w:b w:val="0"/>
        </w:rPr>
      </w:r>
      <w:r>
        <w:rPr>
          <w:color w:val="0D0D0D"/>
        </w:rPr>
        <w:t>Inducción</w:t>
      </w:r>
      <w:r>
        <w:rPr>
          <w:color w:val="0D0D0D"/>
          <w:spacing w:val="-5"/>
        </w:rPr>
        <w:t> </w:t>
      </w:r>
      <w:r>
        <w:rPr>
          <w:color w:val="0D0D0D"/>
        </w:rPr>
        <w:t>y</w:t>
      </w:r>
      <w:r>
        <w:rPr>
          <w:color w:val="0D0D0D"/>
          <w:spacing w:val="-3"/>
        </w:rPr>
        <w:t> </w:t>
      </w:r>
      <w:r>
        <w:rPr>
          <w:color w:val="0D0D0D"/>
          <w:spacing w:val="-2"/>
        </w:rPr>
        <w:t>mantenimiento</w:t>
      </w:r>
    </w:p>
    <w:p>
      <w:pPr>
        <w:pStyle w:val="BodyText"/>
        <w:rPr>
          <w:b/>
        </w:rPr>
      </w:pPr>
    </w:p>
    <w:p>
      <w:pPr>
        <w:pStyle w:val="BodyText"/>
        <w:spacing w:line="480" w:lineRule="auto"/>
        <w:ind w:left="568" w:right="138"/>
        <w:jc w:val="both"/>
      </w:pPr>
      <w:r>
        <w:rPr/>
        <w:t>La inducción anestésica corresponde a la</w:t>
      </w:r>
      <w:r>
        <w:rPr>
          <w:spacing w:val="-1"/>
        </w:rPr>
        <w:t> </w:t>
      </w:r>
      <w:r>
        <w:rPr/>
        <w:t>fase inicial en la que se busca lograr una pérdida rápida, controlada e incluso reversible de la consciencia para facilitar la intubación endotraqueal, por lo tanto, en este estudio se empleó como agente inductor el propofol, un anestésico hipnótico de acción corta administrado por vía intravenosa (IV) a una dosis de 4 mg/Kg, dado que durante esta etapa pueden producirse</w:t>
      </w:r>
      <w:r>
        <w:rPr>
          <w:spacing w:val="-5"/>
        </w:rPr>
        <w:t> </w:t>
      </w:r>
      <w:r>
        <w:rPr/>
        <w:t>cambios</w:t>
      </w:r>
      <w:r>
        <w:rPr>
          <w:spacing w:val="-8"/>
        </w:rPr>
        <w:t> </w:t>
      </w:r>
      <w:r>
        <w:rPr/>
        <w:t>hemodinámicos</w:t>
      </w:r>
      <w:r>
        <w:rPr>
          <w:spacing w:val="-8"/>
        </w:rPr>
        <w:t> </w:t>
      </w:r>
      <w:r>
        <w:rPr/>
        <w:t>transitorios,</w:t>
      </w:r>
      <w:r>
        <w:rPr>
          <w:spacing w:val="-6"/>
        </w:rPr>
        <w:t> </w:t>
      </w:r>
      <w:r>
        <w:rPr/>
        <w:t>resulta</w:t>
      </w:r>
      <w:r>
        <w:rPr>
          <w:spacing w:val="-5"/>
        </w:rPr>
        <w:t> </w:t>
      </w:r>
      <w:r>
        <w:rPr/>
        <w:t>esencial</w:t>
      </w:r>
      <w:r>
        <w:rPr>
          <w:spacing w:val="-5"/>
        </w:rPr>
        <w:t> </w:t>
      </w:r>
      <w:r>
        <w:rPr/>
        <w:t>su</w:t>
      </w:r>
      <w:r>
        <w:rPr>
          <w:spacing w:val="-6"/>
        </w:rPr>
        <w:t> </w:t>
      </w:r>
      <w:r>
        <w:rPr/>
        <w:t>administración en forma de dosis-respuesta, es decir, titulada a efecto, esta metodología individualizada reduce la probabilidad de inducir una hipotensión marcada, así como depresión cardiovascular, optimizando el perfil de seguridad del fármaco (Grubb et al., 2020; Sarotti et al., 2024).</w:t>
      </w:r>
    </w:p>
    <w:p>
      <w:pPr>
        <w:pStyle w:val="BodyText"/>
        <w:spacing w:line="480" w:lineRule="auto" w:before="2"/>
        <w:ind w:left="568" w:right="146"/>
        <w:jc w:val="both"/>
      </w:pPr>
      <w:r>
        <w:rPr/>
        <w:t>Posterior a la intubación, se inicia la fase de mantenimiento anestésico, cuya finalidad</w:t>
      </w:r>
      <w:r>
        <w:rPr>
          <w:spacing w:val="-10"/>
        </w:rPr>
        <w:t> </w:t>
      </w:r>
      <w:r>
        <w:rPr/>
        <w:t>clínica</w:t>
      </w:r>
      <w:r>
        <w:rPr>
          <w:spacing w:val="-9"/>
        </w:rPr>
        <w:t> </w:t>
      </w:r>
      <w:r>
        <w:rPr/>
        <w:t>es</w:t>
      </w:r>
      <w:r>
        <w:rPr>
          <w:spacing w:val="-12"/>
        </w:rPr>
        <w:t> </w:t>
      </w:r>
      <w:r>
        <w:rPr/>
        <w:t>conservar</w:t>
      </w:r>
      <w:r>
        <w:rPr>
          <w:spacing w:val="-10"/>
        </w:rPr>
        <w:t> </w:t>
      </w:r>
      <w:r>
        <w:rPr/>
        <w:t>un</w:t>
      </w:r>
      <w:r>
        <w:rPr>
          <w:spacing w:val="-10"/>
        </w:rPr>
        <w:t> </w:t>
      </w:r>
      <w:r>
        <w:rPr/>
        <w:t>plano</w:t>
      </w:r>
      <w:r>
        <w:rPr>
          <w:spacing w:val="-10"/>
        </w:rPr>
        <w:t> </w:t>
      </w:r>
      <w:r>
        <w:rPr/>
        <w:t>anestésico</w:t>
      </w:r>
      <w:r>
        <w:rPr>
          <w:spacing w:val="-10"/>
        </w:rPr>
        <w:t> </w:t>
      </w:r>
      <w:r>
        <w:rPr/>
        <w:t>estable</w:t>
      </w:r>
      <w:r>
        <w:rPr>
          <w:spacing w:val="-9"/>
        </w:rPr>
        <w:t> </w:t>
      </w:r>
      <w:r>
        <w:rPr/>
        <w:t>y</w:t>
      </w:r>
      <w:r>
        <w:rPr>
          <w:spacing w:val="-10"/>
        </w:rPr>
        <w:t> </w:t>
      </w:r>
      <w:r>
        <w:rPr/>
        <w:t>controlado</w:t>
      </w:r>
      <w:r>
        <w:rPr>
          <w:spacing w:val="-10"/>
        </w:rPr>
        <w:t> </w:t>
      </w:r>
      <w:r>
        <w:rPr/>
        <w:t>durante</w:t>
      </w:r>
      <w:r>
        <w:rPr>
          <w:spacing w:val="-9"/>
        </w:rPr>
        <w:t> </w:t>
      </w:r>
      <w:r>
        <w:rPr/>
        <w:t>todo el</w:t>
      </w:r>
      <w:r>
        <w:rPr>
          <w:spacing w:val="29"/>
        </w:rPr>
        <w:t> </w:t>
      </w:r>
      <w:r>
        <w:rPr/>
        <w:t>procedimiento</w:t>
      </w:r>
      <w:r>
        <w:rPr>
          <w:spacing w:val="29"/>
        </w:rPr>
        <w:t> </w:t>
      </w:r>
      <w:r>
        <w:rPr/>
        <w:t>quirúrgico,</w:t>
      </w:r>
      <w:r>
        <w:rPr>
          <w:spacing w:val="25"/>
        </w:rPr>
        <w:t> </w:t>
      </w:r>
      <w:r>
        <w:rPr/>
        <w:t>evitando</w:t>
      </w:r>
      <w:r>
        <w:rPr>
          <w:spacing w:val="28"/>
        </w:rPr>
        <w:t> </w:t>
      </w:r>
      <w:r>
        <w:rPr/>
        <w:t>fluctuaciones</w:t>
      </w:r>
      <w:r>
        <w:rPr>
          <w:spacing w:val="24"/>
        </w:rPr>
        <w:t> </w:t>
      </w:r>
      <w:r>
        <w:rPr/>
        <w:t>excesivas</w:t>
      </w:r>
      <w:r>
        <w:rPr>
          <w:spacing w:val="28"/>
        </w:rPr>
        <w:t> </w:t>
      </w:r>
      <w:r>
        <w:rPr/>
        <w:t>en</w:t>
      </w:r>
      <w:r>
        <w:rPr>
          <w:spacing w:val="25"/>
        </w:rPr>
        <w:t> </w:t>
      </w:r>
      <w:r>
        <w:rPr/>
        <w:t>los</w:t>
      </w:r>
      <w:r>
        <w:rPr>
          <w:spacing w:val="28"/>
        </w:rPr>
        <w:t> </w:t>
      </w:r>
      <w:r>
        <w:rPr>
          <w:spacing w:val="-2"/>
        </w:rPr>
        <w:t>parámetros</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8"/>
        <w:jc w:val="both"/>
      </w:pPr>
      <w:r>
        <w:rPr/>
        <w:t>cardiorrespiratorios. Para este fin, el protocolo establece el uso de sevoflurano, un anestésico inhalatorio halogenado administrado por vía inhalatoria en un rango de concentración</w:t>
      </w:r>
      <w:r>
        <w:rPr>
          <w:spacing w:val="-3"/>
        </w:rPr>
        <w:t> </w:t>
      </w:r>
      <w:r>
        <w:rPr/>
        <w:t>del</w:t>
      </w:r>
      <w:r>
        <w:rPr>
          <w:spacing w:val="-2"/>
        </w:rPr>
        <w:t> </w:t>
      </w:r>
      <w:r>
        <w:rPr/>
        <w:t>2,5%</w:t>
      </w:r>
      <w:r>
        <w:rPr>
          <w:spacing w:val="-7"/>
        </w:rPr>
        <w:t> </w:t>
      </w:r>
      <w:r>
        <w:rPr/>
        <w:t>al</w:t>
      </w:r>
      <w:r>
        <w:rPr>
          <w:spacing w:val="-2"/>
        </w:rPr>
        <w:t> </w:t>
      </w:r>
      <w:r>
        <w:rPr/>
        <w:t>3%.</w:t>
      </w:r>
      <w:r>
        <w:rPr>
          <w:spacing w:val="-3"/>
        </w:rPr>
        <w:t> </w:t>
      </w:r>
      <w:r>
        <w:rPr/>
        <w:t>El</w:t>
      </w:r>
      <w:r>
        <w:rPr>
          <w:spacing w:val="-2"/>
        </w:rPr>
        <w:t> </w:t>
      </w:r>
      <w:r>
        <w:rPr/>
        <w:t>sevoflurano</w:t>
      </w:r>
      <w:r>
        <w:rPr>
          <w:spacing w:val="-3"/>
        </w:rPr>
        <w:t> </w:t>
      </w:r>
      <w:r>
        <w:rPr/>
        <w:t>es</w:t>
      </w:r>
      <w:r>
        <w:rPr>
          <w:spacing w:val="-5"/>
        </w:rPr>
        <w:t> </w:t>
      </w:r>
      <w:r>
        <w:rPr/>
        <w:t>ampliamente</w:t>
      </w:r>
      <w:r>
        <w:rPr>
          <w:spacing w:val="-2"/>
        </w:rPr>
        <w:t> </w:t>
      </w:r>
      <w:r>
        <w:rPr/>
        <w:t>utilizado</w:t>
      </w:r>
      <w:r>
        <w:rPr>
          <w:spacing w:val="-3"/>
        </w:rPr>
        <w:t> </w:t>
      </w:r>
      <w:r>
        <w:rPr/>
        <w:t>en</w:t>
      </w:r>
      <w:r>
        <w:rPr>
          <w:spacing w:val="-3"/>
        </w:rPr>
        <w:t> </w:t>
      </w:r>
      <w:r>
        <w:rPr/>
        <w:t>caninos debido a su baja solubilidad sanguínea, lo que permite un ajuste rápido de la profundidad</w:t>
      </w:r>
      <w:r>
        <w:rPr>
          <w:spacing w:val="-1"/>
        </w:rPr>
        <w:t> </w:t>
      </w:r>
      <w:r>
        <w:rPr/>
        <w:t>anestésica y</w:t>
      </w:r>
      <w:r>
        <w:rPr>
          <w:spacing w:val="-1"/>
        </w:rPr>
        <w:t> </w:t>
      </w:r>
      <w:r>
        <w:rPr/>
        <w:t>una recuperación</w:t>
      </w:r>
      <w:r>
        <w:rPr>
          <w:spacing w:val="-1"/>
        </w:rPr>
        <w:t> </w:t>
      </w:r>
      <w:r>
        <w:rPr/>
        <w:t>predecible (Grubb</w:t>
      </w:r>
      <w:r>
        <w:rPr>
          <w:spacing w:val="-1"/>
        </w:rPr>
        <w:t> </w:t>
      </w:r>
      <w:r>
        <w:rPr/>
        <w:t>et al.,</w:t>
      </w:r>
      <w:r>
        <w:rPr>
          <w:spacing w:val="-1"/>
        </w:rPr>
        <w:t> </w:t>
      </w:r>
      <w:r>
        <w:rPr/>
        <w:t>2020; Murillo et al., 2025).</w:t>
      </w:r>
    </w:p>
    <w:p>
      <w:pPr>
        <w:pStyle w:val="BodyText"/>
        <w:spacing w:line="480" w:lineRule="auto" w:before="1"/>
        <w:ind w:left="568" w:right="136"/>
        <w:jc w:val="both"/>
      </w:pPr>
      <w:r>
        <w:rPr/>
        <w:t>En líneas generales, la inducción con propofol titulada a efecto junto al mantenimiento inhalatorio con sevoflurano consolidan un binomio anestésico altamente eficaz en la práctica veterinaria, de tal modo, la estabilidad del paciente intraoperatorio no depende exclusivamente de las propiedades de los agentes seleccionados, sino del ajuste dinámico de las dosis como de las concentraciones en función de la respuesta individual, el estado fisiológico basal del canino como de la</w:t>
      </w:r>
      <w:r>
        <w:rPr>
          <w:spacing w:val="-2"/>
        </w:rPr>
        <w:t> </w:t>
      </w:r>
      <w:r>
        <w:rPr/>
        <w:t>cirugía, por lo</w:t>
      </w:r>
      <w:r>
        <w:rPr>
          <w:spacing w:val="-3"/>
        </w:rPr>
        <w:t> </w:t>
      </w:r>
      <w:r>
        <w:rPr/>
        <w:t>tanto,</w:t>
      </w:r>
      <w:r>
        <w:rPr>
          <w:spacing w:val="-3"/>
        </w:rPr>
        <w:t> </w:t>
      </w:r>
      <w:r>
        <w:rPr/>
        <w:t>la</w:t>
      </w:r>
      <w:r>
        <w:rPr>
          <w:spacing w:val="-2"/>
        </w:rPr>
        <w:t> </w:t>
      </w:r>
      <w:r>
        <w:rPr/>
        <w:t>monitorización cardiorrespiratoria continua junto</w:t>
      </w:r>
      <w:r>
        <w:rPr>
          <w:spacing w:val="-3"/>
        </w:rPr>
        <w:t> </w:t>
      </w:r>
      <w:r>
        <w:rPr/>
        <w:t>con la correcta interpretación de las tendencias clínicas resultan herramientas primordiales para anticipar alteraciones hemodinámicas, sostener la perfusión tisular e incluso minimizar los riesgos perioperatorios.</w:t>
      </w:r>
    </w:p>
    <w:p>
      <w:pPr>
        <w:pStyle w:val="Heading3"/>
        <w:numPr>
          <w:ilvl w:val="1"/>
          <w:numId w:val="8"/>
        </w:numPr>
        <w:tabs>
          <w:tab w:pos="1204" w:val="left" w:leader="none"/>
        </w:tabs>
        <w:spacing w:line="240" w:lineRule="auto" w:before="162" w:after="0"/>
        <w:ind w:left="1204" w:right="0" w:hanging="636"/>
        <w:jc w:val="both"/>
      </w:pPr>
      <w:bookmarkStart w:name="_bookmark19" w:id="20"/>
      <w:bookmarkEnd w:id="20"/>
      <w:r>
        <w:rPr>
          <w:spacing w:val="-2"/>
        </w:rPr>
        <w:t>D</w:t>
      </w:r>
      <w:r>
        <w:rPr>
          <w:spacing w:val="-2"/>
        </w:rPr>
        <w:t>exmedetomidina</w:t>
      </w:r>
    </w:p>
    <w:p>
      <w:pPr>
        <w:pStyle w:val="BodyText"/>
        <w:spacing w:before="240"/>
        <w:rPr>
          <w:b/>
        </w:rPr>
      </w:pPr>
    </w:p>
    <w:p>
      <w:pPr>
        <w:pStyle w:val="BodyText"/>
        <w:spacing w:line="480" w:lineRule="auto"/>
        <w:ind w:left="568" w:right="137"/>
        <w:jc w:val="both"/>
      </w:pPr>
      <w:r>
        <w:rPr>
          <w:color w:val="0D0D0D"/>
        </w:rPr>
        <w:t>La dexmedetomidina es un agonista altamente selectivo de los receptores de los receptores </w:t>
      </w:r>
      <w:r>
        <w:rPr>
          <w:rFonts w:ascii="Cambria Math" w:hAnsi="Cambria Math" w:eastAsia="Cambria Math"/>
          <w:color w:val="0D0D0D"/>
        </w:rPr>
        <w:t>𝛼</w:t>
      </w:r>
      <w:r>
        <w:rPr>
          <w:rFonts w:ascii="Cambria Math" w:hAnsi="Cambria Math" w:eastAsia="Cambria Math"/>
          <w:color w:val="0D0D0D"/>
          <w:vertAlign w:val="subscript"/>
        </w:rPr>
        <w:t>2</w:t>
      </w:r>
      <w:r>
        <w:rPr>
          <w:color w:val="0D0D0D"/>
          <w:vertAlign w:val="baseline"/>
        </w:rPr>
        <w:t>-adrenérgicos que ha adquirido un papel en la medicina veterinaria moderna,</w:t>
      </w:r>
      <w:r>
        <w:rPr>
          <w:color w:val="0D0D0D"/>
          <w:spacing w:val="-11"/>
          <w:vertAlign w:val="baseline"/>
        </w:rPr>
        <w:t> </w:t>
      </w:r>
      <w:r>
        <w:rPr>
          <w:color w:val="0D0D0D"/>
          <w:vertAlign w:val="baseline"/>
        </w:rPr>
        <w:t>dentro</w:t>
      </w:r>
      <w:r>
        <w:rPr>
          <w:color w:val="0D0D0D"/>
          <w:spacing w:val="-10"/>
          <w:vertAlign w:val="baseline"/>
        </w:rPr>
        <w:t> </w:t>
      </w:r>
      <w:r>
        <w:rPr>
          <w:color w:val="0D0D0D"/>
          <w:vertAlign w:val="baseline"/>
        </w:rPr>
        <w:t>de</w:t>
      </w:r>
      <w:r>
        <w:rPr>
          <w:color w:val="0D0D0D"/>
          <w:spacing w:val="-9"/>
          <w:vertAlign w:val="baseline"/>
        </w:rPr>
        <w:t> </w:t>
      </w:r>
      <w:r>
        <w:rPr>
          <w:color w:val="0D0D0D"/>
          <w:vertAlign w:val="baseline"/>
        </w:rPr>
        <w:t>protocolos</w:t>
      </w:r>
      <w:r>
        <w:rPr>
          <w:color w:val="0D0D0D"/>
          <w:spacing w:val="-12"/>
          <w:vertAlign w:val="baseline"/>
        </w:rPr>
        <w:t> </w:t>
      </w:r>
      <w:r>
        <w:rPr>
          <w:color w:val="0D0D0D"/>
          <w:vertAlign w:val="baseline"/>
        </w:rPr>
        <w:t>de</w:t>
      </w:r>
      <w:r>
        <w:rPr>
          <w:color w:val="0D0D0D"/>
          <w:spacing w:val="-9"/>
          <w:vertAlign w:val="baseline"/>
        </w:rPr>
        <w:t> </w:t>
      </w:r>
      <w:r>
        <w:rPr>
          <w:color w:val="0D0D0D"/>
          <w:vertAlign w:val="baseline"/>
        </w:rPr>
        <w:t>anestesia</w:t>
      </w:r>
      <w:r>
        <w:rPr>
          <w:color w:val="0D0D0D"/>
          <w:spacing w:val="-6"/>
          <w:vertAlign w:val="baseline"/>
        </w:rPr>
        <w:t> </w:t>
      </w:r>
      <w:r>
        <w:rPr>
          <w:color w:val="0D0D0D"/>
          <w:vertAlign w:val="baseline"/>
        </w:rPr>
        <w:t>balanceada</w:t>
      </w:r>
      <w:r>
        <w:rPr>
          <w:color w:val="0D0D0D"/>
          <w:spacing w:val="-9"/>
          <w:vertAlign w:val="baseline"/>
        </w:rPr>
        <w:t> </w:t>
      </w:r>
      <w:r>
        <w:rPr>
          <w:color w:val="0D0D0D"/>
          <w:vertAlign w:val="baseline"/>
        </w:rPr>
        <w:t>para</w:t>
      </w:r>
      <w:r>
        <w:rPr>
          <w:color w:val="0D0D0D"/>
          <w:spacing w:val="-6"/>
          <w:vertAlign w:val="baseline"/>
        </w:rPr>
        <w:t> </w:t>
      </w:r>
      <w:r>
        <w:rPr>
          <w:color w:val="0D0D0D"/>
          <w:vertAlign w:val="baseline"/>
        </w:rPr>
        <w:t>pequeños</w:t>
      </w:r>
      <w:r>
        <w:rPr>
          <w:color w:val="0D0D0D"/>
          <w:spacing w:val="-12"/>
          <w:vertAlign w:val="baseline"/>
        </w:rPr>
        <w:t> </w:t>
      </w:r>
      <w:r>
        <w:rPr>
          <w:color w:val="0D0D0D"/>
          <w:vertAlign w:val="baseline"/>
        </w:rPr>
        <w:t>animales.</w:t>
      </w:r>
      <w:r>
        <w:rPr>
          <w:color w:val="0D0D0D"/>
          <w:spacing w:val="-10"/>
          <w:vertAlign w:val="baseline"/>
        </w:rPr>
        <w:t> </w:t>
      </w:r>
      <w:r>
        <w:rPr>
          <w:color w:val="0D0D0D"/>
          <w:vertAlign w:val="baseline"/>
        </w:rPr>
        <w:t>Su perfil farmacológico combina efectos sedantes, analgésicos y ansiolíticos sobre la función</w:t>
      </w:r>
      <w:r>
        <w:rPr>
          <w:color w:val="0D0D0D"/>
          <w:spacing w:val="-2"/>
          <w:vertAlign w:val="baseline"/>
        </w:rPr>
        <w:t> </w:t>
      </w:r>
      <w:r>
        <w:rPr>
          <w:color w:val="0D0D0D"/>
          <w:vertAlign w:val="baseline"/>
        </w:rPr>
        <w:t>respiratoria,</w:t>
      </w:r>
      <w:r>
        <w:rPr>
          <w:color w:val="0D0D0D"/>
          <w:spacing w:val="-2"/>
          <w:vertAlign w:val="baseline"/>
        </w:rPr>
        <w:t> </w:t>
      </w:r>
      <w:r>
        <w:rPr>
          <w:color w:val="0D0D0D"/>
          <w:vertAlign w:val="baseline"/>
        </w:rPr>
        <w:t>se</w:t>
      </w:r>
      <w:r>
        <w:rPr>
          <w:color w:val="0D0D0D"/>
          <w:spacing w:val="-1"/>
          <w:vertAlign w:val="baseline"/>
        </w:rPr>
        <w:t> </w:t>
      </w:r>
      <w:r>
        <w:rPr>
          <w:color w:val="0D0D0D"/>
          <w:vertAlign w:val="baseline"/>
        </w:rPr>
        <w:t>convierte</w:t>
      </w:r>
      <w:r>
        <w:rPr>
          <w:color w:val="0D0D0D"/>
          <w:spacing w:val="-4"/>
          <w:vertAlign w:val="baseline"/>
        </w:rPr>
        <w:t> </w:t>
      </w:r>
      <w:r>
        <w:rPr>
          <w:color w:val="0D0D0D"/>
          <w:vertAlign w:val="baseline"/>
        </w:rPr>
        <w:t>en</w:t>
      </w:r>
      <w:r>
        <w:rPr>
          <w:color w:val="0D0D0D"/>
          <w:spacing w:val="-2"/>
          <w:vertAlign w:val="baseline"/>
        </w:rPr>
        <w:t> </w:t>
      </w:r>
      <w:r>
        <w:rPr>
          <w:color w:val="0D0D0D"/>
          <w:vertAlign w:val="baseline"/>
        </w:rPr>
        <w:t>una herramienta</w:t>
      </w:r>
      <w:r>
        <w:rPr>
          <w:color w:val="0D0D0D"/>
          <w:spacing w:val="-1"/>
          <w:vertAlign w:val="baseline"/>
        </w:rPr>
        <w:t> </w:t>
      </w:r>
      <w:r>
        <w:rPr>
          <w:color w:val="0D0D0D"/>
          <w:vertAlign w:val="baseline"/>
        </w:rPr>
        <w:t>valiosa</w:t>
      </w:r>
      <w:r>
        <w:rPr>
          <w:color w:val="0D0D0D"/>
          <w:spacing w:val="-1"/>
          <w:vertAlign w:val="baseline"/>
        </w:rPr>
        <w:t> </w:t>
      </w:r>
      <w:r>
        <w:rPr>
          <w:color w:val="0D0D0D"/>
          <w:vertAlign w:val="baseline"/>
        </w:rPr>
        <w:t>para</w:t>
      </w:r>
      <w:r>
        <w:rPr>
          <w:color w:val="0D0D0D"/>
          <w:spacing w:val="-1"/>
          <w:vertAlign w:val="baseline"/>
        </w:rPr>
        <w:t> </w:t>
      </w:r>
      <w:r>
        <w:rPr>
          <w:color w:val="0D0D0D"/>
          <w:vertAlign w:val="baseline"/>
        </w:rPr>
        <w:t>la</w:t>
      </w:r>
      <w:r>
        <w:rPr>
          <w:color w:val="0D0D0D"/>
          <w:spacing w:val="-1"/>
          <w:vertAlign w:val="baseline"/>
        </w:rPr>
        <w:t> </w:t>
      </w:r>
      <w:r>
        <w:rPr>
          <w:color w:val="0D0D0D"/>
          <w:vertAlign w:val="baseline"/>
        </w:rPr>
        <w:t>inducción</w:t>
      </w:r>
      <w:r>
        <w:rPr>
          <w:color w:val="0D0D0D"/>
          <w:spacing w:val="-2"/>
          <w:vertAlign w:val="baseline"/>
        </w:rPr>
        <w:t> </w:t>
      </w:r>
      <w:r>
        <w:rPr>
          <w:color w:val="0D0D0D"/>
          <w:vertAlign w:val="baseline"/>
        </w:rPr>
        <w:t>y</w:t>
      </w:r>
      <w:r>
        <w:rPr>
          <w:color w:val="0D0D0D"/>
          <w:spacing w:val="-2"/>
          <w:vertAlign w:val="baseline"/>
        </w:rPr>
        <w:t> </w:t>
      </w:r>
      <w:r>
        <w:rPr>
          <w:color w:val="0D0D0D"/>
          <w:vertAlign w:val="baseline"/>
        </w:rPr>
        <w:t>el mantenimiento anestésico en caninos sometidos a procedimientos quirúrgicos (Di Franco et al., 2023).</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6"/>
        <w:jc w:val="both"/>
      </w:pPr>
      <w:r>
        <w:rPr>
          <w:color w:val="0D0D0D"/>
        </w:rPr>
        <w:t>Exige una</w:t>
      </w:r>
      <w:r>
        <w:rPr>
          <w:color w:val="0D0D0D"/>
          <w:spacing w:val="-3"/>
        </w:rPr>
        <w:t> </w:t>
      </w:r>
      <w:r>
        <w:rPr>
          <w:color w:val="0D0D0D"/>
        </w:rPr>
        <w:t>evaluación</w:t>
      </w:r>
      <w:r>
        <w:rPr>
          <w:color w:val="0D0D0D"/>
          <w:spacing w:val="-1"/>
        </w:rPr>
        <w:t> </w:t>
      </w:r>
      <w:r>
        <w:rPr>
          <w:color w:val="0D0D0D"/>
        </w:rPr>
        <w:t>cuidadosa del</w:t>
      </w:r>
      <w:r>
        <w:rPr>
          <w:color w:val="0D0D0D"/>
          <w:spacing w:val="-3"/>
        </w:rPr>
        <w:t> </w:t>
      </w:r>
      <w:r>
        <w:rPr>
          <w:color w:val="0D0D0D"/>
        </w:rPr>
        <w:t>estado</w:t>
      </w:r>
      <w:r>
        <w:rPr>
          <w:color w:val="0D0D0D"/>
          <w:spacing w:val="-1"/>
        </w:rPr>
        <w:t> </w:t>
      </w:r>
      <w:r>
        <w:rPr>
          <w:color w:val="0D0D0D"/>
        </w:rPr>
        <w:t>cardiovascular</w:t>
      </w:r>
      <w:r>
        <w:rPr>
          <w:color w:val="0D0D0D"/>
          <w:spacing w:val="-1"/>
        </w:rPr>
        <w:t> </w:t>
      </w:r>
      <w:r>
        <w:rPr>
          <w:color w:val="0D0D0D"/>
        </w:rPr>
        <w:t>de</w:t>
      </w:r>
      <w:r>
        <w:rPr>
          <w:color w:val="0D0D0D"/>
          <w:spacing w:val="-3"/>
        </w:rPr>
        <w:t> </w:t>
      </w:r>
      <w:r>
        <w:rPr>
          <w:color w:val="0D0D0D"/>
        </w:rPr>
        <w:t>cada paciente</w:t>
      </w:r>
      <w:r>
        <w:rPr>
          <w:color w:val="0D0D0D"/>
          <w:spacing w:val="-3"/>
        </w:rPr>
        <w:t> </w:t>
      </w:r>
      <w:r>
        <w:rPr>
          <w:color w:val="0D0D0D"/>
        </w:rPr>
        <w:t>al</w:t>
      </w:r>
      <w:r>
        <w:rPr>
          <w:color w:val="0D0D0D"/>
          <w:spacing w:val="-1"/>
        </w:rPr>
        <w:t> </w:t>
      </w:r>
      <w:r>
        <w:rPr>
          <w:color w:val="0D0D0D"/>
        </w:rPr>
        <w:t>usar la</w:t>
      </w:r>
      <w:r>
        <w:rPr>
          <w:color w:val="0D0D0D"/>
          <w:spacing w:val="-11"/>
        </w:rPr>
        <w:t> </w:t>
      </w:r>
      <w:r>
        <w:rPr>
          <w:color w:val="0D0D0D"/>
        </w:rPr>
        <w:t>dexmedetomidina,</w:t>
      </w:r>
      <w:r>
        <w:rPr>
          <w:color w:val="0D0D0D"/>
          <w:spacing w:val="-12"/>
        </w:rPr>
        <w:t> </w:t>
      </w:r>
      <w:r>
        <w:rPr>
          <w:color w:val="0D0D0D"/>
        </w:rPr>
        <w:t>dado</w:t>
      </w:r>
      <w:r>
        <w:rPr>
          <w:color w:val="0D0D0D"/>
          <w:spacing w:val="-13"/>
        </w:rPr>
        <w:t> </w:t>
      </w:r>
      <w:r>
        <w:rPr>
          <w:color w:val="0D0D0D"/>
        </w:rPr>
        <w:t>que</w:t>
      </w:r>
      <w:r>
        <w:rPr>
          <w:color w:val="0D0D0D"/>
          <w:spacing w:val="-15"/>
        </w:rPr>
        <w:t> </w:t>
      </w:r>
      <w:r>
        <w:rPr>
          <w:color w:val="0D0D0D"/>
        </w:rPr>
        <w:t>sus</w:t>
      </w:r>
      <w:r>
        <w:rPr>
          <w:color w:val="0D0D0D"/>
          <w:spacing w:val="-14"/>
        </w:rPr>
        <w:t> </w:t>
      </w:r>
      <w:r>
        <w:rPr>
          <w:color w:val="0D0D0D"/>
        </w:rPr>
        <w:t>acciones</w:t>
      </w:r>
      <w:r>
        <w:rPr>
          <w:color w:val="0D0D0D"/>
          <w:spacing w:val="-14"/>
        </w:rPr>
        <w:t> </w:t>
      </w:r>
      <w:r>
        <w:rPr>
          <w:color w:val="0D0D0D"/>
        </w:rPr>
        <w:t>vasoconstrictoras</w:t>
      </w:r>
      <w:r>
        <w:rPr>
          <w:color w:val="0D0D0D"/>
          <w:spacing w:val="-14"/>
        </w:rPr>
        <w:t> </w:t>
      </w:r>
      <w:r>
        <w:rPr>
          <w:color w:val="0D0D0D"/>
        </w:rPr>
        <w:t>iniciales,</w:t>
      </w:r>
      <w:r>
        <w:rPr>
          <w:color w:val="0D0D0D"/>
          <w:spacing w:val="-7"/>
        </w:rPr>
        <w:t> </w:t>
      </w:r>
      <w:r>
        <w:rPr>
          <w:color w:val="0D0D0D"/>
        </w:rPr>
        <w:t>seguidas</w:t>
      </w:r>
      <w:r>
        <w:rPr>
          <w:color w:val="0D0D0D"/>
          <w:spacing w:val="-14"/>
        </w:rPr>
        <w:t> </w:t>
      </w:r>
      <w:r>
        <w:rPr>
          <w:color w:val="0D0D0D"/>
        </w:rPr>
        <w:t>de una</w:t>
      </w:r>
      <w:r>
        <w:rPr>
          <w:color w:val="0D0D0D"/>
          <w:spacing w:val="-2"/>
        </w:rPr>
        <w:t> </w:t>
      </w:r>
      <w:r>
        <w:rPr>
          <w:color w:val="0D0D0D"/>
        </w:rPr>
        <w:t>activación</w:t>
      </w:r>
      <w:r>
        <w:rPr>
          <w:color w:val="0D0D0D"/>
          <w:spacing w:val="-3"/>
        </w:rPr>
        <w:t> </w:t>
      </w:r>
      <w:r>
        <w:rPr>
          <w:color w:val="0D0D0D"/>
        </w:rPr>
        <w:t>del</w:t>
      </w:r>
      <w:r>
        <w:rPr>
          <w:color w:val="0D0D0D"/>
          <w:spacing w:val="-2"/>
        </w:rPr>
        <w:t> </w:t>
      </w:r>
      <w:r>
        <w:rPr>
          <w:color w:val="0D0D0D"/>
        </w:rPr>
        <w:t>tono</w:t>
      </w:r>
      <w:r>
        <w:rPr>
          <w:color w:val="0D0D0D"/>
          <w:spacing w:val="-3"/>
        </w:rPr>
        <w:t> </w:t>
      </w:r>
      <w:r>
        <w:rPr>
          <w:color w:val="0D0D0D"/>
        </w:rPr>
        <w:t>parasimpático,</w:t>
      </w:r>
      <w:r>
        <w:rPr>
          <w:color w:val="0D0D0D"/>
          <w:spacing w:val="-3"/>
        </w:rPr>
        <w:t> </w:t>
      </w:r>
      <w:r>
        <w:rPr>
          <w:color w:val="0D0D0D"/>
        </w:rPr>
        <w:t>pueden</w:t>
      </w:r>
      <w:r>
        <w:rPr>
          <w:color w:val="0D0D0D"/>
          <w:spacing w:val="-3"/>
        </w:rPr>
        <w:t> </w:t>
      </w:r>
      <w:r>
        <w:rPr>
          <w:color w:val="0D0D0D"/>
        </w:rPr>
        <w:t>inducir</w:t>
      </w:r>
      <w:r>
        <w:rPr>
          <w:color w:val="0D0D0D"/>
          <w:spacing w:val="-7"/>
        </w:rPr>
        <w:t> </w:t>
      </w:r>
      <w:r>
        <w:rPr>
          <w:color w:val="0D0D0D"/>
        </w:rPr>
        <w:t>cambios significativos</w:t>
      </w:r>
      <w:r>
        <w:rPr>
          <w:color w:val="0D0D0D"/>
          <w:spacing w:val="-2"/>
        </w:rPr>
        <w:t> </w:t>
      </w:r>
      <w:r>
        <w:rPr>
          <w:color w:val="0D0D0D"/>
        </w:rPr>
        <w:t>en</w:t>
      </w:r>
      <w:r>
        <w:rPr>
          <w:color w:val="0D0D0D"/>
          <w:spacing w:val="-3"/>
        </w:rPr>
        <w:t> </w:t>
      </w:r>
      <w:r>
        <w:rPr>
          <w:color w:val="0D0D0D"/>
        </w:rPr>
        <w:t>la frecuencia cardíaca y el control de la presión arterial. Por ello, su empleo en medicina</w:t>
      </w:r>
      <w:r>
        <w:rPr>
          <w:color w:val="0D0D0D"/>
          <w:spacing w:val="-3"/>
        </w:rPr>
        <w:t> </w:t>
      </w:r>
      <w:r>
        <w:rPr>
          <w:color w:val="0D0D0D"/>
        </w:rPr>
        <w:t>veterinaria</w:t>
      </w:r>
      <w:r>
        <w:rPr>
          <w:color w:val="0D0D0D"/>
          <w:spacing w:val="-3"/>
        </w:rPr>
        <w:t> </w:t>
      </w:r>
      <w:r>
        <w:rPr>
          <w:color w:val="0D0D0D"/>
        </w:rPr>
        <w:t>debe</w:t>
      </w:r>
      <w:r>
        <w:rPr>
          <w:color w:val="0D0D0D"/>
          <w:spacing w:val="-7"/>
        </w:rPr>
        <w:t> </w:t>
      </w:r>
      <w:r>
        <w:rPr>
          <w:color w:val="0D0D0D"/>
        </w:rPr>
        <w:t>integrarse</w:t>
      </w:r>
      <w:r>
        <w:rPr>
          <w:color w:val="0D0D0D"/>
          <w:spacing w:val="-7"/>
        </w:rPr>
        <w:t> </w:t>
      </w:r>
      <w:r>
        <w:rPr>
          <w:color w:val="0D0D0D"/>
        </w:rPr>
        <w:t>en</w:t>
      </w:r>
      <w:r>
        <w:rPr>
          <w:color w:val="0D0D0D"/>
          <w:spacing w:val="-4"/>
        </w:rPr>
        <w:t> </w:t>
      </w:r>
      <w:r>
        <w:rPr>
          <w:color w:val="0D0D0D"/>
        </w:rPr>
        <w:t>protocolos</w:t>
      </w:r>
      <w:r>
        <w:rPr>
          <w:color w:val="0D0D0D"/>
          <w:spacing w:val="-6"/>
        </w:rPr>
        <w:t> </w:t>
      </w:r>
      <w:r>
        <w:rPr>
          <w:color w:val="0D0D0D"/>
        </w:rPr>
        <w:t>multimodales</w:t>
      </w:r>
      <w:r>
        <w:rPr>
          <w:color w:val="0D0D0D"/>
          <w:spacing w:val="-6"/>
        </w:rPr>
        <w:t> </w:t>
      </w:r>
      <w:r>
        <w:rPr>
          <w:color w:val="0D0D0D"/>
        </w:rPr>
        <w:t>que</w:t>
      </w:r>
      <w:r>
        <w:rPr>
          <w:color w:val="0D0D0D"/>
          <w:spacing w:val="-7"/>
        </w:rPr>
        <w:t> </w:t>
      </w:r>
      <w:r>
        <w:rPr>
          <w:color w:val="0D0D0D"/>
        </w:rPr>
        <w:t>consideren</w:t>
      </w:r>
      <w:r>
        <w:rPr>
          <w:color w:val="0D0D0D"/>
          <w:spacing w:val="-4"/>
        </w:rPr>
        <w:t> </w:t>
      </w:r>
      <w:r>
        <w:rPr>
          <w:color w:val="0D0D0D"/>
        </w:rPr>
        <w:t>el equilibrio</w:t>
      </w:r>
      <w:r>
        <w:rPr>
          <w:color w:val="0D0D0D"/>
          <w:spacing w:val="-1"/>
        </w:rPr>
        <w:t> </w:t>
      </w:r>
      <w:r>
        <w:rPr>
          <w:color w:val="0D0D0D"/>
        </w:rPr>
        <w:t>entre sedación,</w:t>
      </w:r>
      <w:r>
        <w:rPr>
          <w:color w:val="0D0D0D"/>
          <w:spacing w:val="-1"/>
        </w:rPr>
        <w:t> </w:t>
      </w:r>
      <w:r>
        <w:rPr>
          <w:color w:val="0D0D0D"/>
        </w:rPr>
        <w:t>analgesia y</w:t>
      </w:r>
      <w:r>
        <w:rPr>
          <w:color w:val="0D0D0D"/>
          <w:spacing w:val="-1"/>
        </w:rPr>
        <w:t> </w:t>
      </w:r>
      <w:r>
        <w:rPr>
          <w:color w:val="0D0D0D"/>
        </w:rPr>
        <w:t>estabilidad hemodinámica </w:t>
      </w:r>
      <w:r>
        <w:rPr/>
        <w:t>(Pan</w:t>
      </w:r>
      <w:r>
        <w:rPr>
          <w:spacing w:val="-6"/>
        </w:rPr>
        <w:t> </w:t>
      </w:r>
      <w:r>
        <w:rPr/>
        <w:t>et al.,</w:t>
      </w:r>
      <w:r>
        <w:rPr>
          <w:spacing w:val="-1"/>
        </w:rPr>
        <w:t> </w:t>
      </w:r>
      <w:r>
        <w:rPr/>
        <w:t>2021).</w:t>
      </w:r>
    </w:p>
    <w:p>
      <w:pPr>
        <w:pStyle w:val="Heading3"/>
        <w:numPr>
          <w:ilvl w:val="2"/>
          <w:numId w:val="8"/>
        </w:numPr>
        <w:tabs>
          <w:tab w:pos="1288" w:val="left" w:leader="none"/>
        </w:tabs>
        <w:spacing w:line="240" w:lineRule="auto" w:before="1" w:after="0"/>
        <w:ind w:left="1288" w:right="0" w:hanging="720"/>
        <w:jc w:val="both"/>
      </w:pPr>
      <w:bookmarkStart w:name="_bookmark20" w:id="21"/>
      <w:bookmarkEnd w:id="21"/>
      <w:r>
        <w:rPr>
          <w:b w:val="0"/>
        </w:rPr>
      </w:r>
      <w:r>
        <w:rPr>
          <w:color w:val="0D0D0D"/>
        </w:rPr>
        <w:t>Características</w:t>
      </w:r>
      <w:r>
        <w:rPr>
          <w:color w:val="0D0D0D"/>
          <w:spacing w:val="-2"/>
        </w:rPr>
        <w:t> farmacológicas</w:t>
      </w:r>
    </w:p>
    <w:p>
      <w:pPr>
        <w:pStyle w:val="BodyText"/>
        <w:spacing w:before="240"/>
        <w:rPr>
          <w:b/>
        </w:rPr>
      </w:pPr>
    </w:p>
    <w:p>
      <w:pPr>
        <w:pStyle w:val="BodyText"/>
        <w:spacing w:line="480" w:lineRule="auto" w:before="1"/>
        <w:ind w:left="568" w:right="137"/>
        <w:jc w:val="both"/>
      </w:pPr>
      <w:r>
        <w:rPr>
          <w:color w:val="0D0D0D"/>
        </w:rPr>
        <w:t>El</w:t>
      </w:r>
      <w:r>
        <w:rPr>
          <w:color w:val="0D0D0D"/>
          <w:spacing w:val="-15"/>
        </w:rPr>
        <w:t> </w:t>
      </w:r>
      <w:r>
        <w:rPr>
          <w:color w:val="0D0D0D"/>
        </w:rPr>
        <w:t>perfil</w:t>
      </w:r>
      <w:r>
        <w:rPr>
          <w:color w:val="0D0D0D"/>
          <w:spacing w:val="-15"/>
        </w:rPr>
        <w:t> </w:t>
      </w:r>
      <w:r>
        <w:rPr>
          <w:color w:val="0D0D0D"/>
        </w:rPr>
        <w:t>farmacológico</w:t>
      </w:r>
      <w:r>
        <w:rPr>
          <w:color w:val="0D0D0D"/>
          <w:spacing w:val="-15"/>
        </w:rPr>
        <w:t> </w:t>
      </w:r>
      <w:r>
        <w:rPr>
          <w:color w:val="0D0D0D"/>
        </w:rPr>
        <w:t>de</w:t>
      </w:r>
      <w:r>
        <w:rPr>
          <w:color w:val="0D0D0D"/>
          <w:spacing w:val="-15"/>
        </w:rPr>
        <w:t> </w:t>
      </w:r>
      <w:r>
        <w:rPr>
          <w:color w:val="0D0D0D"/>
        </w:rPr>
        <w:t>la</w:t>
      </w:r>
      <w:r>
        <w:rPr>
          <w:color w:val="0D0D0D"/>
          <w:spacing w:val="-15"/>
        </w:rPr>
        <w:t> </w:t>
      </w:r>
      <w:r>
        <w:rPr>
          <w:color w:val="0D0D0D"/>
        </w:rPr>
        <w:t>dexmedetomidina</w:t>
      </w:r>
      <w:r>
        <w:rPr>
          <w:color w:val="0D0D0D"/>
          <w:spacing w:val="-15"/>
        </w:rPr>
        <w:t> </w:t>
      </w:r>
      <w:r>
        <w:rPr>
          <w:color w:val="0D0D0D"/>
        </w:rPr>
        <w:t>combina</w:t>
      </w:r>
      <w:r>
        <w:rPr>
          <w:color w:val="0D0D0D"/>
          <w:spacing w:val="-15"/>
        </w:rPr>
        <w:t> </w:t>
      </w:r>
      <w:r>
        <w:rPr>
          <w:color w:val="0D0D0D"/>
        </w:rPr>
        <w:t>una</w:t>
      </w:r>
      <w:r>
        <w:rPr>
          <w:color w:val="0D0D0D"/>
          <w:spacing w:val="-15"/>
        </w:rPr>
        <w:t> </w:t>
      </w:r>
      <w:r>
        <w:rPr>
          <w:color w:val="0D0D0D"/>
        </w:rPr>
        <w:t>potente</w:t>
      </w:r>
      <w:r>
        <w:rPr>
          <w:color w:val="0D0D0D"/>
          <w:spacing w:val="-15"/>
        </w:rPr>
        <w:t> </w:t>
      </w:r>
      <w:r>
        <w:rPr>
          <w:color w:val="0D0D0D"/>
        </w:rPr>
        <w:t>acción</w:t>
      </w:r>
      <w:r>
        <w:rPr>
          <w:color w:val="0D0D0D"/>
          <w:spacing w:val="-15"/>
        </w:rPr>
        <w:t> </w:t>
      </w:r>
      <w:r>
        <w:rPr>
          <w:color w:val="0D0D0D"/>
        </w:rPr>
        <w:t>sedante y analgésica junto con un impacto moderado sobre la función respiratoria, este efecto clínico la posiciona como un agente de alto valor dentro de los protocolos anestésicos veterinarios en animales de pequeño tamaño.</w:t>
      </w:r>
    </w:p>
    <w:p>
      <w:pPr>
        <w:pStyle w:val="Heading3"/>
        <w:ind w:left="568" w:firstLine="0"/>
        <w:jc w:val="left"/>
      </w:pPr>
      <w:r>
        <w:rPr>
          <w:spacing w:val="-2"/>
        </w:rPr>
        <w:t>Farmacodinamia</w:t>
      </w:r>
    </w:p>
    <w:p>
      <w:pPr>
        <w:pStyle w:val="BodyText"/>
        <w:spacing w:before="240"/>
        <w:rPr>
          <w:b/>
        </w:rPr>
      </w:pPr>
    </w:p>
    <w:p>
      <w:pPr>
        <w:pStyle w:val="BodyText"/>
        <w:spacing w:line="480" w:lineRule="auto"/>
        <w:ind w:left="568" w:right="147" w:firstLine="60"/>
        <w:jc w:val="both"/>
      </w:pPr>
      <w:r>
        <w:rPr/>
        <w:t>Específico se asocia con una depresión respiratoria limitada, un aspecto de particular relevancia para el manejo seguro del paciente canino. Este actúa bloqueando la noradrenalina en el sistema nervioso central, la cual mide la acción que distribuye la concentración alveolar mínima en analgésicos volátiles (Grimm et al., 2021).</w:t>
      </w:r>
    </w:p>
    <w:p>
      <w:pPr>
        <w:pStyle w:val="Heading3"/>
        <w:spacing w:before="1"/>
        <w:ind w:left="568" w:firstLine="0"/>
        <w:jc w:val="left"/>
      </w:pPr>
      <w:r>
        <w:rPr>
          <w:spacing w:val="-2"/>
        </w:rPr>
        <w:t>Farmacocinética</w:t>
      </w:r>
    </w:p>
    <w:p>
      <w:pPr>
        <w:pStyle w:val="BodyText"/>
        <w:rPr>
          <w:b/>
        </w:rPr>
      </w:pPr>
    </w:p>
    <w:p>
      <w:pPr>
        <w:pStyle w:val="BodyText"/>
        <w:spacing w:line="480" w:lineRule="auto"/>
        <w:ind w:left="568" w:right="137"/>
        <w:jc w:val="both"/>
      </w:pPr>
      <w:r>
        <w:rPr/>
        <w:t>La dexmedetomidina se caracteriza por una absorción eficaz, distribución rápida, metabolismo hepático y eliminación principalmente renal. Tras su administración intramuscular</w:t>
      </w:r>
      <w:r>
        <w:rPr>
          <w:spacing w:val="-15"/>
        </w:rPr>
        <w:t> </w:t>
      </w:r>
      <w:r>
        <w:rPr/>
        <w:t>(IM)</w:t>
      </w:r>
      <w:r>
        <w:rPr>
          <w:spacing w:val="-9"/>
        </w:rPr>
        <w:t> </w:t>
      </w:r>
      <w:r>
        <w:rPr/>
        <w:t>presenta</w:t>
      </w:r>
      <w:r>
        <w:rPr>
          <w:spacing w:val="-11"/>
        </w:rPr>
        <w:t> </w:t>
      </w:r>
      <w:r>
        <w:rPr/>
        <w:t>un</w:t>
      </w:r>
      <w:r>
        <w:rPr>
          <w:spacing w:val="-15"/>
        </w:rPr>
        <w:t> </w:t>
      </w:r>
      <w:r>
        <w:rPr/>
        <w:t>inicio</w:t>
      </w:r>
      <w:r>
        <w:rPr>
          <w:spacing w:val="-15"/>
        </w:rPr>
        <w:t> </w:t>
      </w:r>
      <w:r>
        <w:rPr/>
        <w:t>de</w:t>
      </w:r>
      <w:r>
        <w:rPr>
          <w:spacing w:val="-14"/>
        </w:rPr>
        <w:t> </w:t>
      </w:r>
      <w:r>
        <w:rPr/>
        <w:t>acción</w:t>
      </w:r>
      <w:r>
        <w:rPr>
          <w:spacing w:val="-15"/>
        </w:rPr>
        <w:t> </w:t>
      </w:r>
      <w:r>
        <w:rPr/>
        <w:t>rápido</w:t>
      </w:r>
      <w:r>
        <w:rPr>
          <w:spacing w:val="-12"/>
        </w:rPr>
        <w:t> </w:t>
      </w:r>
      <w:r>
        <w:rPr/>
        <w:t>que</w:t>
      </w:r>
      <w:r>
        <w:rPr>
          <w:spacing w:val="-14"/>
        </w:rPr>
        <w:t> </w:t>
      </w:r>
      <w:r>
        <w:rPr/>
        <w:t>alcanza</w:t>
      </w:r>
      <w:r>
        <w:rPr>
          <w:spacing w:val="-14"/>
        </w:rPr>
        <w:t> </w:t>
      </w:r>
      <w:r>
        <w:rPr/>
        <w:t>concentraciones plasmáticas máximas entre los 15 y 30 minutos, ofreciendo una vida media ideal para</w:t>
      </w:r>
      <w:r>
        <w:rPr>
          <w:spacing w:val="24"/>
        </w:rPr>
        <w:t> </w:t>
      </w:r>
      <w:r>
        <w:rPr/>
        <w:t>procedimientos</w:t>
      </w:r>
      <w:r>
        <w:rPr>
          <w:spacing w:val="22"/>
        </w:rPr>
        <w:t> </w:t>
      </w:r>
      <w:r>
        <w:rPr/>
        <w:t>cortos</w:t>
      </w:r>
      <w:r>
        <w:rPr>
          <w:spacing w:val="22"/>
        </w:rPr>
        <w:t> </w:t>
      </w:r>
      <w:r>
        <w:rPr/>
        <w:t>o</w:t>
      </w:r>
      <w:r>
        <w:rPr>
          <w:spacing w:val="18"/>
        </w:rPr>
        <w:t> </w:t>
      </w:r>
      <w:r>
        <w:rPr/>
        <w:t>protocolos</w:t>
      </w:r>
      <w:r>
        <w:rPr>
          <w:spacing w:val="18"/>
        </w:rPr>
        <w:t> </w:t>
      </w:r>
      <w:r>
        <w:rPr/>
        <w:t>multimodales,</w:t>
      </w:r>
      <w:r>
        <w:rPr>
          <w:spacing w:val="23"/>
        </w:rPr>
        <w:t> </w:t>
      </w:r>
      <w:r>
        <w:rPr/>
        <w:t>sin</w:t>
      </w:r>
      <w:r>
        <w:rPr>
          <w:spacing w:val="18"/>
        </w:rPr>
        <w:t> </w:t>
      </w:r>
      <w:r>
        <w:rPr/>
        <w:t>embargo,</w:t>
      </w:r>
      <w:r>
        <w:rPr>
          <w:spacing w:val="19"/>
        </w:rPr>
        <w:t> </w:t>
      </w:r>
      <w:r>
        <w:rPr/>
        <w:t>al</w:t>
      </w:r>
      <w:r>
        <w:rPr>
          <w:spacing w:val="21"/>
        </w:rPr>
        <w:t> </w:t>
      </w:r>
      <w:r>
        <w:rPr/>
        <w:t>alterar</w:t>
      </w:r>
      <w:r>
        <w:rPr>
          <w:spacing w:val="23"/>
        </w:rPr>
        <w:t> </w:t>
      </w:r>
      <w:r>
        <w:rPr>
          <w:spacing w:val="-5"/>
        </w:rPr>
        <w:t>el</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1"/>
        <w:jc w:val="both"/>
      </w:pPr>
      <w:r>
        <w:rPr/>
        <w:t>sistema nervioso autónomo para redistribuir el flujo sanguíneo, este fármaco provoca una reducción de la frecuencia cardíaca junto a cambios marcados en la presión arterial, de tal modo, estas variaciones cardiovasculares pueden ser significativas en pacientes con riesgo cardíaco, cirugías prolongadas o al combinarse con otros anestésicos.</w:t>
      </w:r>
    </w:p>
    <w:p>
      <w:pPr>
        <w:pStyle w:val="Heading3"/>
        <w:spacing w:before="1"/>
        <w:ind w:left="568" w:firstLine="0"/>
      </w:pPr>
      <w:r>
        <w:rPr/>
        <w:t>Mecanismo</w:t>
      </w:r>
      <w:r>
        <w:rPr>
          <w:spacing w:val="-2"/>
        </w:rPr>
        <w:t> </w:t>
      </w:r>
      <w:r>
        <w:rPr/>
        <w:t>de </w:t>
      </w:r>
      <w:r>
        <w:rPr>
          <w:spacing w:val="-2"/>
        </w:rPr>
        <w:t>acción</w:t>
      </w:r>
    </w:p>
    <w:p>
      <w:pPr>
        <w:pStyle w:val="BodyText"/>
        <w:spacing w:before="240"/>
        <w:rPr>
          <w:b/>
        </w:rPr>
      </w:pPr>
    </w:p>
    <w:p>
      <w:pPr>
        <w:pStyle w:val="BodyText"/>
        <w:spacing w:line="480" w:lineRule="auto"/>
        <w:ind w:left="568" w:right="137"/>
        <w:jc w:val="both"/>
      </w:pPr>
      <w:r>
        <w:rPr>
          <w:color w:val="0D0D0D"/>
        </w:rPr>
        <w:t>El</w:t>
      </w:r>
      <w:r>
        <w:rPr>
          <w:color w:val="0D0D0D"/>
          <w:spacing w:val="-9"/>
        </w:rPr>
        <w:t> </w:t>
      </w:r>
      <w:r>
        <w:rPr>
          <w:color w:val="0D0D0D"/>
        </w:rPr>
        <w:t>mecanismo</w:t>
      </w:r>
      <w:r>
        <w:rPr>
          <w:color w:val="0D0D0D"/>
          <w:spacing w:val="-10"/>
        </w:rPr>
        <w:t> </w:t>
      </w:r>
      <w:r>
        <w:rPr>
          <w:color w:val="0D0D0D"/>
        </w:rPr>
        <w:t>de</w:t>
      </w:r>
      <w:r>
        <w:rPr>
          <w:color w:val="0D0D0D"/>
          <w:spacing w:val="-9"/>
        </w:rPr>
        <w:t> </w:t>
      </w:r>
      <w:r>
        <w:rPr>
          <w:color w:val="0D0D0D"/>
        </w:rPr>
        <w:t>acción</w:t>
      </w:r>
      <w:r>
        <w:rPr>
          <w:color w:val="0D0D0D"/>
          <w:spacing w:val="-7"/>
        </w:rPr>
        <w:t> </w:t>
      </w:r>
      <w:r>
        <w:rPr>
          <w:color w:val="0D0D0D"/>
        </w:rPr>
        <w:t>de</w:t>
      </w:r>
      <w:r>
        <w:rPr>
          <w:color w:val="0D0D0D"/>
          <w:spacing w:val="-9"/>
        </w:rPr>
        <w:t> </w:t>
      </w:r>
      <w:r>
        <w:rPr>
          <w:color w:val="0D0D0D"/>
        </w:rPr>
        <w:t>la</w:t>
      </w:r>
      <w:r>
        <w:rPr>
          <w:color w:val="0D0D0D"/>
          <w:spacing w:val="-9"/>
        </w:rPr>
        <w:t> </w:t>
      </w:r>
      <w:r>
        <w:rPr>
          <w:color w:val="0D0D0D"/>
        </w:rPr>
        <w:t>dexmedetomidina</w:t>
      </w:r>
      <w:r>
        <w:rPr>
          <w:color w:val="0D0D0D"/>
          <w:spacing w:val="-9"/>
        </w:rPr>
        <w:t> </w:t>
      </w:r>
      <w:r>
        <w:rPr>
          <w:color w:val="0D0D0D"/>
        </w:rPr>
        <w:t>se</w:t>
      </w:r>
      <w:r>
        <w:rPr>
          <w:color w:val="0D0D0D"/>
          <w:spacing w:val="-9"/>
        </w:rPr>
        <w:t> </w:t>
      </w:r>
      <w:r>
        <w:rPr>
          <w:color w:val="0D0D0D"/>
        </w:rPr>
        <w:t>basa</w:t>
      </w:r>
      <w:r>
        <w:rPr>
          <w:color w:val="0D0D0D"/>
          <w:spacing w:val="-9"/>
        </w:rPr>
        <w:t> </w:t>
      </w:r>
      <w:r>
        <w:rPr>
          <w:color w:val="0D0D0D"/>
        </w:rPr>
        <w:t>en</w:t>
      </w:r>
      <w:r>
        <w:rPr>
          <w:color w:val="0D0D0D"/>
          <w:spacing w:val="-10"/>
        </w:rPr>
        <w:t> </w:t>
      </w:r>
      <w:r>
        <w:rPr>
          <w:color w:val="0D0D0D"/>
        </w:rPr>
        <w:t>su</w:t>
      </w:r>
      <w:r>
        <w:rPr>
          <w:color w:val="0D0D0D"/>
          <w:spacing w:val="-10"/>
        </w:rPr>
        <w:t> </w:t>
      </w:r>
      <w:r>
        <w:rPr>
          <w:color w:val="0D0D0D"/>
        </w:rPr>
        <w:t>afinidad</w:t>
      </w:r>
      <w:r>
        <w:rPr>
          <w:color w:val="0D0D0D"/>
          <w:spacing w:val="-10"/>
        </w:rPr>
        <w:t> </w:t>
      </w:r>
      <w:r>
        <w:rPr>
          <w:color w:val="0D0D0D"/>
        </w:rPr>
        <w:t>y</w:t>
      </w:r>
      <w:r>
        <w:rPr>
          <w:color w:val="0D0D0D"/>
          <w:spacing w:val="-10"/>
        </w:rPr>
        <w:t> </w:t>
      </w:r>
      <w:r>
        <w:rPr>
          <w:color w:val="0D0D0D"/>
        </w:rPr>
        <w:t>activación de los receptores adrenérgicos </w:t>
      </w:r>
      <w:r>
        <w:rPr>
          <w:rFonts w:ascii="Cambria Math" w:hAnsi="Cambria Math" w:eastAsia="Cambria Math"/>
          <w:color w:val="0D0D0D"/>
        </w:rPr>
        <w:t>𝛼</w:t>
      </w:r>
      <w:r>
        <w:rPr>
          <w:rFonts w:ascii="Cambria Math" w:hAnsi="Cambria Math" w:eastAsia="Cambria Math"/>
          <w:color w:val="0D0D0D"/>
          <w:vertAlign w:val="subscript"/>
        </w:rPr>
        <w:t>2</w:t>
      </w:r>
      <w:r>
        <w:rPr>
          <w:rFonts w:ascii="Cambria Math" w:hAnsi="Cambria Math" w:eastAsia="Cambria Math"/>
          <w:color w:val="0D0D0D"/>
          <w:vertAlign w:val="baseline"/>
        </w:rPr>
        <w:t> </w:t>
      </w:r>
      <w:r>
        <w:rPr>
          <w:color w:val="0D0D0D"/>
          <w:vertAlign w:val="baseline"/>
        </w:rPr>
        <w:t>ubicados tanto en el sistema nervioso central como en el periférico, modulando múltiples vías fisiológicas implicadas en la sedación, analgesia y control del tono simpático. Su unión a estos receptores presinápticos</w:t>
      </w:r>
      <w:r>
        <w:rPr>
          <w:color w:val="0D0D0D"/>
          <w:spacing w:val="-1"/>
          <w:vertAlign w:val="baseline"/>
        </w:rPr>
        <w:t> </w:t>
      </w:r>
      <w:r>
        <w:rPr>
          <w:color w:val="0D0D0D"/>
          <w:vertAlign w:val="baseline"/>
        </w:rPr>
        <w:t>inhibe</w:t>
      </w:r>
      <w:r>
        <w:rPr>
          <w:color w:val="0D0D0D"/>
          <w:spacing w:val="-2"/>
          <w:vertAlign w:val="baseline"/>
        </w:rPr>
        <w:t> </w:t>
      </w:r>
      <w:r>
        <w:rPr>
          <w:color w:val="0D0D0D"/>
          <w:vertAlign w:val="baseline"/>
        </w:rPr>
        <w:t>la liberación de noradrenalina, lo que disminuye la</w:t>
      </w:r>
      <w:r>
        <w:rPr>
          <w:color w:val="0D0D0D"/>
          <w:spacing w:val="-2"/>
          <w:vertAlign w:val="baseline"/>
        </w:rPr>
        <w:t> </w:t>
      </w:r>
      <w:r>
        <w:rPr>
          <w:color w:val="0D0D0D"/>
          <w:vertAlign w:val="baseline"/>
        </w:rPr>
        <w:t>excitación neuronal y reduce la respuesta al estrés, generando efectos sedantes y ansiolíticos característicos </w:t>
      </w:r>
      <w:r>
        <w:rPr>
          <w:vertAlign w:val="baseline"/>
        </w:rPr>
        <w:t>(Pan et al., 2021). </w:t>
      </w:r>
      <w:r>
        <w:rPr>
          <w:color w:val="0D0D0D"/>
          <w:vertAlign w:val="baseline"/>
        </w:rPr>
        <w:t>En el ámbito del sistema nervioso central, la activación</w:t>
      </w:r>
      <w:r>
        <w:rPr>
          <w:color w:val="0D0D0D"/>
          <w:spacing w:val="-3"/>
          <w:vertAlign w:val="baseline"/>
        </w:rPr>
        <w:t> </w:t>
      </w:r>
      <w:r>
        <w:rPr>
          <w:color w:val="0D0D0D"/>
          <w:vertAlign w:val="baseline"/>
        </w:rPr>
        <w:t>de</w:t>
      </w:r>
      <w:r>
        <w:rPr>
          <w:color w:val="0D0D0D"/>
          <w:spacing w:val="-1"/>
          <w:vertAlign w:val="baseline"/>
        </w:rPr>
        <w:t> </w:t>
      </w:r>
      <w:r>
        <w:rPr>
          <w:color w:val="0D0D0D"/>
          <w:vertAlign w:val="baseline"/>
        </w:rPr>
        <w:t>los receptores</w:t>
      </w:r>
      <w:r>
        <w:rPr>
          <w:color w:val="0D0D0D"/>
          <w:spacing w:val="-7"/>
          <w:vertAlign w:val="baseline"/>
        </w:rPr>
        <w:t> </w:t>
      </w:r>
      <w:r>
        <w:rPr>
          <w:rFonts w:ascii="Cambria Math" w:hAnsi="Cambria Math" w:eastAsia="Cambria Math"/>
          <w:color w:val="0D0D0D"/>
          <w:vertAlign w:val="baseline"/>
        </w:rPr>
        <w:t>𝛼</w:t>
      </w:r>
      <w:r>
        <w:rPr>
          <w:rFonts w:ascii="Cambria Math" w:hAnsi="Cambria Math" w:eastAsia="Cambria Math"/>
          <w:color w:val="0D0D0D"/>
          <w:vertAlign w:val="subscript"/>
        </w:rPr>
        <w:t>2</w:t>
      </w:r>
      <w:r>
        <w:rPr>
          <w:rFonts w:ascii="Cambria Math" w:hAnsi="Cambria Math" w:eastAsia="Cambria Math"/>
          <w:color w:val="0D0D0D"/>
          <w:vertAlign w:val="baseline"/>
        </w:rPr>
        <w:t> </w:t>
      </w:r>
      <w:r>
        <w:rPr>
          <w:color w:val="0D0D0D"/>
          <w:vertAlign w:val="baseline"/>
        </w:rPr>
        <w:t>por la dexmedetomidina en regiones</w:t>
      </w:r>
      <w:r>
        <w:rPr>
          <w:color w:val="0D0D0D"/>
          <w:spacing w:val="-4"/>
          <w:vertAlign w:val="baseline"/>
        </w:rPr>
        <w:t> </w:t>
      </w:r>
      <w:r>
        <w:rPr>
          <w:color w:val="0D0D0D"/>
          <w:vertAlign w:val="baseline"/>
        </w:rPr>
        <w:t>como</w:t>
      </w:r>
      <w:r>
        <w:rPr>
          <w:color w:val="0D0D0D"/>
          <w:spacing w:val="-2"/>
          <w:vertAlign w:val="baseline"/>
        </w:rPr>
        <w:t> </w:t>
      </w:r>
      <w:r>
        <w:rPr>
          <w:color w:val="0D0D0D"/>
          <w:vertAlign w:val="baseline"/>
        </w:rPr>
        <w:t>el</w:t>
      </w:r>
      <w:r>
        <w:rPr>
          <w:color w:val="0D0D0D"/>
          <w:spacing w:val="-1"/>
          <w:vertAlign w:val="baseline"/>
        </w:rPr>
        <w:t> </w:t>
      </w:r>
      <w:r>
        <w:rPr>
          <w:color w:val="0D0D0D"/>
          <w:vertAlign w:val="baseline"/>
        </w:rPr>
        <w:t>locus coeruleus</w:t>
      </w:r>
      <w:r>
        <w:rPr>
          <w:color w:val="0D0D0D"/>
          <w:spacing w:val="-5"/>
          <w:vertAlign w:val="baseline"/>
        </w:rPr>
        <w:t> </w:t>
      </w:r>
      <w:r>
        <w:rPr>
          <w:color w:val="0D0D0D"/>
          <w:vertAlign w:val="baseline"/>
        </w:rPr>
        <w:t>produce</w:t>
      </w:r>
      <w:r>
        <w:rPr>
          <w:color w:val="0D0D0D"/>
          <w:spacing w:val="-2"/>
          <w:vertAlign w:val="baseline"/>
        </w:rPr>
        <w:t> </w:t>
      </w:r>
      <w:r>
        <w:rPr>
          <w:color w:val="0D0D0D"/>
          <w:vertAlign w:val="baseline"/>
        </w:rPr>
        <w:t>una</w:t>
      </w:r>
      <w:r>
        <w:rPr>
          <w:color w:val="0D0D0D"/>
          <w:spacing w:val="-2"/>
          <w:vertAlign w:val="baseline"/>
        </w:rPr>
        <w:t> </w:t>
      </w:r>
      <w:r>
        <w:rPr>
          <w:color w:val="0D0D0D"/>
          <w:vertAlign w:val="baseline"/>
        </w:rPr>
        <w:t>disminución de la</w:t>
      </w:r>
      <w:r>
        <w:rPr>
          <w:color w:val="0D0D0D"/>
          <w:spacing w:val="-2"/>
          <w:vertAlign w:val="baseline"/>
        </w:rPr>
        <w:t> </w:t>
      </w:r>
      <w:r>
        <w:rPr>
          <w:color w:val="0D0D0D"/>
          <w:vertAlign w:val="baseline"/>
        </w:rPr>
        <w:t>actividad</w:t>
      </w:r>
      <w:r>
        <w:rPr>
          <w:color w:val="0D0D0D"/>
          <w:spacing w:val="-4"/>
          <w:vertAlign w:val="baseline"/>
        </w:rPr>
        <w:t> </w:t>
      </w:r>
      <w:r>
        <w:rPr>
          <w:color w:val="0D0D0D"/>
          <w:vertAlign w:val="baseline"/>
        </w:rPr>
        <w:t>nor adrenérgica,</w:t>
      </w:r>
      <w:r>
        <w:rPr>
          <w:color w:val="0D0D0D"/>
          <w:spacing w:val="-4"/>
          <w:vertAlign w:val="baseline"/>
        </w:rPr>
        <w:t> </w:t>
      </w:r>
      <w:r>
        <w:rPr>
          <w:color w:val="0D0D0D"/>
          <w:vertAlign w:val="baseline"/>
        </w:rPr>
        <w:t>lo</w:t>
      </w:r>
      <w:r>
        <w:rPr>
          <w:color w:val="0D0D0D"/>
          <w:spacing w:val="-4"/>
          <w:vertAlign w:val="baseline"/>
        </w:rPr>
        <w:t> </w:t>
      </w:r>
      <w:r>
        <w:rPr>
          <w:color w:val="0D0D0D"/>
          <w:vertAlign w:val="baseline"/>
        </w:rPr>
        <w:t>cual facilita un</w:t>
      </w:r>
      <w:r>
        <w:rPr>
          <w:color w:val="0D0D0D"/>
          <w:spacing w:val="-15"/>
          <w:vertAlign w:val="baseline"/>
        </w:rPr>
        <w:t> </w:t>
      </w:r>
      <w:r>
        <w:rPr>
          <w:color w:val="0D0D0D"/>
          <w:vertAlign w:val="baseline"/>
        </w:rPr>
        <w:t>estado</w:t>
      </w:r>
      <w:r>
        <w:rPr>
          <w:color w:val="0D0D0D"/>
          <w:spacing w:val="-15"/>
          <w:vertAlign w:val="baseline"/>
        </w:rPr>
        <w:t> </w:t>
      </w:r>
      <w:r>
        <w:rPr>
          <w:color w:val="0D0D0D"/>
          <w:vertAlign w:val="baseline"/>
        </w:rPr>
        <w:t>de</w:t>
      </w:r>
      <w:r>
        <w:rPr>
          <w:color w:val="0D0D0D"/>
          <w:spacing w:val="-15"/>
          <w:vertAlign w:val="baseline"/>
        </w:rPr>
        <w:t> </w:t>
      </w:r>
      <w:r>
        <w:rPr>
          <w:color w:val="0D0D0D"/>
          <w:vertAlign w:val="baseline"/>
        </w:rPr>
        <w:t>sedación</w:t>
      </w:r>
      <w:r>
        <w:rPr>
          <w:color w:val="0D0D0D"/>
          <w:spacing w:val="-15"/>
          <w:vertAlign w:val="baseline"/>
        </w:rPr>
        <w:t> </w:t>
      </w:r>
      <w:r>
        <w:rPr>
          <w:color w:val="0D0D0D"/>
          <w:vertAlign w:val="baseline"/>
        </w:rPr>
        <w:t>cooperativa</w:t>
      </w:r>
      <w:r>
        <w:rPr>
          <w:color w:val="0D0D0D"/>
          <w:spacing w:val="-15"/>
          <w:vertAlign w:val="baseline"/>
        </w:rPr>
        <w:t> </w:t>
      </w:r>
      <w:r>
        <w:rPr>
          <w:color w:val="0D0D0D"/>
          <w:vertAlign w:val="baseline"/>
        </w:rPr>
        <w:t>en</w:t>
      </w:r>
      <w:r>
        <w:rPr>
          <w:color w:val="0D0D0D"/>
          <w:spacing w:val="-15"/>
          <w:vertAlign w:val="baseline"/>
        </w:rPr>
        <w:t> </w:t>
      </w:r>
      <w:r>
        <w:rPr>
          <w:color w:val="0D0D0D"/>
          <w:vertAlign w:val="baseline"/>
        </w:rPr>
        <w:t>el</w:t>
      </w:r>
      <w:r>
        <w:rPr>
          <w:color w:val="0D0D0D"/>
          <w:spacing w:val="-15"/>
          <w:vertAlign w:val="baseline"/>
        </w:rPr>
        <w:t> </w:t>
      </w:r>
      <w:r>
        <w:rPr>
          <w:color w:val="0D0D0D"/>
          <w:vertAlign w:val="baseline"/>
        </w:rPr>
        <w:t>paciente,</w:t>
      </w:r>
      <w:r>
        <w:rPr>
          <w:color w:val="0D0D0D"/>
          <w:spacing w:val="-15"/>
          <w:vertAlign w:val="baseline"/>
        </w:rPr>
        <w:t> </w:t>
      </w:r>
      <w:r>
        <w:rPr>
          <w:color w:val="0D0D0D"/>
          <w:vertAlign w:val="baseline"/>
        </w:rPr>
        <w:t>caracterizado</w:t>
      </w:r>
      <w:r>
        <w:rPr>
          <w:color w:val="0D0D0D"/>
          <w:spacing w:val="-15"/>
          <w:vertAlign w:val="baseline"/>
        </w:rPr>
        <w:t> </w:t>
      </w:r>
      <w:r>
        <w:rPr>
          <w:color w:val="0D0D0D"/>
          <w:vertAlign w:val="baseline"/>
        </w:rPr>
        <w:t>por</w:t>
      </w:r>
      <w:r>
        <w:rPr>
          <w:color w:val="0D0D0D"/>
          <w:spacing w:val="-15"/>
          <w:vertAlign w:val="baseline"/>
        </w:rPr>
        <w:t> </w:t>
      </w:r>
      <w:r>
        <w:rPr>
          <w:color w:val="0D0D0D"/>
          <w:vertAlign w:val="baseline"/>
        </w:rPr>
        <w:t>una</w:t>
      </w:r>
      <w:r>
        <w:rPr>
          <w:color w:val="0D0D0D"/>
          <w:spacing w:val="-15"/>
          <w:vertAlign w:val="baseline"/>
        </w:rPr>
        <w:t> </w:t>
      </w:r>
      <w:r>
        <w:rPr>
          <w:color w:val="0D0D0D"/>
          <w:vertAlign w:val="baseline"/>
        </w:rPr>
        <w:t>disminución de</w:t>
      </w:r>
      <w:r>
        <w:rPr>
          <w:color w:val="0D0D0D"/>
          <w:spacing w:val="-2"/>
          <w:vertAlign w:val="baseline"/>
        </w:rPr>
        <w:t> </w:t>
      </w:r>
      <w:r>
        <w:rPr>
          <w:color w:val="0D0D0D"/>
          <w:vertAlign w:val="baseline"/>
        </w:rPr>
        <w:t>la</w:t>
      </w:r>
      <w:r>
        <w:rPr>
          <w:color w:val="0D0D0D"/>
          <w:spacing w:val="-2"/>
          <w:vertAlign w:val="baseline"/>
        </w:rPr>
        <w:t> </w:t>
      </w:r>
      <w:r>
        <w:rPr>
          <w:color w:val="0D0D0D"/>
          <w:vertAlign w:val="baseline"/>
        </w:rPr>
        <w:t>conciencia</w:t>
      </w:r>
      <w:r>
        <w:rPr>
          <w:color w:val="0D0D0D"/>
          <w:spacing w:val="-2"/>
          <w:vertAlign w:val="baseline"/>
        </w:rPr>
        <w:t> </w:t>
      </w:r>
      <w:r>
        <w:rPr>
          <w:color w:val="0D0D0D"/>
          <w:vertAlign w:val="baseline"/>
        </w:rPr>
        <w:t>sin</w:t>
      </w:r>
      <w:r>
        <w:rPr>
          <w:color w:val="0D0D0D"/>
          <w:spacing w:val="-3"/>
          <w:vertAlign w:val="baseline"/>
        </w:rPr>
        <w:t> </w:t>
      </w:r>
      <w:r>
        <w:rPr>
          <w:color w:val="0D0D0D"/>
          <w:vertAlign w:val="baseline"/>
        </w:rPr>
        <w:t>abolición</w:t>
      </w:r>
      <w:r>
        <w:rPr>
          <w:color w:val="0D0D0D"/>
          <w:spacing w:val="-3"/>
          <w:vertAlign w:val="baseline"/>
        </w:rPr>
        <w:t> </w:t>
      </w:r>
      <w:r>
        <w:rPr>
          <w:color w:val="0D0D0D"/>
          <w:vertAlign w:val="baseline"/>
        </w:rPr>
        <w:t>total</w:t>
      </w:r>
      <w:r>
        <w:rPr>
          <w:color w:val="0D0D0D"/>
          <w:spacing w:val="-2"/>
          <w:vertAlign w:val="baseline"/>
        </w:rPr>
        <w:t> </w:t>
      </w:r>
      <w:r>
        <w:rPr>
          <w:color w:val="0D0D0D"/>
          <w:vertAlign w:val="baseline"/>
        </w:rPr>
        <w:t>de</w:t>
      </w:r>
      <w:r>
        <w:rPr>
          <w:color w:val="0D0D0D"/>
          <w:spacing w:val="-2"/>
          <w:vertAlign w:val="baseline"/>
        </w:rPr>
        <w:t> </w:t>
      </w:r>
      <w:r>
        <w:rPr>
          <w:color w:val="0D0D0D"/>
          <w:vertAlign w:val="baseline"/>
        </w:rPr>
        <w:t>las</w:t>
      </w:r>
      <w:r>
        <w:rPr>
          <w:color w:val="0D0D0D"/>
          <w:spacing w:val="-5"/>
          <w:vertAlign w:val="baseline"/>
        </w:rPr>
        <w:t> </w:t>
      </w:r>
      <w:r>
        <w:rPr>
          <w:color w:val="0D0D0D"/>
          <w:vertAlign w:val="baseline"/>
        </w:rPr>
        <w:t>respuestas</w:t>
      </w:r>
      <w:r>
        <w:rPr>
          <w:color w:val="0D0D0D"/>
          <w:spacing w:val="-5"/>
          <w:vertAlign w:val="baseline"/>
        </w:rPr>
        <w:t> </w:t>
      </w:r>
      <w:r>
        <w:rPr>
          <w:color w:val="0D0D0D"/>
          <w:vertAlign w:val="baseline"/>
        </w:rPr>
        <w:t>reflejas</w:t>
      </w:r>
      <w:r>
        <w:rPr>
          <w:color w:val="0D0D0D"/>
          <w:spacing w:val="-5"/>
          <w:vertAlign w:val="baseline"/>
        </w:rPr>
        <w:t> </w:t>
      </w:r>
      <w:r>
        <w:rPr>
          <w:color w:val="0D0D0D"/>
          <w:vertAlign w:val="baseline"/>
        </w:rPr>
        <w:t>básicas,</w:t>
      </w:r>
      <w:r>
        <w:rPr>
          <w:color w:val="0D0D0D"/>
          <w:spacing w:val="-3"/>
          <w:vertAlign w:val="baseline"/>
        </w:rPr>
        <w:t> </w:t>
      </w:r>
      <w:r>
        <w:rPr>
          <w:color w:val="0D0D0D"/>
          <w:vertAlign w:val="baseline"/>
        </w:rPr>
        <w:t>lo</w:t>
      </w:r>
      <w:r>
        <w:rPr>
          <w:color w:val="0D0D0D"/>
          <w:spacing w:val="-3"/>
          <w:vertAlign w:val="baseline"/>
        </w:rPr>
        <w:t> </w:t>
      </w:r>
      <w:r>
        <w:rPr>
          <w:color w:val="0D0D0D"/>
          <w:vertAlign w:val="baseline"/>
        </w:rPr>
        <w:t>que admite una recuperación anestésica más suave (Duarte-Medrano MD, 2022). En cuanto a la analgesia, la dexmedetomidina actúa a nivel de la médula espinal mediante la activación</w:t>
      </w:r>
      <w:r>
        <w:rPr>
          <w:color w:val="0D0D0D"/>
          <w:spacing w:val="-15"/>
          <w:vertAlign w:val="baseline"/>
        </w:rPr>
        <w:t> </w:t>
      </w:r>
      <w:r>
        <w:rPr>
          <w:color w:val="0D0D0D"/>
          <w:vertAlign w:val="baseline"/>
        </w:rPr>
        <w:t>de</w:t>
      </w:r>
      <w:r>
        <w:rPr>
          <w:color w:val="0D0D0D"/>
          <w:spacing w:val="-15"/>
          <w:vertAlign w:val="baseline"/>
        </w:rPr>
        <w:t> </w:t>
      </w:r>
      <w:r>
        <w:rPr>
          <w:color w:val="0D0D0D"/>
          <w:vertAlign w:val="baseline"/>
        </w:rPr>
        <w:t>receptores</w:t>
      </w:r>
      <w:r>
        <w:rPr>
          <w:color w:val="0D0D0D"/>
          <w:spacing w:val="-15"/>
          <w:vertAlign w:val="baseline"/>
        </w:rPr>
        <w:t> </w:t>
      </w:r>
      <w:r>
        <w:rPr>
          <w:rFonts w:ascii="Cambria Math" w:hAnsi="Cambria Math" w:eastAsia="Cambria Math"/>
          <w:color w:val="0D0D0D"/>
          <w:vertAlign w:val="baseline"/>
        </w:rPr>
        <w:t>𝛼</w:t>
      </w:r>
      <w:r>
        <w:rPr>
          <w:rFonts w:ascii="Cambria Math" w:hAnsi="Cambria Math" w:eastAsia="Cambria Math"/>
          <w:color w:val="0D0D0D"/>
          <w:vertAlign w:val="subscript"/>
        </w:rPr>
        <w:t>2</w:t>
      </w:r>
      <w:r>
        <w:rPr>
          <w:rFonts w:ascii="Cambria Math" w:hAnsi="Cambria Math" w:eastAsia="Cambria Math"/>
          <w:color w:val="0D0D0D"/>
          <w:spacing w:val="-12"/>
          <w:vertAlign w:val="baseline"/>
        </w:rPr>
        <w:t> </w:t>
      </w:r>
      <w:r>
        <w:rPr>
          <w:color w:val="0D0D0D"/>
          <w:vertAlign w:val="baseline"/>
        </w:rPr>
        <w:t>en</w:t>
      </w:r>
      <w:r>
        <w:rPr>
          <w:color w:val="0D0D0D"/>
          <w:spacing w:val="-15"/>
          <w:vertAlign w:val="baseline"/>
        </w:rPr>
        <w:t> </w:t>
      </w:r>
      <w:r>
        <w:rPr>
          <w:color w:val="0D0D0D"/>
          <w:vertAlign w:val="baseline"/>
        </w:rPr>
        <w:t>el</w:t>
      </w:r>
      <w:r>
        <w:rPr>
          <w:color w:val="0D0D0D"/>
          <w:spacing w:val="-15"/>
          <w:vertAlign w:val="baseline"/>
        </w:rPr>
        <w:t> </w:t>
      </w:r>
      <w:r>
        <w:rPr>
          <w:color w:val="0D0D0D"/>
          <w:vertAlign w:val="baseline"/>
        </w:rPr>
        <w:t>cuerno</w:t>
      </w:r>
      <w:r>
        <w:rPr>
          <w:color w:val="0D0D0D"/>
          <w:spacing w:val="-15"/>
          <w:vertAlign w:val="baseline"/>
        </w:rPr>
        <w:t> </w:t>
      </w:r>
      <w:r>
        <w:rPr>
          <w:color w:val="0D0D0D"/>
          <w:vertAlign w:val="baseline"/>
        </w:rPr>
        <w:t>dorsal,</w:t>
      </w:r>
      <w:r>
        <w:rPr>
          <w:color w:val="0D0D0D"/>
          <w:spacing w:val="-15"/>
          <w:vertAlign w:val="baseline"/>
        </w:rPr>
        <w:t> </w:t>
      </w:r>
      <w:r>
        <w:rPr>
          <w:color w:val="0D0D0D"/>
          <w:vertAlign w:val="baseline"/>
        </w:rPr>
        <w:t>inhibiendo</w:t>
      </w:r>
      <w:r>
        <w:rPr>
          <w:color w:val="0D0D0D"/>
          <w:spacing w:val="-15"/>
          <w:vertAlign w:val="baseline"/>
        </w:rPr>
        <w:t> </w:t>
      </w:r>
      <w:r>
        <w:rPr>
          <w:color w:val="0D0D0D"/>
          <w:vertAlign w:val="baseline"/>
        </w:rPr>
        <w:t>la</w:t>
      </w:r>
      <w:r>
        <w:rPr>
          <w:color w:val="0D0D0D"/>
          <w:spacing w:val="-15"/>
          <w:vertAlign w:val="baseline"/>
        </w:rPr>
        <w:t> </w:t>
      </w:r>
      <w:r>
        <w:rPr>
          <w:color w:val="0D0D0D"/>
          <w:vertAlign w:val="baseline"/>
        </w:rPr>
        <w:t>transmisión</w:t>
      </w:r>
      <w:r>
        <w:rPr>
          <w:color w:val="0D0D0D"/>
          <w:spacing w:val="-15"/>
          <w:vertAlign w:val="baseline"/>
        </w:rPr>
        <w:t> </w:t>
      </w:r>
      <w:r>
        <w:rPr>
          <w:color w:val="0D0D0D"/>
          <w:vertAlign w:val="baseline"/>
        </w:rPr>
        <w:t>de</w:t>
      </w:r>
      <w:r>
        <w:rPr>
          <w:color w:val="0D0D0D"/>
          <w:spacing w:val="-15"/>
          <w:vertAlign w:val="baseline"/>
        </w:rPr>
        <w:t> </w:t>
      </w:r>
      <w:r>
        <w:rPr>
          <w:color w:val="0D0D0D"/>
          <w:vertAlign w:val="baseline"/>
        </w:rPr>
        <w:t>señales nociceptivas</w:t>
      </w:r>
      <w:r>
        <w:rPr>
          <w:color w:val="0D0D0D"/>
          <w:spacing w:val="-15"/>
          <w:vertAlign w:val="baseline"/>
        </w:rPr>
        <w:t> </w:t>
      </w:r>
      <w:r>
        <w:rPr>
          <w:color w:val="0D0D0D"/>
          <w:vertAlign w:val="baseline"/>
        </w:rPr>
        <w:t>hacia</w:t>
      </w:r>
      <w:r>
        <w:rPr>
          <w:color w:val="0D0D0D"/>
          <w:spacing w:val="-15"/>
          <w:vertAlign w:val="baseline"/>
        </w:rPr>
        <w:t> </w:t>
      </w:r>
      <w:r>
        <w:rPr>
          <w:color w:val="0D0D0D"/>
          <w:vertAlign w:val="baseline"/>
        </w:rPr>
        <w:t>el</w:t>
      </w:r>
      <w:r>
        <w:rPr>
          <w:color w:val="0D0D0D"/>
          <w:spacing w:val="-15"/>
          <w:vertAlign w:val="baseline"/>
        </w:rPr>
        <w:t> </w:t>
      </w:r>
      <w:r>
        <w:rPr>
          <w:color w:val="0D0D0D"/>
          <w:vertAlign w:val="baseline"/>
        </w:rPr>
        <w:t>sistema</w:t>
      </w:r>
      <w:r>
        <w:rPr>
          <w:color w:val="0D0D0D"/>
          <w:spacing w:val="-15"/>
          <w:vertAlign w:val="baseline"/>
        </w:rPr>
        <w:t> </w:t>
      </w:r>
      <w:r>
        <w:rPr>
          <w:color w:val="0D0D0D"/>
          <w:vertAlign w:val="baseline"/>
        </w:rPr>
        <w:t>nervioso</w:t>
      </w:r>
      <w:r>
        <w:rPr>
          <w:color w:val="0D0D0D"/>
          <w:spacing w:val="-15"/>
          <w:vertAlign w:val="baseline"/>
        </w:rPr>
        <w:t> </w:t>
      </w:r>
      <w:r>
        <w:rPr>
          <w:color w:val="0D0D0D"/>
          <w:vertAlign w:val="baseline"/>
        </w:rPr>
        <w:t>central.</w:t>
      </w:r>
      <w:r>
        <w:rPr>
          <w:color w:val="0D0D0D"/>
          <w:spacing w:val="24"/>
          <w:vertAlign w:val="baseline"/>
        </w:rPr>
        <w:t> </w:t>
      </w:r>
      <w:r>
        <w:rPr>
          <w:color w:val="0D0D0D"/>
          <w:vertAlign w:val="baseline"/>
        </w:rPr>
        <w:t>Este</w:t>
      </w:r>
      <w:r>
        <w:rPr>
          <w:color w:val="0D0D0D"/>
          <w:spacing w:val="-15"/>
          <w:vertAlign w:val="baseline"/>
        </w:rPr>
        <w:t> </w:t>
      </w:r>
      <w:r>
        <w:rPr>
          <w:color w:val="0D0D0D"/>
          <w:vertAlign w:val="baseline"/>
        </w:rPr>
        <w:t>mecanismo</w:t>
      </w:r>
      <w:r>
        <w:rPr>
          <w:color w:val="0D0D0D"/>
          <w:spacing w:val="-15"/>
          <w:vertAlign w:val="baseline"/>
        </w:rPr>
        <w:t> </w:t>
      </w:r>
      <w:r>
        <w:rPr>
          <w:color w:val="0D0D0D"/>
          <w:vertAlign w:val="baseline"/>
        </w:rPr>
        <w:t>reduce</w:t>
      </w:r>
      <w:r>
        <w:rPr>
          <w:color w:val="0D0D0D"/>
          <w:spacing w:val="-15"/>
          <w:vertAlign w:val="baseline"/>
        </w:rPr>
        <w:t> </w:t>
      </w:r>
      <w:r>
        <w:rPr>
          <w:color w:val="0D0D0D"/>
          <w:vertAlign w:val="baseline"/>
        </w:rPr>
        <w:t>la</w:t>
      </w:r>
      <w:r>
        <w:rPr>
          <w:color w:val="0D0D0D"/>
          <w:spacing w:val="-15"/>
          <w:vertAlign w:val="baseline"/>
        </w:rPr>
        <w:t> </w:t>
      </w:r>
      <w:r>
        <w:rPr>
          <w:color w:val="0D0D0D"/>
          <w:vertAlign w:val="baseline"/>
        </w:rPr>
        <w:t>liberación de neurotransmisores excitatorios en las sinapsis de la vía del dolor, lo que contribuye a una menor percepción del estímulo doloroso y aun efecto analgésico complementario al de otros agentes (Imboden et al., 2023).</w:t>
      </w:r>
    </w:p>
    <w:p>
      <w:pPr>
        <w:pStyle w:val="BodyText"/>
        <w:spacing w:after="0" w:line="480" w:lineRule="auto"/>
        <w:jc w:val="both"/>
        <w:sectPr>
          <w:pgSz w:w="11910" w:h="16840"/>
          <w:pgMar w:header="0" w:footer="1038" w:top="1620" w:bottom="1220" w:left="1700" w:right="1559"/>
        </w:sectPr>
      </w:pPr>
    </w:p>
    <w:p>
      <w:pPr>
        <w:pStyle w:val="Heading3"/>
        <w:spacing w:before="64"/>
        <w:ind w:left="568" w:firstLine="0"/>
      </w:pPr>
      <w:r>
        <w:rPr/>
        <w:t>Efectos</w:t>
      </w:r>
      <w:r>
        <w:rPr>
          <w:spacing w:val="-2"/>
        </w:rPr>
        <w:t> adversos</w:t>
      </w:r>
    </w:p>
    <w:p>
      <w:pPr>
        <w:pStyle w:val="BodyText"/>
        <w:spacing w:before="240"/>
        <w:rPr>
          <w:b/>
        </w:rPr>
      </w:pPr>
    </w:p>
    <w:p>
      <w:pPr>
        <w:pStyle w:val="BodyText"/>
        <w:spacing w:line="480" w:lineRule="auto"/>
        <w:ind w:left="568" w:right="136"/>
        <w:jc w:val="both"/>
      </w:pPr>
      <w:r>
        <w:rPr>
          <w:color w:val="0D0D0D"/>
        </w:rPr>
        <w:t>La acción farmacológica que tiene sobre el sistema nervioso autónomo puede generar</w:t>
      </w:r>
      <w:r>
        <w:rPr>
          <w:color w:val="0D0D0D"/>
          <w:spacing w:val="-13"/>
        </w:rPr>
        <w:t> </w:t>
      </w:r>
      <w:r>
        <w:rPr>
          <w:color w:val="0D0D0D"/>
        </w:rPr>
        <w:t>una</w:t>
      </w:r>
      <w:r>
        <w:rPr>
          <w:color w:val="0D0D0D"/>
          <w:spacing w:val="-10"/>
        </w:rPr>
        <w:t> </w:t>
      </w:r>
      <w:r>
        <w:rPr>
          <w:color w:val="0D0D0D"/>
        </w:rPr>
        <w:t>serie</w:t>
      </w:r>
      <w:r>
        <w:rPr>
          <w:color w:val="0D0D0D"/>
          <w:spacing w:val="-10"/>
        </w:rPr>
        <w:t> </w:t>
      </w:r>
      <w:r>
        <w:rPr>
          <w:color w:val="0D0D0D"/>
        </w:rPr>
        <w:t>de</w:t>
      </w:r>
      <w:r>
        <w:rPr>
          <w:color w:val="0D0D0D"/>
          <w:spacing w:val="-14"/>
        </w:rPr>
        <w:t> </w:t>
      </w:r>
      <w:r>
        <w:rPr>
          <w:color w:val="0D0D0D"/>
        </w:rPr>
        <w:t>efectos</w:t>
      </w:r>
      <w:r>
        <w:rPr>
          <w:color w:val="0D0D0D"/>
          <w:spacing w:val="-13"/>
        </w:rPr>
        <w:t> </w:t>
      </w:r>
      <w:r>
        <w:rPr>
          <w:color w:val="0D0D0D"/>
        </w:rPr>
        <w:t>adversos</w:t>
      </w:r>
      <w:r>
        <w:rPr>
          <w:color w:val="0D0D0D"/>
          <w:spacing w:val="-13"/>
        </w:rPr>
        <w:t> </w:t>
      </w:r>
      <w:r>
        <w:rPr>
          <w:color w:val="0D0D0D"/>
        </w:rPr>
        <w:t>tales</w:t>
      </w:r>
      <w:r>
        <w:rPr>
          <w:color w:val="0D0D0D"/>
          <w:spacing w:val="-15"/>
        </w:rPr>
        <w:t> </w:t>
      </w:r>
      <w:r>
        <w:rPr>
          <w:color w:val="0D0D0D"/>
        </w:rPr>
        <w:t>como</w:t>
      </w:r>
      <w:r>
        <w:rPr>
          <w:color w:val="0D0D0D"/>
          <w:spacing w:val="-11"/>
        </w:rPr>
        <w:t> </w:t>
      </w:r>
      <w:r>
        <w:rPr>
          <w:color w:val="0D0D0D"/>
        </w:rPr>
        <w:t>cardiovasculares,</w:t>
      </w:r>
      <w:r>
        <w:rPr>
          <w:color w:val="0D0D0D"/>
          <w:spacing w:val="-12"/>
        </w:rPr>
        <w:t> </w:t>
      </w:r>
      <w:r>
        <w:rPr>
          <w:color w:val="0D0D0D"/>
        </w:rPr>
        <w:t>respiratorios,</w:t>
      </w:r>
      <w:r>
        <w:rPr>
          <w:color w:val="0D0D0D"/>
          <w:spacing w:val="-12"/>
        </w:rPr>
        <w:t> </w:t>
      </w:r>
      <w:r>
        <w:rPr>
          <w:color w:val="0D0D0D"/>
        </w:rPr>
        <w:t>así como termorreguladores. La magnitud de estos efectos depende de factores como la dosis administrada, la vía de administración, la velocidad de infusión, la combinación con otros agentes anestésicos, en conjunto con las condiciones fisiológicas del paciente.</w:t>
      </w:r>
    </w:p>
    <w:p>
      <w:pPr>
        <w:pStyle w:val="BodyText"/>
        <w:spacing w:line="480" w:lineRule="auto" w:before="242"/>
        <w:ind w:left="568" w:right="135"/>
        <w:jc w:val="both"/>
      </w:pPr>
      <w:r>
        <w:rPr/>
        <w:t>Los</w:t>
      </w:r>
      <w:r>
        <w:rPr>
          <w:spacing w:val="-4"/>
        </w:rPr>
        <w:t> </w:t>
      </w:r>
      <w:r>
        <w:rPr/>
        <w:t>principales</w:t>
      </w:r>
      <w:r>
        <w:rPr>
          <w:spacing w:val="-3"/>
        </w:rPr>
        <w:t> </w:t>
      </w:r>
      <w:r>
        <w:rPr/>
        <w:t>efectos</w:t>
      </w:r>
      <w:r>
        <w:rPr>
          <w:spacing w:val="-3"/>
        </w:rPr>
        <w:t> </w:t>
      </w:r>
      <w:r>
        <w:rPr/>
        <w:t>asociados</w:t>
      </w:r>
      <w:r>
        <w:rPr>
          <w:spacing w:val="-4"/>
        </w:rPr>
        <w:t> </w:t>
      </w:r>
      <w:r>
        <w:rPr/>
        <w:t>al</w:t>
      </w:r>
      <w:r>
        <w:rPr>
          <w:spacing w:val="-1"/>
        </w:rPr>
        <w:t> </w:t>
      </w:r>
      <w:r>
        <w:rPr/>
        <w:t>uso</w:t>
      </w:r>
      <w:r>
        <w:rPr>
          <w:spacing w:val="-2"/>
        </w:rPr>
        <w:t> </w:t>
      </w:r>
      <w:r>
        <w:rPr/>
        <w:t>de</w:t>
      </w:r>
      <w:r>
        <w:rPr>
          <w:spacing w:val="-1"/>
        </w:rPr>
        <w:t> </w:t>
      </w:r>
      <w:r>
        <w:rPr/>
        <w:t>la</w:t>
      </w:r>
      <w:r>
        <w:rPr>
          <w:spacing w:val="-1"/>
        </w:rPr>
        <w:t> </w:t>
      </w:r>
      <w:r>
        <w:rPr/>
        <w:t>dexmedetomidina</w:t>
      </w:r>
      <w:r>
        <w:rPr>
          <w:spacing w:val="-1"/>
        </w:rPr>
        <w:t> </w:t>
      </w:r>
      <w:r>
        <w:rPr/>
        <w:t>en</w:t>
      </w:r>
      <w:r>
        <w:rPr>
          <w:spacing w:val="-2"/>
        </w:rPr>
        <w:t> </w:t>
      </w:r>
      <w:r>
        <w:rPr/>
        <w:t>caninos</w:t>
      </w:r>
      <w:r>
        <w:rPr>
          <w:spacing w:val="-1"/>
        </w:rPr>
        <w:t> </w:t>
      </w:r>
      <w:r>
        <w:rPr/>
        <w:t>son</w:t>
      </w:r>
      <w:r>
        <w:rPr>
          <w:spacing w:val="-2"/>
        </w:rPr>
        <w:t> </w:t>
      </w:r>
      <w:r>
        <w:rPr/>
        <w:t>las a</w:t>
      </w:r>
      <w:r>
        <w:rPr>
          <w:color w:val="0D0D0D"/>
        </w:rPr>
        <w:t>lteraciones</w:t>
      </w:r>
      <w:r>
        <w:rPr>
          <w:color w:val="0D0D0D"/>
          <w:spacing w:val="-8"/>
        </w:rPr>
        <w:t> </w:t>
      </w:r>
      <w:r>
        <w:rPr>
          <w:color w:val="0D0D0D"/>
        </w:rPr>
        <w:t>cardiovasculares,</w:t>
      </w:r>
      <w:r>
        <w:rPr>
          <w:color w:val="0D0D0D"/>
          <w:spacing w:val="-8"/>
        </w:rPr>
        <w:t> </w:t>
      </w:r>
      <w:r>
        <w:rPr>
          <w:color w:val="0D0D0D"/>
        </w:rPr>
        <w:t>la</w:t>
      </w:r>
      <w:r>
        <w:rPr>
          <w:color w:val="0D0D0D"/>
          <w:spacing w:val="-7"/>
        </w:rPr>
        <w:t> </w:t>
      </w:r>
      <w:r>
        <w:rPr>
          <w:color w:val="0D0D0D"/>
        </w:rPr>
        <w:t>bradicardia</w:t>
      </w:r>
      <w:r>
        <w:rPr>
          <w:color w:val="0D0D0D"/>
          <w:spacing w:val="-7"/>
        </w:rPr>
        <w:t> </w:t>
      </w:r>
      <w:r>
        <w:rPr>
          <w:color w:val="0D0D0D"/>
        </w:rPr>
        <w:t>marcada,</w:t>
      </w:r>
      <w:r>
        <w:rPr>
          <w:color w:val="0D0D0D"/>
          <w:spacing w:val="-9"/>
        </w:rPr>
        <w:t> </w:t>
      </w:r>
      <w:r>
        <w:rPr>
          <w:color w:val="0D0D0D"/>
        </w:rPr>
        <w:t>la</w:t>
      </w:r>
      <w:r>
        <w:rPr>
          <w:color w:val="0D0D0D"/>
          <w:spacing w:val="-7"/>
        </w:rPr>
        <w:t> </w:t>
      </w:r>
      <w:r>
        <w:rPr>
          <w:color w:val="0D0D0D"/>
        </w:rPr>
        <w:t>hipertensión</w:t>
      </w:r>
      <w:r>
        <w:rPr>
          <w:color w:val="0D0D0D"/>
          <w:spacing w:val="-13"/>
        </w:rPr>
        <w:t> </w:t>
      </w:r>
      <w:r>
        <w:rPr>
          <w:color w:val="0D0D0D"/>
        </w:rPr>
        <w:t>transitoria,</w:t>
      </w:r>
      <w:r>
        <w:rPr>
          <w:color w:val="0D0D0D"/>
          <w:spacing w:val="-12"/>
        </w:rPr>
        <w:t> </w:t>
      </w:r>
      <w:r>
        <w:rPr>
          <w:color w:val="0D0D0D"/>
        </w:rPr>
        <w:t>la hipotensión, arritmias cardíacas, disminución de la frecuencia respiratoria, apnea transitoria, hipotermia.</w:t>
      </w:r>
    </w:p>
    <w:p>
      <w:pPr>
        <w:pStyle w:val="Heading3"/>
        <w:numPr>
          <w:ilvl w:val="2"/>
          <w:numId w:val="8"/>
        </w:numPr>
        <w:tabs>
          <w:tab w:pos="1288" w:val="left" w:leader="none"/>
        </w:tabs>
        <w:spacing w:line="240" w:lineRule="auto" w:before="0" w:after="0"/>
        <w:ind w:left="1288" w:right="0" w:hanging="720"/>
        <w:jc w:val="both"/>
      </w:pPr>
      <w:bookmarkStart w:name="_bookmark21" w:id="22"/>
      <w:bookmarkEnd w:id="22"/>
      <w:r>
        <w:rPr>
          <w:b w:val="0"/>
        </w:rPr>
      </w:r>
      <w:r>
        <w:rPr>
          <w:color w:val="0D0D0D"/>
          <w:spacing w:val="-2"/>
        </w:rPr>
        <w:t>Monitorización</w:t>
      </w:r>
    </w:p>
    <w:p>
      <w:pPr>
        <w:pStyle w:val="BodyText"/>
        <w:spacing w:before="240"/>
        <w:rPr>
          <w:b/>
        </w:rPr>
      </w:pPr>
    </w:p>
    <w:p>
      <w:pPr>
        <w:pStyle w:val="BodyText"/>
        <w:spacing w:line="480" w:lineRule="auto"/>
        <w:ind w:left="568" w:right="136"/>
        <w:jc w:val="both"/>
      </w:pPr>
      <w:r>
        <w:rPr>
          <w:color w:val="0D0D0D"/>
        </w:rPr>
        <w:t>La monitorización en caninos durante la fase preanestésica es un proceso clínico estructurado a la vez que continuo, el cual está orientado a la evaluación integral del</w:t>
      </w:r>
      <w:r>
        <w:rPr>
          <w:color w:val="0D0D0D"/>
          <w:spacing w:val="-1"/>
        </w:rPr>
        <w:t> </w:t>
      </w:r>
      <w:r>
        <w:rPr>
          <w:color w:val="0D0D0D"/>
        </w:rPr>
        <w:t>estado</w:t>
      </w:r>
      <w:r>
        <w:rPr>
          <w:color w:val="0D0D0D"/>
          <w:spacing w:val="-3"/>
        </w:rPr>
        <w:t> </w:t>
      </w:r>
      <w:r>
        <w:rPr>
          <w:color w:val="0D0D0D"/>
        </w:rPr>
        <w:t>fisiológico</w:t>
      </w:r>
      <w:r>
        <w:rPr>
          <w:color w:val="0D0D0D"/>
          <w:spacing w:val="-8"/>
        </w:rPr>
        <w:t> </w:t>
      </w:r>
      <w:r>
        <w:rPr>
          <w:color w:val="0D0D0D"/>
        </w:rPr>
        <w:t>del</w:t>
      </w:r>
      <w:r>
        <w:rPr>
          <w:color w:val="0D0D0D"/>
          <w:spacing w:val="-6"/>
        </w:rPr>
        <w:t> </w:t>
      </w:r>
      <w:r>
        <w:rPr>
          <w:color w:val="0D0D0D"/>
        </w:rPr>
        <w:t>paciente</w:t>
      </w:r>
      <w:r>
        <w:rPr>
          <w:color w:val="0D0D0D"/>
          <w:spacing w:val="-2"/>
        </w:rPr>
        <w:t> </w:t>
      </w:r>
      <w:r>
        <w:rPr>
          <w:color w:val="0D0D0D"/>
        </w:rPr>
        <w:t>antes</w:t>
      </w:r>
      <w:r>
        <w:rPr>
          <w:color w:val="0D0D0D"/>
          <w:spacing w:val="-5"/>
        </w:rPr>
        <w:t> </w:t>
      </w:r>
      <w:r>
        <w:rPr>
          <w:color w:val="0D0D0D"/>
        </w:rPr>
        <w:t>de</w:t>
      </w:r>
      <w:r>
        <w:rPr>
          <w:color w:val="0D0D0D"/>
          <w:spacing w:val="-2"/>
        </w:rPr>
        <w:t> </w:t>
      </w:r>
      <w:r>
        <w:rPr>
          <w:color w:val="0D0D0D"/>
        </w:rPr>
        <w:t>la</w:t>
      </w:r>
      <w:r>
        <w:rPr>
          <w:color w:val="0D0D0D"/>
          <w:spacing w:val="-6"/>
        </w:rPr>
        <w:t> </w:t>
      </w:r>
      <w:r>
        <w:rPr>
          <w:color w:val="0D0D0D"/>
        </w:rPr>
        <w:t>inducción</w:t>
      </w:r>
      <w:r>
        <w:rPr>
          <w:color w:val="0D0D0D"/>
          <w:spacing w:val="-1"/>
        </w:rPr>
        <w:t> </w:t>
      </w:r>
      <w:r>
        <w:rPr>
          <w:color w:val="0D0D0D"/>
        </w:rPr>
        <w:t>anestésica.</w:t>
      </w:r>
      <w:r>
        <w:rPr>
          <w:color w:val="0D0D0D"/>
          <w:spacing w:val="-7"/>
        </w:rPr>
        <w:t> </w:t>
      </w:r>
      <w:r>
        <w:rPr>
          <w:color w:val="0D0D0D"/>
        </w:rPr>
        <w:t>La</w:t>
      </w:r>
      <w:r>
        <w:rPr>
          <w:color w:val="0D0D0D"/>
          <w:spacing w:val="-2"/>
        </w:rPr>
        <w:t> </w:t>
      </w:r>
      <w:r>
        <w:rPr>
          <w:color w:val="0D0D0D"/>
        </w:rPr>
        <w:t>finalidad</w:t>
      </w:r>
      <w:r>
        <w:rPr>
          <w:color w:val="0D0D0D"/>
          <w:spacing w:val="-3"/>
        </w:rPr>
        <w:t> </w:t>
      </w:r>
      <w:r>
        <w:rPr>
          <w:color w:val="0D0D0D"/>
        </w:rPr>
        <w:t>de la monitorización es la identificación de los factores del riesgo, a su vez la anticipación de posibles alteraciones hemodinámicas, y de la misma manera el establecimiento</w:t>
      </w:r>
      <w:r>
        <w:rPr>
          <w:color w:val="0D0D0D"/>
          <w:spacing w:val="-8"/>
        </w:rPr>
        <w:t> </w:t>
      </w:r>
      <w:r>
        <w:rPr>
          <w:color w:val="0D0D0D"/>
        </w:rPr>
        <w:t>de</w:t>
      </w:r>
      <w:r>
        <w:rPr>
          <w:color w:val="0D0D0D"/>
          <w:spacing w:val="-4"/>
        </w:rPr>
        <w:t> </w:t>
      </w:r>
      <w:r>
        <w:rPr>
          <w:color w:val="0D0D0D"/>
        </w:rPr>
        <w:t>las</w:t>
      </w:r>
      <w:r>
        <w:rPr>
          <w:color w:val="0D0D0D"/>
          <w:spacing w:val="-9"/>
        </w:rPr>
        <w:t> </w:t>
      </w:r>
      <w:r>
        <w:rPr>
          <w:color w:val="0D0D0D"/>
        </w:rPr>
        <w:t>condiciones</w:t>
      </w:r>
      <w:r>
        <w:rPr>
          <w:color w:val="0D0D0D"/>
          <w:spacing w:val="-5"/>
        </w:rPr>
        <w:t> </w:t>
      </w:r>
      <w:r>
        <w:rPr>
          <w:color w:val="0D0D0D"/>
        </w:rPr>
        <w:t>óptimas</w:t>
      </w:r>
      <w:r>
        <w:rPr>
          <w:color w:val="0D0D0D"/>
          <w:spacing w:val="-2"/>
        </w:rPr>
        <w:t> </w:t>
      </w:r>
      <w:r>
        <w:rPr>
          <w:color w:val="0D0D0D"/>
        </w:rPr>
        <w:t>para</w:t>
      </w:r>
      <w:r>
        <w:rPr>
          <w:color w:val="0D0D0D"/>
          <w:spacing w:val="-2"/>
        </w:rPr>
        <w:t> </w:t>
      </w:r>
      <w:r>
        <w:rPr>
          <w:color w:val="0D0D0D"/>
        </w:rPr>
        <w:t>una</w:t>
      </w:r>
      <w:r>
        <w:rPr>
          <w:color w:val="0D0D0D"/>
          <w:spacing w:val="-6"/>
        </w:rPr>
        <w:t> </w:t>
      </w:r>
      <w:r>
        <w:rPr>
          <w:color w:val="0D0D0D"/>
        </w:rPr>
        <w:t>anestesia</w:t>
      </w:r>
      <w:r>
        <w:rPr>
          <w:color w:val="0D0D0D"/>
          <w:spacing w:val="-6"/>
        </w:rPr>
        <w:t> </w:t>
      </w:r>
      <w:r>
        <w:rPr>
          <w:color w:val="0D0D0D"/>
        </w:rPr>
        <w:t>segura y</w:t>
      </w:r>
      <w:r>
        <w:rPr>
          <w:color w:val="0D0D0D"/>
          <w:spacing w:val="-8"/>
        </w:rPr>
        <w:t> </w:t>
      </w:r>
      <w:r>
        <w:rPr>
          <w:color w:val="0D0D0D"/>
        </w:rPr>
        <w:t>controlada, de esta manera la monitorización</w:t>
      </w:r>
      <w:r>
        <w:rPr>
          <w:color w:val="0D0D0D"/>
          <w:spacing w:val="-1"/>
        </w:rPr>
        <w:t> </w:t>
      </w:r>
      <w:r>
        <w:rPr>
          <w:color w:val="0D0D0D"/>
        </w:rPr>
        <w:t>preanestésica representa una herramienta clínica importante para la toma de decisiones fundamentadas en anestesia veterinaria.</w:t>
      </w:r>
    </w:p>
    <w:p>
      <w:pPr>
        <w:pStyle w:val="BodyText"/>
        <w:spacing w:line="480" w:lineRule="auto" w:before="242"/>
        <w:ind w:left="568" w:right="147"/>
        <w:jc w:val="both"/>
      </w:pPr>
      <w:r>
        <w:rPr>
          <w:color w:val="0D0D0D"/>
        </w:rPr>
        <w:t>La aplicación sistemática de estos pasos otorga anticipar alteraciones fisiológicas, individualizar el protocolo anestésico y establecer medidas preventivas que contribuyan</w:t>
      </w:r>
      <w:r>
        <w:rPr>
          <w:color w:val="0D0D0D"/>
          <w:spacing w:val="-19"/>
        </w:rPr>
        <w:t> </w:t>
      </w:r>
      <w:r>
        <w:rPr>
          <w:color w:val="0D0D0D"/>
        </w:rPr>
        <w:t>a</w:t>
      </w:r>
      <w:r>
        <w:rPr>
          <w:color w:val="0D0D0D"/>
          <w:spacing w:val="-13"/>
        </w:rPr>
        <w:t> </w:t>
      </w:r>
      <w:r>
        <w:rPr>
          <w:color w:val="0D0D0D"/>
        </w:rPr>
        <w:t>una</w:t>
      </w:r>
      <w:r>
        <w:rPr>
          <w:color w:val="0D0D0D"/>
          <w:spacing w:val="-12"/>
        </w:rPr>
        <w:t> </w:t>
      </w:r>
      <w:r>
        <w:rPr>
          <w:color w:val="0D0D0D"/>
        </w:rPr>
        <w:t>mayor</w:t>
      </w:r>
      <w:r>
        <w:rPr>
          <w:color w:val="0D0D0D"/>
          <w:spacing w:val="-16"/>
        </w:rPr>
        <w:t> </w:t>
      </w:r>
      <w:r>
        <w:rPr>
          <w:color w:val="0D0D0D"/>
        </w:rPr>
        <w:t>estabilidad</w:t>
      </w:r>
      <w:r>
        <w:rPr>
          <w:color w:val="0D0D0D"/>
          <w:spacing w:val="-13"/>
        </w:rPr>
        <w:t> </w:t>
      </w:r>
      <w:r>
        <w:rPr>
          <w:color w:val="0D0D0D"/>
        </w:rPr>
        <w:t>hemodinámica</w:t>
      </w:r>
      <w:r>
        <w:rPr>
          <w:color w:val="0D0D0D"/>
          <w:spacing w:val="-12"/>
        </w:rPr>
        <w:t> </w:t>
      </w:r>
      <w:r>
        <w:rPr>
          <w:color w:val="0D0D0D"/>
        </w:rPr>
        <w:t>y</w:t>
      </w:r>
      <w:r>
        <w:rPr>
          <w:color w:val="0D0D0D"/>
          <w:spacing w:val="-12"/>
        </w:rPr>
        <w:t> </w:t>
      </w:r>
      <w:r>
        <w:rPr>
          <w:color w:val="0D0D0D"/>
        </w:rPr>
        <w:t>seguridad</w:t>
      </w:r>
      <w:r>
        <w:rPr>
          <w:color w:val="0D0D0D"/>
          <w:spacing w:val="-13"/>
        </w:rPr>
        <w:t> </w:t>
      </w:r>
      <w:r>
        <w:rPr>
          <w:color w:val="0D0D0D"/>
        </w:rPr>
        <w:t>del</w:t>
      </w:r>
      <w:r>
        <w:rPr>
          <w:color w:val="0D0D0D"/>
          <w:spacing w:val="-12"/>
        </w:rPr>
        <w:t> </w:t>
      </w:r>
      <w:r>
        <w:rPr>
          <w:color w:val="0D0D0D"/>
        </w:rPr>
        <w:t>paciente</w:t>
      </w:r>
      <w:r>
        <w:rPr>
          <w:color w:val="0D0D0D"/>
          <w:spacing w:val="-11"/>
        </w:rPr>
        <w:t> </w:t>
      </w:r>
      <w:r>
        <w:rPr>
          <w:color w:val="0D0D0D"/>
          <w:spacing w:val="-2"/>
        </w:rPr>
        <w:t>canino</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0"/>
        <w:jc w:val="both"/>
      </w:pPr>
      <w:r>
        <w:rPr>
          <w:color w:val="0D0D0D"/>
        </w:rPr>
        <w:t>durante la anestesia general. De tal manera, esta evaluación previa facilita la identificación de pacientes con riesgo anestésico elevado, como animales geriátricos, con comorbilidades cardiovasculares o sometidos a procedimientos prolongados, por lo tanto, la información obtenida durante la fase preanestésica orienta la selección de fármacos, las dosis, así como el nivel de monitorización intraoperatoria requeridos, de este modo, la monitorización preanestésica se consolida como un componente esencial para optimizar los resultados anestésicos como para reducir la incidencia de complicaciones perioperatorias en la práctica clínica veterinaria.</w:t>
      </w:r>
    </w:p>
    <w:p>
      <w:pPr>
        <w:pStyle w:val="Heading3"/>
        <w:numPr>
          <w:ilvl w:val="1"/>
          <w:numId w:val="8"/>
        </w:numPr>
        <w:tabs>
          <w:tab w:pos="1144" w:val="left" w:leader="none"/>
        </w:tabs>
        <w:spacing w:line="240" w:lineRule="auto" w:before="161" w:after="0"/>
        <w:ind w:left="1144" w:right="0" w:hanging="576"/>
        <w:jc w:val="both"/>
      </w:pPr>
      <w:bookmarkStart w:name="_bookmark22" w:id="23"/>
      <w:bookmarkEnd w:id="23"/>
      <w:r>
        <w:rPr>
          <w:b w:val="0"/>
        </w:rPr>
      </w:r>
      <w:r>
        <w:rPr/>
        <w:t>Comparación</w:t>
      </w:r>
      <w:r>
        <w:rPr>
          <w:spacing w:val="-5"/>
        </w:rPr>
        <w:t> </w:t>
      </w:r>
      <w:r>
        <w:rPr/>
        <w:t>con</w:t>
      </w:r>
      <w:r>
        <w:rPr>
          <w:spacing w:val="-5"/>
        </w:rPr>
        <w:t> </w:t>
      </w:r>
      <w:r>
        <w:rPr/>
        <w:t>otros</w:t>
      </w:r>
      <w:r>
        <w:rPr>
          <w:spacing w:val="-4"/>
        </w:rPr>
        <w:t> </w:t>
      </w:r>
      <w:r>
        <w:rPr>
          <w:spacing w:val="-2"/>
        </w:rPr>
        <w:t>fármacos</w:t>
      </w:r>
    </w:p>
    <w:p>
      <w:pPr>
        <w:pStyle w:val="BodyText"/>
        <w:spacing w:before="241"/>
        <w:rPr>
          <w:b/>
        </w:rPr>
      </w:pPr>
    </w:p>
    <w:p>
      <w:pPr>
        <w:pStyle w:val="BodyText"/>
        <w:spacing w:line="480" w:lineRule="auto"/>
        <w:ind w:left="568" w:right="136"/>
        <w:jc w:val="both"/>
      </w:pPr>
      <w:r>
        <w:rPr/>
        <w:t>La selección racional</w:t>
      </w:r>
      <w:r>
        <w:rPr>
          <w:spacing w:val="-2"/>
        </w:rPr>
        <w:t> </w:t>
      </w:r>
      <w:r>
        <w:rPr/>
        <w:t>del fármaco preanestésico es un</w:t>
      </w:r>
      <w:r>
        <w:rPr>
          <w:spacing w:val="-3"/>
        </w:rPr>
        <w:t> </w:t>
      </w:r>
      <w:r>
        <w:rPr/>
        <w:t>elemento</w:t>
      </w:r>
      <w:r>
        <w:rPr>
          <w:spacing w:val="-2"/>
        </w:rPr>
        <w:t> </w:t>
      </w:r>
      <w:r>
        <w:rPr/>
        <w:t>importante para</w:t>
      </w:r>
      <w:r>
        <w:rPr>
          <w:spacing w:val="-2"/>
        </w:rPr>
        <w:t> </w:t>
      </w:r>
      <w:r>
        <w:rPr/>
        <w:t>la optimización de la estabilidad hemodinámica y la seguridad en caninos. La evidencia</w:t>
      </w:r>
      <w:r>
        <w:rPr>
          <w:spacing w:val="-15"/>
        </w:rPr>
        <w:t> </w:t>
      </w:r>
      <w:r>
        <w:rPr/>
        <w:t>clínica</w:t>
      </w:r>
      <w:r>
        <w:rPr>
          <w:spacing w:val="-11"/>
        </w:rPr>
        <w:t> </w:t>
      </w:r>
      <w:r>
        <w:rPr/>
        <w:t>demuestra</w:t>
      </w:r>
      <w:r>
        <w:rPr>
          <w:spacing w:val="-11"/>
        </w:rPr>
        <w:t> </w:t>
      </w:r>
      <w:r>
        <w:rPr/>
        <w:t>que</w:t>
      </w:r>
      <w:r>
        <w:rPr>
          <w:spacing w:val="-11"/>
        </w:rPr>
        <w:t> </w:t>
      </w:r>
      <w:r>
        <w:rPr/>
        <w:t>no</w:t>
      </w:r>
      <w:r>
        <w:rPr>
          <w:spacing w:val="-15"/>
        </w:rPr>
        <w:t> </w:t>
      </w:r>
      <w:r>
        <w:rPr/>
        <w:t>existe</w:t>
      </w:r>
      <w:r>
        <w:rPr>
          <w:spacing w:val="-15"/>
        </w:rPr>
        <w:t> </w:t>
      </w:r>
      <w:r>
        <w:rPr/>
        <w:t>un</w:t>
      </w:r>
      <w:r>
        <w:rPr>
          <w:spacing w:val="-12"/>
        </w:rPr>
        <w:t> </w:t>
      </w:r>
      <w:r>
        <w:rPr/>
        <w:t>fármaco</w:t>
      </w:r>
      <w:r>
        <w:rPr>
          <w:spacing w:val="-12"/>
        </w:rPr>
        <w:t> </w:t>
      </w:r>
      <w:r>
        <w:rPr/>
        <w:t>universalmente</w:t>
      </w:r>
      <w:r>
        <w:rPr>
          <w:spacing w:val="-11"/>
        </w:rPr>
        <w:t> </w:t>
      </w:r>
      <w:r>
        <w:rPr/>
        <w:t>superior,</w:t>
      </w:r>
      <w:r>
        <w:rPr>
          <w:spacing w:val="-12"/>
        </w:rPr>
        <w:t> </w:t>
      </w:r>
      <w:r>
        <w:rPr/>
        <w:t>sino opciones con perfiles farmacodinámicos específicos que deben elegirse según el estado del paciente, el tipo de procedimiento, así como en base a los objetivos </w:t>
      </w:r>
      <w:r>
        <w:rPr>
          <w:spacing w:val="-2"/>
        </w:rPr>
        <w:t>anestésicos.</w:t>
      </w:r>
    </w:p>
    <w:p>
      <w:pPr>
        <w:spacing w:before="5"/>
        <w:ind w:left="568" w:right="0" w:firstLine="0"/>
        <w:jc w:val="both"/>
        <w:rPr>
          <w:b/>
          <w:sz w:val="24"/>
        </w:rPr>
      </w:pPr>
      <w:r>
        <w:rPr>
          <w:b/>
          <w:sz w:val="24"/>
        </w:rPr>
        <w:t>Agonistas</w:t>
      </w:r>
      <w:r>
        <w:rPr>
          <w:b/>
          <w:spacing w:val="1"/>
          <w:sz w:val="24"/>
        </w:rPr>
        <w:t> </w:t>
      </w:r>
      <w:r>
        <w:rPr>
          <w:rFonts w:ascii="Cambria Math" w:hAnsi="Cambria Math" w:eastAsia="Cambria Math"/>
          <w:sz w:val="24"/>
        </w:rPr>
        <w:t>𝜶</w:t>
      </w:r>
      <w:r>
        <w:rPr>
          <w:rFonts w:ascii="Cambria Math" w:hAnsi="Cambria Math" w:eastAsia="Cambria Math"/>
          <w:sz w:val="24"/>
          <w:vertAlign w:val="subscript"/>
        </w:rPr>
        <w:t>𝟐</w:t>
      </w:r>
      <w:r>
        <w:rPr>
          <w:rFonts w:ascii="Cambria Math" w:hAnsi="Cambria Math" w:eastAsia="Cambria Math"/>
          <w:spacing w:val="14"/>
          <w:sz w:val="24"/>
          <w:vertAlign w:val="baseline"/>
        </w:rPr>
        <w:t> </w:t>
      </w:r>
      <w:r>
        <w:rPr>
          <w:b/>
          <w:spacing w:val="-2"/>
          <w:sz w:val="24"/>
          <w:vertAlign w:val="baseline"/>
        </w:rPr>
        <w:t>adrenérgicos:</w:t>
      </w:r>
    </w:p>
    <w:p>
      <w:pPr>
        <w:pStyle w:val="BodyText"/>
        <w:spacing w:before="2"/>
        <w:rPr>
          <w:b/>
        </w:rPr>
      </w:pPr>
    </w:p>
    <w:p>
      <w:pPr>
        <w:pStyle w:val="BodyText"/>
        <w:spacing w:line="480" w:lineRule="auto" w:before="1"/>
        <w:ind w:left="568" w:right="143"/>
        <w:jc w:val="both"/>
      </w:pPr>
      <w:r>
        <w:rPr/>
        <w:t>Dexmedetomidina: provoca un impacto cardiovascular caracterizado por bradicardia,</w:t>
      </w:r>
      <w:r>
        <w:rPr>
          <w:spacing w:val="-7"/>
        </w:rPr>
        <w:t> </w:t>
      </w:r>
      <w:r>
        <w:rPr/>
        <w:t>vasoconstricción</w:t>
      </w:r>
      <w:r>
        <w:rPr>
          <w:spacing w:val="-7"/>
        </w:rPr>
        <w:t> </w:t>
      </w:r>
      <w:r>
        <w:rPr/>
        <w:t>periférica</w:t>
      </w:r>
      <w:r>
        <w:rPr>
          <w:spacing w:val="-5"/>
        </w:rPr>
        <w:t> </w:t>
      </w:r>
      <w:r>
        <w:rPr/>
        <w:t>y</w:t>
      </w:r>
      <w:r>
        <w:rPr>
          <w:spacing w:val="-7"/>
        </w:rPr>
        <w:t> </w:t>
      </w:r>
      <w:r>
        <w:rPr/>
        <w:t>cambios</w:t>
      </w:r>
      <w:r>
        <w:rPr>
          <w:spacing w:val="-8"/>
        </w:rPr>
        <w:t> </w:t>
      </w:r>
      <w:r>
        <w:rPr/>
        <w:t>previsibles</w:t>
      </w:r>
      <w:r>
        <w:rPr>
          <w:spacing w:val="-8"/>
        </w:rPr>
        <w:t> </w:t>
      </w:r>
      <w:r>
        <w:rPr/>
        <w:t>en</w:t>
      </w:r>
      <w:r>
        <w:rPr>
          <w:spacing w:val="-7"/>
        </w:rPr>
        <w:t> </w:t>
      </w:r>
      <w:r>
        <w:rPr/>
        <w:t>la</w:t>
      </w:r>
      <w:r>
        <w:rPr>
          <w:spacing w:val="-5"/>
        </w:rPr>
        <w:t> </w:t>
      </w:r>
      <w:r>
        <w:rPr/>
        <w:t>presión</w:t>
      </w:r>
      <w:r>
        <w:rPr>
          <w:spacing w:val="-7"/>
        </w:rPr>
        <w:t> </w:t>
      </w:r>
      <w:r>
        <w:rPr/>
        <w:t>arterial media (PAM), acompañado de una depresión respiratoria leve.</w:t>
      </w:r>
    </w:p>
    <w:p>
      <w:pPr>
        <w:pStyle w:val="BodyText"/>
        <w:spacing w:line="480" w:lineRule="auto"/>
        <w:ind w:left="568" w:right="136"/>
        <w:jc w:val="both"/>
      </w:pPr>
      <w:r>
        <w:rPr/>
        <w:t>Medetomidina: a nivel cardiovascular produce una mayor vasoconstricción, junto con bradicardia en comparación con la dexmedetomidina, lo cual mantiene una mínima depresión respiratoria.</w:t>
      </w:r>
    </w:p>
    <w:p>
      <w:pPr>
        <w:pStyle w:val="BodyText"/>
        <w:spacing w:after="0" w:line="480" w:lineRule="auto"/>
        <w:jc w:val="both"/>
        <w:sectPr>
          <w:pgSz w:w="11910" w:h="16840"/>
          <w:pgMar w:header="0" w:footer="1038" w:top="1620" w:bottom="1220" w:left="1700" w:right="1559"/>
        </w:sectPr>
      </w:pPr>
    </w:p>
    <w:p>
      <w:pPr>
        <w:pStyle w:val="Heading3"/>
        <w:spacing w:before="64"/>
        <w:ind w:left="568" w:firstLine="0"/>
        <w:jc w:val="left"/>
      </w:pPr>
      <w:r>
        <w:rPr>
          <w:spacing w:val="-2"/>
        </w:rPr>
        <w:t>Fenotiazinas:</w:t>
      </w:r>
    </w:p>
    <w:p>
      <w:pPr>
        <w:pStyle w:val="BodyText"/>
        <w:rPr>
          <w:b/>
        </w:rPr>
      </w:pPr>
    </w:p>
    <w:p>
      <w:pPr>
        <w:pStyle w:val="BodyText"/>
        <w:spacing w:line="480" w:lineRule="auto"/>
        <w:ind w:left="568" w:right="137"/>
        <w:jc w:val="both"/>
      </w:pPr>
      <w:r>
        <w:rPr/>
        <w:t>Acepromazina</w:t>
      </w:r>
      <w:r>
        <w:rPr>
          <w:b/>
        </w:rPr>
        <w:t>: </w:t>
      </w:r>
      <w:r>
        <w:rPr/>
        <w:t>actúa como tranquilizante, así como ansiolítico; su impacto cardiovascular</w:t>
      </w:r>
      <w:r>
        <w:rPr>
          <w:spacing w:val="-4"/>
        </w:rPr>
        <w:t> </w:t>
      </w:r>
      <w:r>
        <w:rPr/>
        <w:t>se caracteriza</w:t>
      </w:r>
      <w:r>
        <w:rPr>
          <w:spacing w:val="-3"/>
        </w:rPr>
        <w:t> </w:t>
      </w:r>
      <w:r>
        <w:rPr/>
        <w:t>por</w:t>
      </w:r>
      <w:r>
        <w:rPr>
          <w:spacing w:val="-1"/>
        </w:rPr>
        <w:t> </w:t>
      </w:r>
      <w:r>
        <w:rPr/>
        <w:t>vasodilatación</w:t>
      </w:r>
      <w:r>
        <w:rPr>
          <w:spacing w:val="-5"/>
        </w:rPr>
        <w:t> </w:t>
      </w:r>
      <w:r>
        <w:rPr/>
        <w:t>e hipotensión</w:t>
      </w:r>
      <w:r>
        <w:rPr>
          <w:spacing w:val="-5"/>
        </w:rPr>
        <w:t> </w:t>
      </w:r>
      <w:r>
        <w:rPr/>
        <w:t>prolongada,</w:t>
      </w:r>
      <w:r>
        <w:rPr>
          <w:spacing w:val="-1"/>
        </w:rPr>
        <w:t> </w:t>
      </w:r>
      <w:r>
        <w:rPr/>
        <w:t>pero</w:t>
      </w:r>
      <w:r>
        <w:rPr>
          <w:spacing w:val="-1"/>
        </w:rPr>
        <w:t> </w:t>
      </w:r>
      <w:r>
        <w:rPr/>
        <w:t>no genera una depresión respiratoria relevante.</w:t>
      </w:r>
    </w:p>
    <w:p>
      <w:pPr>
        <w:pStyle w:val="Heading3"/>
        <w:spacing w:before="1"/>
        <w:ind w:left="568" w:firstLine="0"/>
        <w:jc w:val="left"/>
      </w:pPr>
      <w:r>
        <w:rPr>
          <w:spacing w:val="-2"/>
        </w:rPr>
        <w:t>Benzodiacepinas:</w:t>
      </w:r>
    </w:p>
    <w:p>
      <w:pPr>
        <w:pStyle w:val="BodyText"/>
        <w:rPr>
          <w:b/>
        </w:rPr>
      </w:pPr>
    </w:p>
    <w:p>
      <w:pPr>
        <w:pStyle w:val="BodyText"/>
        <w:spacing w:line="480" w:lineRule="auto"/>
        <w:ind w:left="568" w:right="136"/>
        <w:jc w:val="both"/>
        <w:rPr>
          <w:b/>
        </w:rPr>
      </w:pPr>
      <w:r>
        <w:rPr/>
        <w:t>Midazolam y Diazepam: ofrecen efectos de ansiolisis con relajación muscular, clínicamente destacan por su alta estabilidad, pues han demostrado un mínimo impacto hemodinámico, con una mínima depresión respiratoria. El midazolam es particularmente útil en pacientes debilitados, mientras que el diazepam es idóneo para</w:t>
      </w:r>
      <w:r>
        <w:rPr>
          <w:spacing w:val="-11"/>
        </w:rPr>
        <w:t> </w:t>
      </w:r>
      <w:r>
        <w:rPr/>
        <w:t>animales</w:t>
      </w:r>
      <w:r>
        <w:rPr>
          <w:spacing w:val="-13"/>
        </w:rPr>
        <w:t> </w:t>
      </w:r>
      <w:r>
        <w:rPr/>
        <w:t>comprometidos</w:t>
      </w:r>
      <w:r>
        <w:rPr>
          <w:spacing w:val="-13"/>
        </w:rPr>
        <w:t> </w:t>
      </w:r>
      <w:r>
        <w:rPr/>
        <w:t>debido</w:t>
      </w:r>
      <w:r>
        <w:rPr>
          <w:spacing w:val="-11"/>
        </w:rPr>
        <w:t> </w:t>
      </w:r>
      <w:r>
        <w:rPr/>
        <w:t>a</w:t>
      </w:r>
      <w:r>
        <w:rPr>
          <w:spacing w:val="-11"/>
        </w:rPr>
        <w:t> </w:t>
      </w:r>
      <w:r>
        <w:rPr/>
        <w:t>su</w:t>
      </w:r>
      <w:r>
        <w:rPr>
          <w:spacing w:val="-15"/>
        </w:rPr>
        <w:t> </w:t>
      </w:r>
      <w:r>
        <w:rPr/>
        <w:t>nula</w:t>
      </w:r>
      <w:r>
        <w:rPr>
          <w:spacing w:val="-11"/>
        </w:rPr>
        <w:t> </w:t>
      </w:r>
      <w:r>
        <w:rPr/>
        <w:t>repercusión</w:t>
      </w:r>
      <w:r>
        <w:rPr>
          <w:spacing w:val="-11"/>
        </w:rPr>
        <w:t> </w:t>
      </w:r>
      <w:r>
        <w:rPr/>
        <w:t>cardiovascular</w:t>
      </w:r>
      <w:r>
        <w:rPr>
          <w:spacing w:val="-11"/>
        </w:rPr>
        <w:t> </w:t>
      </w:r>
      <w:r>
        <w:rPr/>
        <w:t>drástica. </w:t>
      </w:r>
      <w:r>
        <w:rPr>
          <w:b/>
          <w:spacing w:val="-2"/>
        </w:rPr>
        <w:t>Opioides:</w:t>
      </w:r>
    </w:p>
    <w:p>
      <w:pPr>
        <w:pStyle w:val="BodyText"/>
        <w:spacing w:line="480" w:lineRule="auto" w:before="1"/>
        <w:ind w:left="568" w:right="141"/>
        <w:jc w:val="both"/>
      </w:pPr>
      <w:r>
        <w:rPr/>
        <w:t>Butorfanol: es un opioide agonista-antagonista que provee analgesia leve y sedación. Causa una leve bradicardia y una depresión respiratoria también leve, destacando como un buen complemento dentro de protocolos multimodales.</w:t>
      </w:r>
    </w:p>
    <w:p>
      <w:pPr>
        <w:pStyle w:val="BodyText"/>
        <w:spacing w:line="480" w:lineRule="auto"/>
        <w:ind w:left="568" w:right="137"/>
        <w:jc w:val="both"/>
      </w:pPr>
      <w:r>
        <w:rPr/>
        <w:t>Morfina</w:t>
      </w:r>
      <w:r>
        <w:rPr>
          <w:b/>
        </w:rPr>
        <w:t>: </w:t>
      </w:r>
      <w:r>
        <w:rPr/>
        <w:t>su impacto cardiovascular incluye bradicardia leve y vasodilatación, mientras que su impacto respiratorio genera una depresión dosis-dependiente. Su gran ventaja clínica es la inducción de una analgesia profunda</w:t>
      </w:r>
    </w:p>
    <w:p>
      <w:pPr>
        <w:pStyle w:val="BodyText"/>
        <w:spacing w:line="480" w:lineRule="auto" w:before="1"/>
        <w:ind w:left="568" w:right="136"/>
        <w:jc w:val="both"/>
      </w:pPr>
      <w:r>
        <w:rPr/>
        <w:t>El</w:t>
      </w:r>
      <w:r>
        <w:rPr>
          <w:spacing w:val="-3"/>
        </w:rPr>
        <w:t> </w:t>
      </w:r>
      <w:r>
        <w:rPr/>
        <w:t>análisis</w:t>
      </w:r>
      <w:r>
        <w:rPr>
          <w:spacing w:val="-6"/>
        </w:rPr>
        <w:t> </w:t>
      </w:r>
      <w:r>
        <w:rPr/>
        <w:t>comparativo</w:t>
      </w:r>
      <w:r>
        <w:rPr>
          <w:spacing w:val="-4"/>
        </w:rPr>
        <w:t> </w:t>
      </w:r>
      <w:r>
        <w:rPr/>
        <w:t>pone</w:t>
      </w:r>
      <w:r>
        <w:rPr>
          <w:spacing w:val="-3"/>
        </w:rPr>
        <w:t> </w:t>
      </w:r>
      <w:r>
        <w:rPr/>
        <w:t>de</w:t>
      </w:r>
      <w:r>
        <w:rPr>
          <w:spacing w:val="-3"/>
        </w:rPr>
        <w:t> </w:t>
      </w:r>
      <w:r>
        <w:rPr/>
        <w:t>manifiesto</w:t>
      </w:r>
      <w:r>
        <w:rPr>
          <w:spacing w:val="-4"/>
        </w:rPr>
        <w:t> </w:t>
      </w:r>
      <w:r>
        <w:rPr/>
        <w:t>que</w:t>
      </w:r>
      <w:r>
        <w:rPr>
          <w:spacing w:val="-3"/>
        </w:rPr>
        <w:t> </w:t>
      </w:r>
      <w:r>
        <w:rPr/>
        <w:t>mientras los</w:t>
      </w:r>
      <w:r>
        <w:rPr>
          <w:spacing w:val="-6"/>
        </w:rPr>
        <w:t> </w:t>
      </w:r>
      <w:r>
        <w:rPr/>
        <w:t>benzodiacepinas</w:t>
      </w:r>
      <w:r>
        <w:rPr>
          <w:spacing w:val="-3"/>
        </w:rPr>
        <w:t> </w:t>
      </w:r>
      <w:r>
        <w:rPr/>
        <w:t>y</w:t>
      </w:r>
      <w:r>
        <w:rPr>
          <w:spacing w:val="-4"/>
        </w:rPr>
        <w:t> </w:t>
      </w:r>
      <w:r>
        <w:rPr/>
        <w:t>los opioides ofrecen una sedación más estable desde el punto de vista cardiovascular en determinados pacientes, la dexmedetomidina sobresale por su capacidad para generar una sedación profunda, así como un marcado efecto de ahorro de otros anestésicos, debido a las marcadas propiedades de bradicardia como de vasoconstricción</w:t>
      </w:r>
      <w:r>
        <w:rPr>
          <w:spacing w:val="67"/>
        </w:rPr>
        <w:t> </w:t>
      </w:r>
      <w:r>
        <w:rPr/>
        <w:t>periférica,</w:t>
      </w:r>
      <w:r>
        <w:rPr>
          <w:spacing w:val="63"/>
        </w:rPr>
        <w:t> </w:t>
      </w:r>
      <w:r>
        <w:rPr/>
        <w:t>su</w:t>
      </w:r>
      <w:r>
        <w:rPr>
          <w:spacing w:val="67"/>
        </w:rPr>
        <w:t> </w:t>
      </w:r>
      <w:r>
        <w:rPr/>
        <w:t>uso</w:t>
      </w:r>
      <w:r>
        <w:rPr>
          <w:spacing w:val="67"/>
        </w:rPr>
        <w:t> </w:t>
      </w:r>
      <w:r>
        <w:rPr/>
        <w:t>debe</w:t>
      </w:r>
      <w:r>
        <w:rPr>
          <w:spacing w:val="69"/>
        </w:rPr>
        <w:t> </w:t>
      </w:r>
      <w:r>
        <w:rPr/>
        <w:t>integrarse</w:t>
      </w:r>
      <w:r>
        <w:rPr>
          <w:spacing w:val="65"/>
        </w:rPr>
        <w:t> </w:t>
      </w:r>
      <w:r>
        <w:rPr/>
        <w:t>en</w:t>
      </w:r>
      <w:r>
        <w:rPr>
          <w:spacing w:val="67"/>
        </w:rPr>
        <w:t> </w:t>
      </w:r>
      <w:r>
        <w:rPr/>
        <w:t>una</w:t>
      </w:r>
      <w:r>
        <w:rPr>
          <w:spacing w:val="69"/>
        </w:rPr>
        <w:t> </w:t>
      </w:r>
      <w:r>
        <w:rPr/>
        <w:t>valoración</w:t>
      </w:r>
      <w:r>
        <w:rPr>
          <w:spacing w:val="63"/>
        </w:rPr>
        <w:t> </w:t>
      </w:r>
      <w:r>
        <w:rPr/>
        <w:t>clínica</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9"/>
        <w:jc w:val="both"/>
      </w:pPr>
      <w:r>
        <w:rPr/>
        <w:t>integral</w:t>
      </w:r>
      <w:r>
        <w:rPr>
          <w:spacing w:val="-12"/>
        </w:rPr>
        <w:t> </w:t>
      </w:r>
      <w:r>
        <w:rPr/>
        <w:t>que</w:t>
      </w:r>
      <w:r>
        <w:rPr>
          <w:spacing w:val="-12"/>
        </w:rPr>
        <w:t> </w:t>
      </w:r>
      <w:r>
        <w:rPr/>
        <w:t>equilibre</w:t>
      </w:r>
      <w:r>
        <w:rPr>
          <w:spacing w:val="-12"/>
        </w:rPr>
        <w:t> </w:t>
      </w:r>
      <w:r>
        <w:rPr/>
        <w:t>los</w:t>
      </w:r>
      <w:r>
        <w:rPr>
          <w:spacing w:val="-14"/>
        </w:rPr>
        <w:t> </w:t>
      </w:r>
      <w:r>
        <w:rPr/>
        <w:t>beneficios</w:t>
      </w:r>
      <w:r>
        <w:rPr>
          <w:spacing w:val="-14"/>
        </w:rPr>
        <w:t> </w:t>
      </w:r>
      <w:r>
        <w:rPr/>
        <w:t>analgésicos</w:t>
      </w:r>
      <w:r>
        <w:rPr>
          <w:spacing w:val="-14"/>
        </w:rPr>
        <w:t> </w:t>
      </w:r>
      <w:r>
        <w:rPr/>
        <w:t>con</w:t>
      </w:r>
      <w:r>
        <w:rPr>
          <w:spacing w:val="-12"/>
        </w:rPr>
        <w:t> </w:t>
      </w:r>
      <w:r>
        <w:rPr/>
        <w:t>la</w:t>
      </w:r>
      <w:r>
        <w:rPr>
          <w:spacing w:val="-12"/>
        </w:rPr>
        <w:t> </w:t>
      </w:r>
      <w:r>
        <w:rPr/>
        <w:t>preservación</w:t>
      </w:r>
      <w:r>
        <w:rPr>
          <w:spacing w:val="-12"/>
        </w:rPr>
        <w:t> </w:t>
      </w:r>
      <w:r>
        <w:rPr/>
        <w:t>hemodinámica del paciente canino.</w:t>
      </w:r>
    </w:p>
    <w:p>
      <w:pPr>
        <w:pStyle w:val="Heading3"/>
        <w:numPr>
          <w:ilvl w:val="1"/>
          <w:numId w:val="8"/>
        </w:numPr>
        <w:tabs>
          <w:tab w:pos="1200" w:val="left" w:leader="none"/>
        </w:tabs>
        <w:spacing w:line="240" w:lineRule="auto" w:before="160" w:after="0"/>
        <w:ind w:left="1200" w:right="0" w:hanging="632"/>
        <w:jc w:val="both"/>
      </w:pPr>
      <w:bookmarkStart w:name="_bookmark23" w:id="24"/>
      <w:bookmarkEnd w:id="24"/>
      <w:r>
        <w:rPr/>
        <w:t>T</w:t>
      </w:r>
      <w:r>
        <w:rPr/>
        <w:t>écnicas</w:t>
      </w:r>
      <w:r>
        <w:rPr>
          <w:spacing w:val="-1"/>
        </w:rPr>
        <w:t> </w:t>
      </w:r>
      <w:r>
        <w:rPr>
          <w:spacing w:val="-2"/>
        </w:rPr>
        <w:t>quirúrgicas</w:t>
      </w:r>
    </w:p>
    <w:p>
      <w:pPr>
        <w:pStyle w:val="BodyText"/>
        <w:spacing w:before="81"/>
        <w:rPr>
          <w:b/>
        </w:rPr>
      </w:pPr>
    </w:p>
    <w:p>
      <w:pPr>
        <w:pStyle w:val="Heading3"/>
        <w:numPr>
          <w:ilvl w:val="2"/>
          <w:numId w:val="8"/>
        </w:numPr>
        <w:tabs>
          <w:tab w:pos="1288" w:val="left" w:leader="none"/>
        </w:tabs>
        <w:spacing w:line="240" w:lineRule="auto" w:before="0" w:after="0"/>
        <w:ind w:left="1288" w:right="0" w:hanging="720"/>
        <w:jc w:val="both"/>
      </w:pPr>
      <w:bookmarkStart w:name="_bookmark24" w:id="25"/>
      <w:bookmarkEnd w:id="25"/>
      <w:r>
        <w:rPr>
          <w:b w:val="0"/>
        </w:rPr>
      </w:r>
      <w:r>
        <w:rPr>
          <w:color w:val="0D0D0D"/>
        </w:rPr>
        <w:t>Ovariohisterectomía</w:t>
      </w:r>
      <w:r>
        <w:rPr>
          <w:color w:val="0D0D0D"/>
          <w:spacing w:val="-8"/>
        </w:rPr>
        <w:t> </w:t>
      </w:r>
      <w:r>
        <w:rPr>
          <w:color w:val="0D0D0D"/>
          <w:spacing w:val="-4"/>
        </w:rPr>
        <w:t>(OVH)</w:t>
      </w:r>
    </w:p>
    <w:p>
      <w:pPr>
        <w:pStyle w:val="BodyText"/>
        <w:spacing w:before="240"/>
        <w:rPr>
          <w:b/>
        </w:rPr>
      </w:pPr>
    </w:p>
    <w:p>
      <w:pPr>
        <w:pStyle w:val="BodyText"/>
        <w:spacing w:line="480" w:lineRule="auto"/>
        <w:ind w:left="568" w:right="134"/>
        <w:jc w:val="both"/>
      </w:pPr>
      <w:r>
        <w:rPr>
          <w:color w:val="0D0D0D"/>
        </w:rPr>
        <w:t>La Ovariohisterectomía es un procedimiento quirúrgico electivo ampliamente practicado en medicina veterinaria, que consiste en la extirpación completa de los ovarios y el útero en hembras caninas. De acuerdo con Kenneth et al. (2020), la ovariohisterectomía representa uno de los procedimientos más utilizados en la clínica de pequeños animales, lo que la convierte en un escenario idóneo para analizar</w:t>
      </w:r>
      <w:r>
        <w:rPr>
          <w:color w:val="0D0D0D"/>
          <w:spacing w:val="-3"/>
        </w:rPr>
        <w:t> </w:t>
      </w:r>
      <w:r>
        <w:rPr>
          <w:color w:val="0D0D0D"/>
        </w:rPr>
        <w:t>la</w:t>
      </w:r>
      <w:r>
        <w:rPr>
          <w:color w:val="0D0D0D"/>
          <w:spacing w:val="-2"/>
        </w:rPr>
        <w:t> </w:t>
      </w:r>
      <w:r>
        <w:rPr>
          <w:color w:val="0D0D0D"/>
        </w:rPr>
        <w:t>respuesta</w:t>
      </w:r>
      <w:r>
        <w:rPr>
          <w:color w:val="0D0D0D"/>
          <w:spacing w:val="-2"/>
        </w:rPr>
        <w:t> </w:t>
      </w:r>
      <w:r>
        <w:rPr>
          <w:color w:val="0D0D0D"/>
        </w:rPr>
        <w:t>fisiológica y hemodinámica de los</w:t>
      </w:r>
      <w:r>
        <w:rPr>
          <w:color w:val="0D0D0D"/>
          <w:spacing w:val="-1"/>
        </w:rPr>
        <w:t> </w:t>
      </w:r>
      <w:r>
        <w:rPr>
          <w:color w:val="0D0D0D"/>
        </w:rPr>
        <w:t>pacientes</w:t>
      </w:r>
      <w:r>
        <w:rPr>
          <w:color w:val="0D0D0D"/>
          <w:spacing w:val="-4"/>
        </w:rPr>
        <w:t> </w:t>
      </w:r>
      <w:r>
        <w:rPr>
          <w:color w:val="0D0D0D"/>
        </w:rPr>
        <w:t>frente a</w:t>
      </w:r>
      <w:r>
        <w:rPr>
          <w:color w:val="0D0D0D"/>
          <w:spacing w:val="-2"/>
        </w:rPr>
        <w:t> </w:t>
      </w:r>
      <w:r>
        <w:rPr>
          <w:color w:val="0D0D0D"/>
        </w:rPr>
        <w:t>distintos esquemas anestésicos. De esta manera, estos autores destacan que la estandarización de la OVH permite comparar de manera controlada los efectos de los</w:t>
      </w:r>
      <w:r>
        <w:rPr>
          <w:color w:val="0D0D0D"/>
          <w:spacing w:val="-11"/>
        </w:rPr>
        <w:t> </w:t>
      </w:r>
      <w:r>
        <w:rPr>
          <w:color w:val="0D0D0D"/>
        </w:rPr>
        <w:t>agentes</w:t>
      </w:r>
      <w:r>
        <w:rPr>
          <w:color w:val="0D0D0D"/>
          <w:spacing w:val="-12"/>
        </w:rPr>
        <w:t> </w:t>
      </w:r>
      <w:r>
        <w:rPr>
          <w:color w:val="0D0D0D"/>
        </w:rPr>
        <w:t>anestésicos,</w:t>
      </w:r>
      <w:r>
        <w:rPr>
          <w:color w:val="0D0D0D"/>
          <w:spacing w:val="-10"/>
        </w:rPr>
        <w:t> </w:t>
      </w:r>
      <w:r>
        <w:rPr>
          <w:color w:val="0D0D0D"/>
        </w:rPr>
        <w:t>minimizando</w:t>
      </w:r>
      <w:r>
        <w:rPr>
          <w:color w:val="0D0D0D"/>
          <w:spacing w:val="-10"/>
        </w:rPr>
        <w:t> </w:t>
      </w:r>
      <w:r>
        <w:rPr>
          <w:color w:val="0D0D0D"/>
        </w:rPr>
        <w:t>la</w:t>
      </w:r>
      <w:r>
        <w:rPr>
          <w:color w:val="0D0D0D"/>
          <w:spacing w:val="-9"/>
        </w:rPr>
        <w:t> </w:t>
      </w:r>
      <w:r>
        <w:rPr>
          <w:color w:val="0D0D0D"/>
        </w:rPr>
        <w:t>influencia</w:t>
      </w:r>
      <w:r>
        <w:rPr>
          <w:color w:val="0D0D0D"/>
          <w:spacing w:val="-9"/>
        </w:rPr>
        <w:t> </w:t>
      </w:r>
      <w:r>
        <w:rPr>
          <w:color w:val="0D0D0D"/>
        </w:rPr>
        <w:t>de</w:t>
      </w:r>
      <w:r>
        <w:rPr>
          <w:color w:val="0D0D0D"/>
          <w:spacing w:val="-9"/>
        </w:rPr>
        <w:t> </w:t>
      </w:r>
      <w:r>
        <w:rPr>
          <w:color w:val="0D0D0D"/>
        </w:rPr>
        <w:t>variaciones</w:t>
      </w:r>
      <w:r>
        <w:rPr>
          <w:color w:val="0D0D0D"/>
          <w:spacing w:val="-12"/>
        </w:rPr>
        <w:t> </w:t>
      </w:r>
      <w:r>
        <w:rPr>
          <w:color w:val="0D0D0D"/>
        </w:rPr>
        <w:t>quirúrgicas</w:t>
      </w:r>
      <w:r>
        <w:rPr>
          <w:color w:val="0D0D0D"/>
          <w:spacing w:val="-12"/>
        </w:rPr>
        <w:t> </w:t>
      </w:r>
      <w:r>
        <w:rPr>
          <w:color w:val="0D0D0D"/>
        </w:rPr>
        <w:t>sobre los parámetros cardiovasculares evaluados.</w:t>
      </w:r>
    </w:p>
    <w:p>
      <w:pPr>
        <w:pStyle w:val="Heading3"/>
        <w:numPr>
          <w:ilvl w:val="2"/>
          <w:numId w:val="8"/>
        </w:numPr>
        <w:tabs>
          <w:tab w:pos="1288" w:val="left" w:leader="none"/>
        </w:tabs>
        <w:spacing w:line="240" w:lineRule="auto" w:before="2" w:after="0"/>
        <w:ind w:left="1288" w:right="0" w:hanging="720"/>
        <w:jc w:val="both"/>
      </w:pPr>
      <w:bookmarkStart w:name="_bookmark25" w:id="26"/>
      <w:bookmarkEnd w:id="26"/>
      <w:r>
        <w:rPr>
          <w:b w:val="0"/>
        </w:rPr>
      </w:r>
      <w:r>
        <w:rPr>
          <w:color w:val="0D0D0D"/>
        </w:rPr>
        <w:t>Orquiectomía</w:t>
      </w:r>
      <w:r>
        <w:rPr>
          <w:color w:val="0D0D0D"/>
          <w:spacing w:val="-6"/>
        </w:rPr>
        <w:t> </w:t>
      </w:r>
      <w:r>
        <w:rPr>
          <w:color w:val="0D0D0D"/>
        </w:rPr>
        <w:t>en</w:t>
      </w:r>
      <w:r>
        <w:rPr>
          <w:color w:val="0D0D0D"/>
          <w:spacing w:val="-2"/>
        </w:rPr>
        <w:t> caninos</w:t>
      </w:r>
    </w:p>
    <w:p>
      <w:pPr>
        <w:pStyle w:val="BodyText"/>
        <w:spacing w:before="240"/>
        <w:rPr>
          <w:b/>
        </w:rPr>
      </w:pPr>
    </w:p>
    <w:p>
      <w:pPr>
        <w:pStyle w:val="BodyText"/>
        <w:spacing w:line="480" w:lineRule="auto"/>
        <w:ind w:left="568" w:right="135"/>
        <w:jc w:val="both"/>
      </w:pPr>
      <w:r>
        <w:rPr>
          <w:color w:val="0D0D0D"/>
        </w:rPr>
        <w:t>La orquiectomía, también denominada castración en machos, es un procedimiento quirúrgico</w:t>
      </w:r>
      <w:r>
        <w:rPr>
          <w:color w:val="0D0D0D"/>
          <w:spacing w:val="-1"/>
        </w:rPr>
        <w:t> </w:t>
      </w:r>
      <w:r>
        <w:rPr>
          <w:color w:val="0D0D0D"/>
        </w:rPr>
        <w:t>electivo</w:t>
      </w:r>
      <w:r>
        <w:rPr>
          <w:color w:val="0D0D0D"/>
          <w:spacing w:val="-1"/>
        </w:rPr>
        <w:t> </w:t>
      </w:r>
      <w:r>
        <w:rPr>
          <w:color w:val="0D0D0D"/>
        </w:rPr>
        <w:t>ampliamente realizado</w:t>
      </w:r>
      <w:r>
        <w:rPr>
          <w:color w:val="0D0D0D"/>
          <w:spacing w:val="-5"/>
        </w:rPr>
        <w:t> </w:t>
      </w:r>
      <w:r>
        <w:rPr>
          <w:color w:val="0D0D0D"/>
        </w:rPr>
        <w:t>en</w:t>
      </w:r>
      <w:r>
        <w:rPr>
          <w:color w:val="0D0D0D"/>
          <w:spacing w:val="-1"/>
        </w:rPr>
        <w:t> </w:t>
      </w:r>
      <w:r>
        <w:rPr>
          <w:color w:val="0D0D0D"/>
        </w:rPr>
        <w:t>medicina veterinaria que consiste en la extirpación bilateral de los testículos. Esta intervención tiene como finalidad la eliminación de la función reproductiva junto con la disminución de las conductas asociadas</w:t>
      </w:r>
      <w:r>
        <w:rPr>
          <w:color w:val="0D0D0D"/>
          <w:spacing w:val="-4"/>
        </w:rPr>
        <w:t> </w:t>
      </w:r>
      <w:r>
        <w:rPr>
          <w:color w:val="0D0D0D"/>
        </w:rPr>
        <w:t>a la</w:t>
      </w:r>
      <w:r>
        <w:rPr>
          <w:color w:val="0D0D0D"/>
          <w:spacing w:val="-1"/>
        </w:rPr>
        <w:t> </w:t>
      </w:r>
      <w:r>
        <w:rPr>
          <w:color w:val="0D0D0D"/>
        </w:rPr>
        <w:t>acción de</w:t>
      </w:r>
      <w:r>
        <w:rPr>
          <w:color w:val="0D0D0D"/>
          <w:spacing w:val="-1"/>
        </w:rPr>
        <w:t> </w:t>
      </w:r>
      <w:r>
        <w:rPr>
          <w:color w:val="0D0D0D"/>
        </w:rPr>
        <w:t>la testosterona, tales como</w:t>
      </w:r>
      <w:r>
        <w:rPr>
          <w:color w:val="0D0D0D"/>
          <w:spacing w:val="-2"/>
        </w:rPr>
        <w:t> </w:t>
      </w:r>
      <w:r>
        <w:rPr>
          <w:color w:val="0D0D0D"/>
        </w:rPr>
        <w:t>agresividad, marcaje territorial y</w:t>
      </w:r>
      <w:r>
        <w:rPr>
          <w:color w:val="0D0D0D"/>
          <w:spacing w:val="-8"/>
        </w:rPr>
        <w:t> </w:t>
      </w:r>
      <w:r>
        <w:rPr>
          <w:color w:val="0D0D0D"/>
        </w:rPr>
        <w:t>conducta</w:t>
      </w:r>
      <w:r>
        <w:rPr>
          <w:color w:val="0D0D0D"/>
          <w:spacing w:val="-6"/>
        </w:rPr>
        <w:t> </w:t>
      </w:r>
      <w:r>
        <w:rPr>
          <w:color w:val="0D0D0D"/>
        </w:rPr>
        <w:t>de</w:t>
      </w:r>
      <w:r>
        <w:rPr>
          <w:color w:val="0D0D0D"/>
          <w:spacing w:val="-6"/>
        </w:rPr>
        <w:t> </w:t>
      </w:r>
      <w:r>
        <w:rPr>
          <w:color w:val="0D0D0D"/>
        </w:rPr>
        <w:t>monta.</w:t>
      </w:r>
      <w:r>
        <w:rPr>
          <w:color w:val="0D0D0D"/>
          <w:spacing w:val="40"/>
        </w:rPr>
        <w:t> </w:t>
      </w:r>
      <w:r>
        <w:rPr>
          <w:color w:val="0D0D0D"/>
        </w:rPr>
        <w:t>Es</w:t>
      </w:r>
      <w:r>
        <w:rPr>
          <w:color w:val="0D0D0D"/>
          <w:spacing w:val="-13"/>
        </w:rPr>
        <w:t> </w:t>
      </w:r>
      <w:r>
        <w:rPr>
          <w:color w:val="0D0D0D"/>
        </w:rPr>
        <w:t>importante</w:t>
      </w:r>
      <w:r>
        <w:rPr>
          <w:color w:val="0D0D0D"/>
          <w:spacing w:val="-10"/>
        </w:rPr>
        <w:t> </w:t>
      </w:r>
      <w:r>
        <w:rPr>
          <w:color w:val="0D0D0D"/>
        </w:rPr>
        <w:t>que</w:t>
      </w:r>
      <w:r>
        <w:rPr>
          <w:color w:val="0D0D0D"/>
          <w:spacing w:val="-10"/>
        </w:rPr>
        <w:t> </w:t>
      </w:r>
      <w:r>
        <w:rPr>
          <w:color w:val="0D0D0D"/>
        </w:rPr>
        <w:t>exista</w:t>
      </w:r>
      <w:r>
        <w:rPr>
          <w:color w:val="0D0D0D"/>
          <w:spacing w:val="-4"/>
        </w:rPr>
        <w:t> </w:t>
      </w:r>
      <w:r>
        <w:rPr>
          <w:color w:val="0D0D0D"/>
        </w:rPr>
        <w:t>un</w:t>
      </w:r>
      <w:r>
        <w:rPr>
          <w:color w:val="0D0D0D"/>
          <w:spacing w:val="-8"/>
        </w:rPr>
        <w:t> </w:t>
      </w:r>
      <w:r>
        <w:rPr>
          <w:color w:val="0D0D0D"/>
        </w:rPr>
        <w:t>protocolo</w:t>
      </w:r>
      <w:r>
        <w:rPr>
          <w:color w:val="0D0D0D"/>
          <w:spacing w:val="-8"/>
        </w:rPr>
        <w:t> </w:t>
      </w:r>
      <w:r>
        <w:rPr>
          <w:color w:val="0D0D0D"/>
        </w:rPr>
        <w:t>anestésico</w:t>
      </w:r>
      <w:r>
        <w:rPr>
          <w:color w:val="0D0D0D"/>
          <w:spacing w:val="-12"/>
        </w:rPr>
        <w:t> </w:t>
      </w:r>
      <w:r>
        <w:rPr>
          <w:color w:val="0D0D0D"/>
        </w:rPr>
        <w:t>balanceado con sedación eficaz, además que contenga analgesia multimodal, junto con una monitorización cardiovascular continua.</w:t>
      </w:r>
    </w:p>
    <w:p>
      <w:pPr>
        <w:pStyle w:val="BodyText"/>
        <w:spacing w:after="0" w:line="480" w:lineRule="auto"/>
        <w:jc w:val="both"/>
        <w:sectPr>
          <w:pgSz w:w="11910" w:h="16840"/>
          <w:pgMar w:header="0" w:footer="1038" w:top="1620" w:bottom="1220" w:left="1700" w:right="1559"/>
        </w:sectPr>
      </w:pPr>
    </w:p>
    <w:p>
      <w:pPr>
        <w:pStyle w:val="Heading2"/>
        <w:jc w:val="both"/>
      </w:pPr>
      <w:bookmarkStart w:name="_bookmark26" w:id="27"/>
      <w:bookmarkEnd w:id="27"/>
      <w:r>
        <w:rPr>
          <w:b w:val="0"/>
        </w:rPr>
      </w:r>
      <w:r>
        <w:rPr/>
        <w:t>CAPÍTULO</w:t>
      </w:r>
      <w:r>
        <w:rPr>
          <w:spacing w:val="14"/>
        </w:rPr>
        <w:t> </w:t>
      </w:r>
      <w:r>
        <w:rPr>
          <w:spacing w:val="-5"/>
        </w:rPr>
        <w:t>III</w:t>
      </w:r>
    </w:p>
    <w:p>
      <w:pPr>
        <w:pStyle w:val="Heading2"/>
        <w:numPr>
          <w:ilvl w:val="0"/>
          <w:numId w:val="8"/>
        </w:numPr>
        <w:tabs>
          <w:tab w:pos="1072" w:val="left" w:leader="none"/>
        </w:tabs>
        <w:spacing w:line="240" w:lineRule="auto" w:before="275" w:after="0"/>
        <w:ind w:left="1072" w:right="0" w:hanging="504"/>
        <w:jc w:val="left"/>
        <w:rPr>
          <w:sz w:val="28"/>
        </w:rPr>
      </w:pPr>
      <w:bookmarkStart w:name="_bookmark27" w:id="28"/>
      <w:bookmarkEnd w:id="28"/>
      <w:r>
        <w:rPr>
          <w:sz w:val="28"/>
        </w:rPr>
      </w:r>
      <w:r>
        <w:rPr/>
        <w:t>MARCO</w:t>
      </w:r>
      <w:r>
        <w:rPr>
          <w:spacing w:val="-4"/>
        </w:rPr>
        <w:t> </w:t>
      </w:r>
      <w:r>
        <w:rPr>
          <w:spacing w:val="-2"/>
        </w:rPr>
        <w:t>METODOLÓGICO</w:t>
      </w:r>
    </w:p>
    <w:p>
      <w:pPr>
        <w:pStyle w:val="BodyText"/>
        <w:spacing w:before="155"/>
        <w:rPr>
          <w:b/>
        </w:rPr>
      </w:pPr>
    </w:p>
    <w:p>
      <w:pPr>
        <w:pStyle w:val="Heading3"/>
        <w:numPr>
          <w:ilvl w:val="1"/>
          <w:numId w:val="8"/>
        </w:numPr>
        <w:tabs>
          <w:tab w:pos="1264" w:val="left" w:leader="none"/>
        </w:tabs>
        <w:spacing w:line="240" w:lineRule="auto" w:before="0" w:after="0"/>
        <w:ind w:left="1264" w:right="0" w:hanging="696"/>
        <w:jc w:val="left"/>
      </w:pPr>
      <w:bookmarkStart w:name="_bookmark28" w:id="29"/>
      <w:bookmarkEnd w:id="29"/>
      <w:r>
        <w:rPr/>
        <w:t>U</w:t>
      </w:r>
      <w:r>
        <w:rPr/>
        <w:t>bicación</w:t>
      </w:r>
      <w:r>
        <w:rPr>
          <w:spacing w:val="-2"/>
        </w:rPr>
        <w:t> </w:t>
      </w:r>
      <w:r>
        <w:rPr/>
        <w:t>de la </w:t>
      </w:r>
      <w:r>
        <w:rPr>
          <w:spacing w:val="-2"/>
        </w:rPr>
        <w:t>investigación</w:t>
      </w:r>
    </w:p>
    <w:p>
      <w:pPr>
        <w:pStyle w:val="BodyText"/>
        <w:spacing w:before="241"/>
        <w:rPr>
          <w:b/>
        </w:rPr>
      </w:pPr>
    </w:p>
    <w:p>
      <w:pPr>
        <w:pStyle w:val="BodyText"/>
        <w:spacing w:line="480" w:lineRule="auto"/>
        <w:ind w:left="568" w:right="136"/>
        <w:jc w:val="both"/>
      </w:pPr>
      <w:r>
        <w:rPr>
          <w:color w:val="0D0D0D"/>
        </w:rPr>
        <w:t>El</w:t>
      </w:r>
      <w:r>
        <w:rPr>
          <w:color w:val="0D0D0D"/>
          <w:spacing w:val="-1"/>
        </w:rPr>
        <w:t> </w:t>
      </w:r>
      <w:r>
        <w:rPr>
          <w:color w:val="0D0D0D"/>
        </w:rPr>
        <w:t>trabajo</w:t>
      </w:r>
      <w:r>
        <w:rPr>
          <w:color w:val="0D0D0D"/>
          <w:spacing w:val="-6"/>
        </w:rPr>
        <w:t> </w:t>
      </w:r>
      <w:r>
        <w:rPr>
          <w:color w:val="0D0D0D"/>
        </w:rPr>
        <w:t>de</w:t>
      </w:r>
      <w:r>
        <w:rPr>
          <w:color w:val="0D0D0D"/>
          <w:spacing w:val="-4"/>
        </w:rPr>
        <w:t> </w:t>
      </w:r>
      <w:r>
        <w:rPr>
          <w:color w:val="0D0D0D"/>
        </w:rPr>
        <w:t>investigación</w:t>
      </w:r>
      <w:r>
        <w:rPr>
          <w:color w:val="0D0D0D"/>
          <w:spacing w:val="-6"/>
        </w:rPr>
        <w:t> </w:t>
      </w:r>
      <w:r>
        <w:rPr>
          <w:color w:val="0D0D0D"/>
        </w:rPr>
        <w:t>se realizó</w:t>
      </w:r>
      <w:r>
        <w:rPr>
          <w:color w:val="0D0D0D"/>
          <w:spacing w:val="-2"/>
        </w:rPr>
        <w:t> </w:t>
      </w:r>
      <w:r>
        <w:rPr>
          <w:color w:val="0D0D0D"/>
        </w:rPr>
        <w:t>en</w:t>
      </w:r>
      <w:r>
        <w:rPr>
          <w:color w:val="0D0D0D"/>
          <w:spacing w:val="-6"/>
        </w:rPr>
        <w:t> </w:t>
      </w:r>
      <w:r>
        <w:rPr>
          <w:color w:val="0D0D0D"/>
        </w:rPr>
        <w:t>el</w:t>
      </w:r>
      <w:r>
        <w:rPr>
          <w:color w:val="0D0D0D"/>
          <w:spacing w:val="-4"/>
        </w:rPr>
        <w:t> </w:t>
      </w:r>
      <w:r>
        <w:rPr>
          <w:color w:val="0D0D0D"/>
        </w:rPr>
        <w:t>Hospital</w:t>
      </w:r>
      <w:r>
        <w:rPr>
          <w:color w:val="0D0D0D"/>
          <w:spacing w:val="-1"/>
        </w:rPr>
        <w:t> </w:t>
      </w:r>
      <w:r>
        <w:rPr>
          <w:color w:val="0D0D0D"/>
        </w:rPr>
        <w:t>de Especialidades</w:t>
      </w:r>
      <w:r>
        <w:rPr>
          <w:color w:val="0D0D0D"/>
          <w:spacing w:val="-7"/>
        </w:rPr>
        <w:t> </w:t>
      </w:r>
      <w:r>
        <w:rPr>
          <w:color w:val="0D0D0D"/>
        </w:rPr>
        <w:t>Veterinarias VITAL PET en la ciudad de</w:t>
      </w:r>
      <w:r>
        <w:rPr>
          <w:color w:val="0D0D0D"/>
          <w:spacing w:val="-1"/>
        </w:rPr>
        <w:t> </w:t>
      </w:r>
      <w:r>
        <w:rPr>
          <w:color w:val="0D0D0D"/>
        </w:rPr>
        <w:t>Ambato perteneciente a la provincia de Tungurahua. Su zona geográfica se describe a continuación:</w:t>
      </w:r>
    </w:p>
    <w:p>
      <w:pPr>
        <w:spacing w:line="252" w:lineRule="exact" w:before="0"/>
        <w:ind w:left="568" w:right="0" w:firstLine="0"/>
        <w:jc w:val="left"/>
        <w:rPr>
          <w:b/>
          <w:i/>
          <w:sz w:val="22"/>
        </w:rPr>
      </w:pPr>
      <w:r>
        <w:rPr>
          <w:b/>
          <w:i/>
          <w:spacing w:val="-2"/>
          <w:sz w:val="22"/>
        </w:rPr>
        <w:t>Tabla</w:t>
      </w:r>
      <w:r>
        <w:rPr>
          <w:b/>
          <w:i/>
          <w:spacing w:val="-9"/>
          <w:sz w:val="22"/>
        </w:rPr>
        <w:t> </w:t>
      </w:r>
      <w:r>
        <w:rPr>
          <w:b/>
          <w:i/>
          <w:spacing w:val="-10"/>
          <w:sz w:val="22"/>
        </w:rPr>
        <w:t>1</w:t>
      </w:r>
    </w:p>
    <w:p>
      <w:pPr>
        <w:spacing w:line="252" w:lineRule="exact" w:before="0"/>
        <w:ind w:left="568" w:right="0" w:firstLine="0"/>
        <w:jc w:val="left"/>
        <w:rPr>
          <w:i/>
          <w:sz w:val="22"/>
        </w:rPr>
      </w:pPr>
      <w:r>
        <w:rPr>
          <w:i/>
          <w:sz w:val="22"/>
        </w:rPr>
        <w:t>localización</w:t>
      </w:r>
      <w:r>
        <w:rPr>
          <w:i/>
          <w:spacing w:val="-2"/>
          <w:sz w:val="22"/>
        </w:rPr>
        <w:t> </w:t>
      </w:r>
      <w:r>
        <w:rPr>
          <w:i/>
          <w:sz w:val="22"/>
        </w:rPr>
        <w:t>de</w:t>
      </w:r>
      <w:r>
        <w:rPr>
          <w:i/>
          <w:spacing w:val="-5"/>
          <w:sz w:val="22"/>
        </w:rPr>
        <w:t> </w:t>
      </w:r>
      <w:r>
        <w:rPr>
          <w:i/>
          <w:sz w:val="22"/>
        </w:rPr>
        <w:t>la</w:t>
      </w:r>
      <w:r>
        <w:rPr>
          <w:i/>
          <w:spacing w:val="-1"/>
          <w:sz w:val="22"/>
        </w:rPr>
        <w:t> </w:t>
      </w:r>
      <w:r>
        <w:rPr>
          <w:i/>
          <w:spacing w:val="-2"/>
          <w:sz w:val="22"/>
        </w:rPr>
        <w:t>investigación</w:t>
      </w:r>
    </w:p>
    <w:p>
      <w:pPr>
        <w:spacing w:line="20" w:lineRule="exact"/>
        <w:ind w:left="568" w:right="0" w:firstLine="0"/>
        <w:rPr>
          <w:sz w:val="2"/>
        </w:rPr>
      </w:pPr>
      <w:r>
        <w:rPr>
          <w:sz w:val="2"/>
        </w:rPr>
        <mc:AlternateContent>
          <mc:Choice Requires="wps">
            <w:drawing>
              <wp:inline distT="0" distB="0" distL="0" distR="0">
                <wp:extent cx="3780790" cy="5080"/>
                <wp:effectExtent l="0" t="0" r="0" b="0"/>
                <wp:docPr id="8" name="Group 8"/>
                <wp:cNvGraphicFramePr>
                  <a:graphicFrameLocks/>
                </wp:cNvGraphicFramePr>
                <a:graphic>
                  <a:graphicData uri="http://schemas.microsoft.com/office/word/2010/wordprocessingGroup">
                    <wpg:wgp>
                      <wpg:cNvPr id="8" name="Group 8"/>
                      <wpg:cNvGrpSpPr/>
                      <wpg:grpSpPr>
                        <a:xfrm>
                          <a:off x="0" y="0"/>
                          <a:ext cx="3780790" cy="5080"/>
                          <a:chExt cx="3780790" cy="5080"/>
                        </a:xfrm>
                      </wpg:grpSpPr>
                      <wps:wsp>
                        <wps:cNvPr id="9" name="Graphic 9"/>
                        <wps:cNvSpPr/>
                        <wps:spPr>
                          <a:xfrm>
                            <a:off x="0" y="0"/>
                            <a:ext cx="3780790" cy="5080"/>
                          </a:xfrm>
                          <a:custGeom>
                            <a:avLst/>
                            <a:gdLst/>
                            <a:ahLst/>
                            <a:cxnLst/>
                            <a:rect l="l" t="t" r="r" b="b"/>
                            <a:pathLst>
                              <a:path w="3780790" h="5080">
                                <a:moveTo>
                                  <a:pt x="3780790" y="0"/>
                                </a:moveTo>
                                <a:lnTo>
                                  <a:pt x="0" y="0"/>
                                </a:lnTo>
                                <a:lnTo>
                                  <a:pt x="0" y="5079"/>
                                </a:lnTo>
                                <a:lnTo>
                                  <a:pt x="3780790" y="5079"/>
                                </a:lnTo>
                                <a:lnTo>
                                  <a:pt x="37807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97.7pt;height:.4pt;mso-position-horizontal-relative:char;mso-position-vertical-relative:line" id="docshapegroup3" coordorigin="0,0" coordsize="5954,8">
                <v:rect style="position:absolute;left:0;top:0;width:5954;height:8" id="docshape4" filled="true" fillcolor="#000000" stroked="false">
                  <v:fill type="solid"/>
                </v:rect>
              </v:group>
            </w:pict>
          </mc:Fallback>
        </mc:AlternateContent>
      </w:r>
      <w:r>
        <w:rPr>
          <w:sz w:val="2"/>
        </w:rPr>
      </w:r>
    </w:p>
    <w:p>
      <w:pPr>
        <w:pStyle w:val="Heading3"/>
        <w:tabs>
          <w:tab w:pos="3563" w:val="left" w:leader="none"/>
        </w:tabs>
        <w:ind w:left="676" w:firstLine="0"/>
        <w:jc w:val="left"/>
      </w:pPr>
      <w:r>
        <w:rPr/>
        <mc:AlternateContent>
          <mc:Choice Requires="wps">
            <w:drawing>
              <wp:anchor distT="0" distB="0" distL="0" distR="0" allowOverlap="1" layoutInCell="1" locked="0" behindDoc="1" simplePos="0" relativeHeight="487590400">
                <wp:simplePos x="0" y="0"/>
                <wp:positionH relativeFrom="page">
                  <wp:posOffset>1440561</wp:posOffset>
                </wp:positionH>
                <wp:positionV relativeFrom="paragraph">
                  <wp:posOffset>195579</wp:posOffset>
                </wp:positionV>
                <wp:extent cx="3780790" cy="508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3780790" cy="5080"/>
                        </a:xfrm>
                        <a:custGeom>
                          <a:avLst/>
                          <a:gdLst/>
                          <a:ahLst/>
                          <a:cxnLst/>
                          <a:rect l="l" t="t" r="r" b="b"/>
                          <a:pathLst>
                            <a:path w="3780790" h="5080">
                              <a:moveTo>
                                <a:pt x="3780790" y="0"/>
                              </a:moveTo>
                              <a:lnTo>
                                <a:pt x="0" y="0"/>
                              </a:lnTo>
                              <a:lnTo>
                                <a:pt x="0" y="5080"/>
                              </a:lnTo>
                              <a:lnTo>
                                <a:pt x="3780790" y="5080"/>
                              </a:lnTo>
                              <a:lnTo>
                                <a:pt x="378079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3.43pt;margin-top:15.39997pt;width:297.7pt;height:.40002pt;mso-position-horizontal-relative:page;mso-position-vertical-relative:paragraph;z-index:-15726080;mso-wrap-distance-left:0;mso-wrap-distance-right:0" id="docshape5" filled="true" fillcolor="#000000" stroked="false">
                <v:fill type="solid"/>
                <w10:wrap type="topAndBottom"/>
              </v:rect>
            </w:pict>
          </mc:Fallback>
        </mc:AlternateContent>
      </w:r>
      <w:r>
        <w:rPr>
          <w:spacing w:val="-2"/>
        </w:rPr>
        <w:t>Ubicación</w:t>
      </w:r>
      <w:r>
        <w:rPr/>
        <w:tab/>
      </w:r>
      <w:r>
        <w:rPr>
          <w:spacing w:val="-2"/>
        </w:rPr>
        <w:t>Localidad</w:t>
      </w:r>
    </w:p>
    <w:p>
      <w:pPr>
        <w:pStyle w:val="BodyText"/>
        <w:tabs>
          <w:tab w:pos="3596" w:val="left" w:leader="none"/>
        </w:tabs>
        <w:ind w:left="676"/>
      </w:pPr>
      <w:r>
        <w:rPr>
          <w:spacing w:val="-4"/>
        </w:rPr>
        <w:t>País</w:t>
      </w:r>
      <w:r>
        <w:rPr/>
        <w:tab/>
      </w:r>
      <w:r>
        <w:rPr>
          <w:spacing w:val="-2"/>
        </w:rPr>
        <w:t>Ecuador</w:t>
      </w:r>
    </w:p>
    <w:p>
      <w:pPr>
        <w:pStyle w:val="BodyText"/>
        <w:tabs>
          <w:tab w:pos="3572" w:val="left" w:leader="none"/>
        </w:tabs>
        <w:spacing w:before="44"/>
        <w:ind w:left="676"/>
      </w:pPr>
      <w:r>
        <w:rPr>
          <w:spacing w:val="-2"/>
        </w:rPr>
        <w:t>Provincia</w:t>
      </w:r>
      <w:r>
        <w:rPr/>
        <w:tab/>
      </w:r>
      <w:r>
        <w:rPr>
          <w:spacing w:val="-2"/>
        </w:rPr>
        <w:t>Tungurahua</w:t>
      </w:r>
    </w:p>
    <w:p>
      <w:pPr>
        <w:pStyle w:val="BodyText"/>
        <w:tabs>
          <w:tab w:pos="3580" w:val="left" w:leader="none"/>
        </w:tabs>
        <w:spacing w:before="40"/>
        <w:ind w:left="676"/>
      </w:pPr>
      <w:r>
        <w:rPr>
          <w:spacing w:val="-2"/>
        </w:rPr>
        <w:t>Cantón</w:t>
      </w:r>
      <w:r>
        <w:rPr/>
        <w:tab/>
      </w:r>
      <w:r>
        <w:rPr>
          <w:spacing w:val="-2"/>
        </w:rPr>
        <w:t>Ambato</w:t>
      </w:r>
    </w:p>
    <w:p>
      <w:pPr>
        <w:pStyle w:val="BodyText"/>
        <w:tabs>
          <w:tab w:pos="3290" w:val="left" w:leader="none"/>
        </w:tabs>
        <w:spacing w:before="40"/>
        <w:ind w:left="676"/>
      </w:pPr>
      <w:r>
        <w:rPr/>
        <mc:AlternateContent>
          <mc:Choice Requires="wps">
            <w:drawing>
              <wp:anchor distT="0" distB="0" distL="0" distR="0" allowOverlap="1" layoutInCell="1" locked="0" behindDoc="1" simplePos="0" relativeHeight="487590912">
                <wp:simplePos x="0" y="0"/>
                <wp:positionH relativeFrom="page">
                  <wp:posOffset>1432941</wp:posOffset>
                </wp:positionH>
                <wp:positionV relativeFrom="paragraph">
                  <wp:posOffset>228771</wp:posOffset>
                </wp:positionV>
                <wp:extent cx="3788410" cy="508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3788410" cy="5080"/>
                        </a:xfrm>
                        <a:custGeom>
                          <a:avLst/>
                          <a:gdLst/>
                          <a:ahLst/>
                          <a:cxnLst/>
                          <a:rect l="l" t="t" r="r" b="b"/>
                          <a:pathLst>
                            <a:path w="3788410" h="5080">
                              <a:moveTo>
                                <a:pt x="3788410" y="0"/>
                              </a:moveTo>
                              <a:lnTo>
                                <a:pt x="0" y="0"/>
                              </a:lnTo>
                              <a:lnTo>
                                <a:pt x="0" y="5080"/>
                              </a:lnTo>
                              <a:lnTo>
                                <a:pt x="3788410" y="5080"/>
                              </a:lnTo>
                              <a:lnTo>
                                <a:pt x="37884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18.013496pt;width:298.3pt;height:.40002pt;mso-position-horizontal-relative:page;mso-position-vertical-relative:paragraph;z-index:-15725568;mso-wrap-distance-left:0;mso-wrap-distance-right:0" id="docshape6" filled="true" fillcolor="#000000" stroked="false">
                <v:fill type="solid"/>
                <w10:wrap type="topAndBottom"/>
              </v:rect>
            </w:pict>
          </mc:Fallback>
        </mc:AlternateContent>
      </w:r>
      <w:r>
        <w:rPr>
          <w:spacing w:val="-2"/>
        </w:rPr>
        <w:t>Dirección</w:t>
      </w:r>
      <w:r>
        <w:rPr/>
        <w:tab/>
        <w:t>Víctor</w:t>
      </w:r>
      <w:r>
        <w:rPr>
          <w:spacing w:val="-5"/>
        </w:rPr>
        <w:t> </w:t>
      </w:r>
      <w:r>
        <w:rPr/>
        <w:t>Hugo</w:t>
      </w:r>
      <w:r>
        <w:rPr>
          <w:spacing w:val="-6"/>
        </w:rPr>
        <w:t> </w:t>
      </w:r>
      <w:r>
        <w:rPr/>
        <w:t>y</w:t>
      </w:r>
      <w:r>
        <w:rPr>
          <w:spacing w:val="-1"/>
        </w:rPr>
        <w:t> </w:t>
      </w:r>
      <w:r>
        <w:rPr/>
        <w:t>José</w:t>
      </w:r>
      <w:r>
        <w:rPr>
          <w:spacing w:val="-4"/>
        </w:rPr>
        <w:t> </w:t>
      </w:r>
      <w:r>
        <w:rPr/>
        <w:t>de</w:t>
      </w:r>
      <w:r>
        <w:rPr>
          <w:spacing w:val="-4"/>
        </w:rPr>
        <w:t> </w:t>
      </w:r>
      <w:r>
        <w:rPr/>
        <w:t>la</w:t>
      </w:r>
      <w:r>
        <w:rPr>
          <w:spacing w:val="-3"/>
        </w:rPr>
        <w:t> </w:t>
      </w:r>
      <w:r>
        <w:rPr>
          <w:spacing w:val="-2"/>
        </w:rPr>
        <w:t>Cuadra</w:t>
      </w:r>
    </w:p>
    <w:p>
      <w:pPr>
        <w:pStyle w:val="BodyText"/>
        <w:spacing w:before="189"/>
        <w:rPr>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15"/>
        <w:gridCol w:w="3837"/>
      </w:tblGrid>
      <w:tr>
        <w:trPr>
          <w:trHeight w:val="428" w:hRule="atLeast"/>
        </w:trPr>
        <w:tc>
          <w:tcPr>
            <w:tcW w:w="3815" w:type="dxa"/>
            <w:tcBorders>
              <w:bottom w:val="single" w:sz="4" w:space="0" w:color="000000"/>
            </w:tcBorders>
          </w:tcPr>
          <w:p>
            <w:pPr>
              <w:pStyle w:val="TableParagraph"/>
              <w:numPr>
                <w:ilvl w:val="0"/>
                <w:numId w:val="9"/>
              </w:numPr>
              <w:tabs>
                <w:tab w:pos="434" w:val="left" w:leader="none"/>
              </w:tabs>
              <w:spacing w:line="240" w:lineRule="auto" w:before="0" w:after="0"/>
              <w:ind w:left="434" w:right="0" w:hanging="429"/>
              <w:jc w:val="left"/>
              <w:rPr>
                <w:b/>
                <w:sz w:val="24"/>
              </w:rPr>
            </w:pPr>
            <w:r>
              <w:rPr>
                <w:b/>
                <w:color w:val="0D0D0D"/>
                <w:sz w:val="24"/>
              </w:rPr>
              <w:t>Situación</w:t>
            </w:r>
            <w:r>
              <w:rPr>
                <w:b/>
                <w:color w:val="0D0D0D"/>
                <w:spacing w:val="-2"/>
                <w:sz w:val="24"/>
              </w:rPr>
              <w:t> </w:t>
            </w:r>
            <w:r>
              <w:rPr>
                <w:b/>
                <w:color w:val="0D0D0D"/>
                <w:sz w:val="24"/>
              </w:rPr>
              <w:t>geográfica y</w:t>
            </w:r>
            <w:r>
              <w:rPr>
                <w:b/>
                <w:color w:val="0D0D0D"/>
                <w:spacing w:val="-4"/>
                <w:sz w:val="24"/>
              </w:rPr>
              <w:t> </w:t>
            </w:r>
            <w:r>
              <w:rPr>
                <w:b/>
                <w:color w:val="0D0D0D"/>
                <w:spacing w:val="-2"/>
                <w:sz w:val="24"/>
              </w:rPr>
              <w:t>climática</w:t>
            </w:r>
          </w:p>
        </w:tc>
        <w:tc>
          <w:tcPr>
            <w:tcW w:w="3837" w:type="dxa"/>
            <w:tcBorders>
              <w:bottom w:val="single" w:sz="4" w:space="0" w:color="000000"/>
            </w:tcBorders>
          </w:tcPr>
          <w:p>
            <w:pPr>
              <w:pStyle w:val="TableParagraph"/>
              <w:spacing w:before="0"/>
              <w:jc w:val="left"/>
              <w:rPr>
                <w:sz w:val="22"/>
              </w:rPr>
            </w:pPr>
          </w:p>
        </w:tc>
      </w:tr>
      <w:tr>
        <w:trPr>
          <w:trHeight w:val="313" w:hRule="atLeast"/>
        </w:trPr>
        <w:tc>
          <w:tcPr>
            <w:tcW w:w="3815" w:type="dxa"/>
            <w:tcBorders>
              <w:top w:val="single" w:sz="4" w:space="0" w:color="000000"/>
              <w:bottom w:val="single" w:sz="4" w:space="0" w:color="000000"/>
            </w:tcBorders>
          </w:tcPr>
          <w:p>
            <w:pPr>
              <w:pStyle w:val="TableParagraph"/>
              <w:spacing w:line="275" w:lineRule="exact" w:before="0"/>
              <w:ind w:left="114"/>
              <w:jc w:val="left"/>
              <w:rPr>
                <w:b/>
                <w:sz w:val="24"/>
              </w:rPr>
            </w:pPr>
            <w:r>
              <w:rPr>
                <w:b/>
                <w:spacing w:val="-2"/>
                <w:sz w:val="24"/>
              </w:rPr>
              <w:t>Parámetro</w:t>
            </w:r>
          </w:p>
        </w:tc>
        <w:tc>
          <w:tcPr>
            <w:tcW w:w="3837" w:type="dxa"/>
            <w:tcBorders>
              <w:top w:val="single" w:sz="4" w:space="0" w:color="000000"/>
              <w:bottom w:val="single" w:sz="4" w:space="0" w:color="000000"/>
            </w:tcBorders>
          </w:tcPr>
          <w:p>
            <w:pPr>
              <w:pStyle w:val="TableParagraph"/>
              <w:spacing w:line="275" w:lineRule="exact" w:before="0"/>
              <w:ind w:left="120"/>
              <w:jc w:val="left"/>
              <w:rPr>
                <w:b/>
                <w:sz w:val="24"/>
              </w:rPr>
            </w:pPr>
            <w:r>
              <w:rPr>
                <w:b/>
                <w:spacing w:val="-2"/>
                <w:sz w:val="24"/>
              </w:rPr>
              <w:t>Valor</w:t>
            </w:r>
          </w:p>
        </w:tc>
      </w:tr>
      <w:tr>
        <w:trPr>
          <w:trHeight w:val="304" w:hRule="atLeast"/>
        </w:trPr>
        <w:tc>
          <w:tcPr>
            <w:tcW w:w="3815" w:type="dxa"/>
            <w:tcBorders>
              <w:top w:val="single" w:sz="4" w:space="0" w:color="000000"/>
            </w:tcBorders>
          </w:tcPr>
          <w:p>
            <w:pPr>
              <w:pStyle w:val="TableParagraph"/>
              <w:spacing w:before="3"/>
              <w:ind w:left="114"/>
              <w:jc w:val="left"/>
              <w:rPr>
                <w:sz w:val="24"/>
              </w:rPr>
            </w:pPr>
            <w:r>
              <w:rPr>
                <w:spacing w:val="-2"/>
                <w:sz w:val="24"/>
              </w:rPr>
              <w:t>Altitud</w:t>
            </w:r>
          </w:p>
        </w:tc>
        <w:tc>
          <w:tcPr>
            <w:tcW w:w="3837" w:type="dxa"/>
            <w:tcBorders>
              <w:top w:val="single" w:sz="4" w:space="0" w:color="000000"/>
            </w:tcBorders>
          </w:tcPr>
          <w:p>
            <w:pPr>
              <w:pStyle w:val="TableParagraph"/>
              <w:spacing w:before="3"/>
              <w:ind w:left="120"/>
              <w:jc w:val="left"/>
              <w:rPr>
                <w:sz w:val="24"/>
              </w:rPr>
            </w:pPr>
            <w:r>
              <w:rPr>
                <w:sz w:val="24"/>
              </w:rPr>
              <w:t>2.577</w:t>
            </w:r>
            <w:r>
              <w:rPr>
                <w:spacing w:val="58"/>
                <w:sz w:val="24"/>
              </w:rPr>
              <w:t> </w:t>
            </w:r>
            <w:r>
              <w:rPr>
                <w:spacing w:val="-2"/>
                <w:sz w:val="24"/>
              </w:rPr>
              <w:t>m.s.n.m</w:t>
            </w:r>
          </w:p>
        </w:tc>
      </w:tr>
      <w:tr>
        <w:trPr>
          <w:trHeight w:val="317" w:hRule="atLeast"/>
        </w:trPr>
        <w:tc>
          <w:tcPr>
            <w:tcW w:w="3815" w:type="dxa"/>
          </w:tcPr>
          <w:p>
            <w:pPr>
              <w:pStyle w:val="TableParagraph"/>
              <w:spacing w:before="15"/>
              <w:ind w:left="114"/>
              <w:jc w:val="left"/>
              <w:rPr>
                <w:sz w:val="24"/>
              </w:rPr>
            </w:pPr>
            <w:r>
              <w:rPr>
                <w:spacing w:val="-2"/>
                <w:sz w:val="24"/>
              </w:rPr>
              <w:t>Latitud</w:t>
            </w:r>
          </w:p>
        </w:tc>
        <w:tc>
          <w:tcPr>
            <w:tcW w:w="3837" w:type="dxa"/>
          </w:tcPr>
          <w:p>
            <w:pPr>
              <w:pStyle w:val="TableParagraph"/>
              <w:spacing w:before="15"/>
              <w:ind w:left="120"/>
              <w:jc w:val="left"/>
              <w:rPr>
                <w:sz w:val="24"/>
              </w:rPr>
            </w:pPr>
            <w:r>
              <w:rPr>
                <w:sz w:val="24"/>
              </w:rPr>
              <w:t>1°15′43″ </w:t>
            </w:r>
            <w:r>
              <w:rPr>
                <w:spacing w:val="-10"/>
                <w:sz w:val="24"/>
              </w:rPr>
              <w:t>S</w:t>
            </w:r>
          </w:p>
        </w:tc>
      </w:tr>
      <w:tr>
        <w:trPr>
          <w:trHeight w:val="317" w:hRule="atLeast"/>
        </w:trPr>
        <w:tc>
          <w:tcPr>
            <w:tcW w:w="3815" w:type="dxa"/>
          </w:tcPr>
          <w:p>
            <w:pPr>
              <w:pStyle w:val="TableParagraph"/>
              <w:spacing w:before="17"/>
              <w:ind w:left="114"/>
              <w:jc w:val="left"/>
              <w:rPr>
                <w:sz w:val="24"/>
              </w:rPr>
            </w:pPr>
            <w:r>
              <w:rPr>
                <w:spacing w:val="-2"/>
                <w:sz w:val="24"/>
              </w:rPr>
              <w:t>Longitud</w:t>
            </w:r>
          </w:p>
        </w:tc>
        <w:tc>
          <w:tcPr>
            <w:tcW w:w="3837" w:type="dxa"/>
          </w:tcPr>
          <w:p>
            <w:pPr>
              <w:pStyle w:val="TableParagraph"/>
              <w:spacing w:before="17"/>
              <w:ind w:left="120"/>
              <w:jc w:val="left"/>
              <w:rPr>
                <w:sz w:val="24"/>
              </w:rPr>
            </w:pPr>
            <w:r>
              <w:rPr>
                <w:sz w:val="24"/>
              </w:rPr>
              <w:t>78°37′36″</w:t>
            </w:r>
            <w:r>
              <w:rPr>
                <w:spacing w:val="-5"/>
                <w:sz w:val="24"/>
              </w:rPr>
              <w:t> </w:t>
            </w:r>
            <w:r>
              <w:rPr>
                <w:spacing w:val="-10"/>
                <w:sz w:val="24"/>
              </w:rPr>
              <w:t>W</w:t>
            </w:r>
          </w:p>
        </w:tc>
      </w:tr>
      <w:tr>
        <w:trPr>
          <w:trHeight w:val="316" w:hRule="atLeast"/>
        </w:trPr>
        <w:tc>
          <w:tcPr>
            <w:tcW w:w="3815" w:type="dxa"/>
          </w:tcPr>
          <w:p>
            <w:pPr>
              <w:pStyle w:val="TableParagraph"/>
              <w:spacing w:before="15"/>
              <w:ind w:left="114"/>
              <w:jc w:val="left"/>
              <w:rPr>
                <w:sz w:val="24"/>
              </w:rPr>
            </w:pPr>
            <w:r>
              <w:rPr>
                <w:sz w:val="24"/>
              </w:rPr>
              <w:t>Humedad</w:t>
            </w:r>
            <w:r>
              <w:rPr>
                <w:spacing w:val="-2"/>
                <w:sz w:val="24"/>
              </w:rPr>
              <w:t> </w:t>
            </w:r>
            <w:r>
              <w:rPr>
                <w:sz w:val="24"/>
              </w:rPr>
              <w:t>relativa promedio</w:t>
            </w:r>
            <w:r>
              <w:rPr>
                <w:spacing w:val="-1"/>
                <w:sz w:val="24"/>
              </w:rPr>
              <w:t> </w:t>
            </w:r>
            <w:r>
              <w:rPr>
                <w:spacing w:val="-4"/>
                <w:sz w:val="24"/>
              </w:rPr>
              <w:t>anual</w:t>
            </w:r>
          </w:p>
        </w:tc>
        <w:tc>
          <w:tcPr>
            <w:tcW w:w="3837" w:type="dxa"/>
          </w:tcPr>
          <w:p>
            <w:pPr>
              <w:pStyle w:val="TableParagraph"/>
              <w:spacing w:before="15"/>
              <w:ind w:left="120"/>
              <w:jc w:val="left"/>
              <w:rPr>
                <w:sz w:val="24"/>
              </w:rPr>
            </w:pPr>
            <w:r>
              <w:rPr>
                <w:sz w:val="24"/>
              </w:rPr>
              <w:t>75 </w:t>
            </w:r>
            <w:r>
              <w:rPr>
                <w:spacing w:val="-10"/>
                <w:sz w:val="24"/>
              </w:rPr>
              <w:t>%</w:t>
            </w:r>
          </w:p>
        </w:tc>
      </w:tr>
      <w:tr>
        <w:trPr>
          <w:trHeight w:val="318" w:hRule="atLeast"/>
        </w:trPr>
        <w:tc>
          <w:tcPr>
            <w:tcW w:w="3815" w:type="dxa"/>
          </w:tcPr>
          <w:p>
            <w:pPr>
              <w:pStyle w:val="TableParagraph"/>
              <w:spacing w:before="15"/>
              <w:ind w:left="114"/>
              <w:jc w:val="left"/>
              <w:rPr>
                <w:sz w:val="24"/>
              </w:rPr>
            </w:pPr>
            <w:r>
              <w:rPr>
                <w:sz w:val="24"/>
              </w:rPr>
              <w:t>Precipitación promedio</w:t>
            </w:r>
            <w:r>
              <w:rPr>
                <w:spacing w:val="-4"/>
                <w:sz w:val="24"/>
              </w:rPr>
              <w:t> anua</w:t>
            </w:r>
          </w:p>
        </w:tc>
        <w:tc>
          <w:tcPr>
            <w:tcW w:w="3837" w:type="dxa"/>
          </w:tcPr>
          <w:p>
            <w:pPr>
              <w:pStyle w:val="TableParagraph"/>
              <w:spacing w:before="15"/>
              <w:ind w:left="120"/>
              <w:jc w:val="left"/>
              <w:rPr>
                <w:sz w:val="24"/>
              </w:rPr>
            </w:pPr>
            <w:r>
              <w:rPr>
                <w:spacing w:val="-10"/>
                <w:sz w:val="24"/>
              </w:rPr>
              <w:t>L</w:t>
            </w:r>
          </w:p>
        </w:tc>
      </w:tr>
      <w:tr>
        <w:trPr>
          <w:trHeight w:val="317" w:hRule="atLeast"/>
        </w:trPr>
        <w:tc>
          <w:tcPr>
            <w:tcW w:w="3815" w:type="dxa"/>
          </w:tcPr>
          <w:p>
            <w:pPr>
              <w:pStyle w:val="TableParagraph"/>
              <w:spacing w:before="17"/>
              <w:ind w:left="114"/>
              <w:jc w:val="left"/>
              <w:rPr>
                <w:sz w:val="24"/>
              </w:rPr>
            </w:pPr>
            <w:r>
              <w:rPr>
                <w:spacing w:val="-2"/>
                <w:sz w:val="24"/>
              </w:rPr>
              <w:t>Temperatura</w:t>
            </w:r>
            <w:r>
              <w:rPr>
                <w:spacing w:val="5"/>
                <w:sz w:val="24"/>
              </w:rPr>
              <w:t> </w:t>
            </w:r>
            <w:r>
              <w:rPr>
                <w:spacing w:val="-2"/>
                <w:sz w:val="24"/>
              </w:rPr>
              <w:t>mínima</w:t>
            </w:r>
          </w:p>
        </w:tc>
        <w:tc>
          <w:tcPr>
            <w:tcW w:w="3837" w:type="dxa"/>
          </w:tcPr>
          <w:p>
            <w:pPr>
              <w:pStyle w:val="TableParagraph"/>
              <w:spacing w:before="17"/>
              <w:ind w:left="120"/>
              <w:jc w:val="left"/>
              <w:rPr>
                <w:sz w:val="24"/>
              </w:rPr>
            </w:pPr>
            <w:r>
              <w:rPr>
                <w:sz w:val="24"/>
              </w:rPr>
              <w:t>8 </w:t>
            </w:r>
            <w:r>
              <w:rPr>
                <w:spacing w:val="-5"/>
                <w:sz w:val="24"/>
              </w:rPr>
              <w:t>°C</w:t>
            </w:r>
          </w:p>
        </w:tc>
      </w:tr>
      <w:tr>
        <w:trPr>
          <w:trHeight w:val="316" w:hRule="atLeast"/>
        </w:trPr>
        <w:tc>
          <w:tcPr>
            <w:tcW w:w="3815" w:type="dxa"/>
          </w:tcPr>
          <w:p>
            <w:pPr>
              <w:pStyle w:val="TableParagraph"/>
              <w:spacing w:before="15"/>
              <w:ind w:left="114"/>
              <w:jc w:val="left"/>
              <w:rPr>
                <w:sz w:val="24"/>
              </w:rPr>
            </w:pPr>
            <w:r>
              <w:rPr>
                <w:sz w:val="24"/>
              </w:rPr>
              <w:t>Temperatura</w:t>
            </w:r>
            <w:r>
              <w:rPr>
                <w:spacing w:val="-11"/>
                <w:sz w:val="24"/>
              </w:rPr>
              <w:t> </w:t>
            </w:r>
            <w:r>
              <w:rPr>
                <w:sz w:val="24"/>
              </w:rPr>
              <w:t>media</w:t>
            </w:r>
            <w:r>
              <w:rPr>
                <w:spacing w:val="-9"/>
                <w:sz w:val="24"/>
              </w:rPr>
              <w:t> </w:t>
            </w:r>
            <w:r>
              <w:rPr>
                <w:spacing w:val="-4"/>
                <w:sz w:val="24"/>
              </w:rPr>
              <w:t>anual</w:t>
            </w:r>
          </w:p>
        </w:tc>
        <w:tc>
          <w:tcPr>
            <w:tcW w:w="3837" w:type="dxa"/>
          </w:tcPr>
          <w:p>
            <w:pPr>
              <w:pStyle w:val="TableParagraph"/>
              <w:spacing w:before="15"/>
              <w:ind w:left="120"/>
              <w:jc w:val="left"/>
              <w:rPr>
                <w:sz w:val="24"/>
              </w:rPr>
            </w:pPr>
            <w:r>
              <w:rPr>
                <w:sz w:val="24"/>
              </w:rPr>
              <w:t>15 </w:t>
            </w:r>
            <w:r>
              <w:rPr>
                <w:spacing w:val="-5"/>
                <w:sz w:val="24"/>
              </w:rPr>
              <w:t>°C</w:t>
            </w:r>
          </w:p>
        </w:tc>
      </w:tr>
      <w:tr>
        <w:trPr>
          <w:trHeight w:val="333" w:hRule="atLeast"/>
        </w:trPr>
        <w:tc>
          <w:tcPr>
            <w:tcW w:w="3815" w:type="dxa"/>
            <w:tcBorders>
              <w:bottom w:val="single" w:sz="4" w:space="0" w:color="000000"/>
            </w:tcBorders>
          </w:tcPr>
          <w:p>
            <w:pPr>
              <w:pStyle w:val="TableParagraph"/>
              <w:spacing w:before="15"/>
              <w:ind w:left="114"/>
              <w:jc w:val="left"/>
              <w:rPr>
                <w:sz w:val="24"/>
              </w:rPr>
            </w:pPr>
            <w:r>
              <w:rPr>
                <w:spacing w:val="-2"/>
                <w:sz w:val="24"/>
              </w:rPr>
              <w:t>Temperatura</w:t>
            </w:r>
            <w:r>
              <w:rPr>
                <w:spacing w:val="5"/>
                <w:sz w:val="24"/>
              </w:rPr>
              <w:t> </w:t>
            </w:r>
            <w:r>
              <w:rPr>
                <w:spacing w:val="-2"/>
                <w:sz w:val="24"/>
              </w:rPr>
              <w:t>máxima</w:t>
            </w:r>
          </w:p>
        </w:tc>
        <w:tc>
          <w:tcPr>
            <w:tcW w:w="3837" w:type="dxa"/>
            <w:tcBorders>
              <w:bottom w:val="single" w:sz="4" w:space="0" w:color="000000"/>
            </w:tcBorders>
          </w:tcPr>
          <w:p>
            <w:pPr>
              <w:pStyle w:val="TableParagraph"/>
              <w:spacing w:before="15"/>
              <w:ind w:left="120"/>
              <w:jc w:val="left"/>
              <w:rPr>
                <w:sz w:val="24"/>
              </w:rPr>
            </w:pPr>
            <w:r>
              <w:rPr>
                <w:sz w:val="24"/>
              </w:rPr>
              <w:t>21 </w:t>
            </w:r>
            <w:r>
              <w:rPr>
                <w:spacing w:val="-5"/>
                <w:sz w:val="24"/>
              </w:rPr>
              <w:t>°C</w:t>
            </w:r>
          </w:p>
        </w:tc>
      </w:tr>
    </w:tbl>
    <w:p>
      <w:pPr>
        <w:pStyle w:val="Heading3"/>
        <w:numPr>
          <w:ilvl w:val="0"/>
          <w:numId w:val="10"/>
        </w:numPr>
        <w:tabs>
          <w:tab w:pos="852" w:val="left" w:leader="none"/>
        </w:tabs>
        <w:spacing w:line="240" w:lineRule="auto" w:before="247" w:after="0"/>
        <w:ind w:left="852" w:right="0" w:hanging="284"/>
        <w:jc w:val="left"/>
      </w:pPr>
      <w:r>
        <w:rPr>
          <w:color w:val="0D0D0D"/>
        </w:rPr>
        <w:t>Zona</w:t>
      </w:r>
      <w:r>
        <w:rPr>
          <w:color w:val="0D0D0D"/>
          <w:spacing w:val="-5"/>
        </w:rPr>
        <w:t> </w:t>
      </w:r>
      <w:r>
        <w:rPr>
          <w:color w:val="0D0D0D"/>
        </w:rPr>
        <w:t>de</w:t>
      </w:r>
      <w:r>
        <w:rPr>
          <w:color w:val="0D0D0D"/>
          <w:spacing w:val="-2"/>
        </w:rPr>
        <w:t> </w:t>
      </w:r>
      <w:r>
        <w:rPr>
          <w:color w:val="0D0D0D"/>
          <w:spacing w:val="-4"/>
        </w:rPr>
        <w:t>vida</w:t>
      </w:r>
    </w:p>
    <w:p>
      <w:pPr>
        <w:pStyle w:val="BodyText"/>
        <w:spacing w:before="100"/>
        <w:rPr>
          <w:b/>
        </w:rPr>
      </w:pPr>
    </w:p>
    <w:p>
      <w:pPr>
        <w:pStyle w:val="BodyText"/>
        <w:spacing w:line="480" w:lineRule="auto"/>
        <w:ind w:left="568" w:right="137"/>
        <w:jc w:val="both"/>
      </w:pPr>
      <w:r>
        <w:rPr>
          <w:color w:val="0D0D0D"/>
        </w:rPr>
        <w:t>La ciudad de</w:t>
      </w:r>
      <w:r>
        <w:rPr>
          <w:color w:val="0D0D0D"/>
          <w:spacing w:val="-6"/>
        </w:rPr>
        <w:t> </w:t>
      </w:r>
      <w:r>
        <w:rPr>
          <w:color w:val="0D0D0D"/>
        </w:rPr>
        <w:t>Ambato se ubica en la zona de vida Bosque Húmedo Montano Bajo Subtropical, caracterizada por condiciones propias de ecosistemas montanos con clima templado y vegetación andina intervenida (MAATE, 2021).</w:t>
      </w:r>
    </w:p>
    <w:p>
      <w:pPr>
        <w:pStyle w:val="BodyText"/>
        <w:spacing w:after="0" w:line="480" w:lineRule="auto"/>
        <w:jc w:val="both"/>
        <w:sectPr>
          <w:pgSz w:w="11910" w:h="16840"/>
          <w:pgMar w:header="0" w:footer="1038" w:top="1620" w:bottom="1220" w:left="1700" w:right="1559"/>
        </w:sectPr>
      </w:pPr>
    </w:p>
    <w:p>
      <w:pPr>
        <w:pStyle w:val="Heading3"/>
        <w:numPr>
          <w:ilvl w:val="1"/>
          <w:numId w:val="8"/>
        </w:numPr>
        <w:tabs>
          <w:tab w:pos="1144" w:val="left" w:leader="none"/>
        </w:tabs>
        <w:spacing w:line="240" w:lineRule="auto" w:before="64" w:after="0"/>
        <w:ind w:left="1144" w:right="0" w:hanging="576"/>
        <w:jc w:val="left"/>
      </w:pPr>
      <w:bookmarkStart w:name="_bookmark34" w:id="30"/>
      <w:bookmarkEnd w:id="30"/>
      <w:r>
        <w:rPr>
          <w:b w:val="0"/>
        </w:rPr>
      </w:r>
      <w:bookmarkStart w:name="_bookmark29" w:id="31"/>
      <w:bookmarkEnd w:id="31"/>
      <w:r>
        <w:rPr>
          <w:b w:val="0"/>
        </w:rPr>
      </w:r>
      <w:r>
        <w:rPr>
          <w:spacing w:val="-2"/>
        </w:rPr>
        <w:t>Metodología</w:t>
      </w:r>
    </w:p>
    <w:p>
      <w:pPr>
        <w:pStyle w:val="BodyText"/>
        <w:spacing w:before="80"/>
        <w:rPr>
          <w:b/>
        </w:rPr>
      </w:pPr>
    </w:p>
    <w:p>
      <w:pPr>
        <w:pStyle w:val="Heading3"/>
        <w:numPr>
          <w:ilvl w:val="2"/>
          <w:numId w:val="8"/>
        </w:numPr>
        <w:tabs>
          <w:tab w:pos="1288" w:val="left" w:leader="none"/>
        </w:tabs>
        <w:spacing w:line="240" w:lineRule="auto" w:before="0" w:after="0"/>
        <w:ind w:left="1288" w:right="0" w:hanging="720"/>
        <w:jc w:val="left"/>
      </w:pPr>
      <w:bookmarkStart w:name="_bookmark30" w:id="32"/>
      <w:bookmarkEnd w:id="32"/>
      <w:r>
        <w:rPr>
          <w:b w:val="0"/>
        </w:rPr>
      </w:r>
      <w:r>
        <w:rPr>
          <w:color w:val="0D0D0D"/>
        </w:rPr>
        <w:t>Material </w:t>
      </w:r>
      <w:r>
        <w:rPr>
          <w:color w:val="0D0D0D"/>
          <w:spacing w:val="-2"/>
        </w:rPr>
        <w:t>experimental</w:t>
      </w:r>
    </w:p>
    <w:p>
      <w:pPr>
        <w:pStyle w:val="BodyText"/>
        <w:spacing w:before="239"/>
        <w:rPr>
          <w:b/>
        </w:rPr>
      </w:pPr>
    </w:p>
    <w:p>
      <w:pPr>
        <w:pStyle w:val="ListParagraph"/>
        <w:numPr>
          <w:ilvl w:val="3"/>
          <w:numId w:val="8"/>
        </w:numPr>
        <w:tabs>
          <w:tab w:pos="996" w:val="left" w:leader="none"/>
        </w:tabs>
        <w:spacing w:line="240" w:lineRule="auto" w:before="1" w:after="0"/>
        <w:ind w:left="996" w:right="0" w:hanging="428"/>
        <w:jc w:val="left"/>
        <w:rPr>
          <w:sz w:val="24"/>
        </w:rPr>
      </w:pPr>
      <w:r>
        <w:rPr>
          <w:color w:val="0D0D0D"/>
          <w:sz w:val="24"/>
        </w:rPr>
        <w:t>30 </w:t>
      </w:r>
      <w:r>
        <w:rPr>
          <w:color w:val="0D0D0D"/>
          <w:spacing w:val="-2"/>
          <w:sz w:val="24"/>
        </w:rPr>
        <w:t>caninos</w:t>
      </w:r>
    </w:p>
    <w:p>
      <w:pPr>
        <w:pStyle w:val="BodyText"/>
        <w:spacing w:before="3"/>
      </w:pPr>
    </w:p>
    <w:p>
      <w:pPr>
        <w:pStyle w:val="Heading3"/>
        <w:numPr>
          <w:ilvl w:val="2"/>
          <w:numId w:val="8"/>
        </w:numPr>
        <w:tabs>
          <w:tab w:pos="1348" w:val="left" w:leader="none"/>
        </w:tabs>
        <w:spacing w:line="688" w:lineRule="auto" w:before="0" w:after="0"/>
        <w:ind w:left="568" w:right="5331" w:firstLine="0"/>
        <w:jc w:val="left"/>
        <w:rPr>
          <w:b w:val="0"/>
        </w:rPr>
      </w:pPr>
      <w:bookmarkStart w:name="_bookmark31" w:id="33"/>
      <w:bookmarkEnd w:id="33"/>
      <w:r>
        <w:rPr>
          <w:color w:val="0D0D0D"/>
        </w:rPr>
        <w:t>F</w:t>
      </w:r>
      <w:r>
        <w:rPr>
          <w:color w:val="0D0D0D"/>
        </w:rPr>
        <w:t>actores</w:t>
      </w:r>
      <w:r>
        <w:rPr>
          <w:color w:val="0D0D0D"/>
          <w:spacing w:val="-15"/>
        </w:rPr>
        <w:t> </w:t>
      </w:r>
      <w:r>
        <w:rPr>
          <w:color w:val="0D0D0D"/>
        </w:rPr>
        <w:t>en</w:t>
      </w:r>
      <w:r>
        <w:rPr>
          <w:color w:val="0D0D0D"/>
          <w:spacing w:val="-15"/>
        </w:rPr>
        <w:t> </w:t>
      </w:r>
      <w:r>
        <w:rPr>
          <w:color w:val="0D0D0D"/>
        </w:rPr>
        <w:t>estudio Factor A: </w:t>
      </w:r>
      <w:r>
        <w:rPr>
          <w:b w:val="0"/>
          <w:color w:val="0D0D0D"/>
        </w:rPr>
        <w:t>Caninos</w:t>
      </w:r>
    </w:p>
    <w:p>
      <w:pPr>
        <w:pStyle w:val="BodyText"/>
        <w:spacing w:line="272" w:lineRule="exact"/>
        <w:ind w:left="568"/>
      </w:pPr>
      <w:r>
        <w:rPr>
          <w:b/>
          <w:color w:val="0D0D0D"/>
        </w:rPr>
        <w:t>Factor</w:t>
      </w:r>
      <w:r>
        <w:rPr>
          <w:b/>
          <w:color w:val="0D0D0D"/>
          <w:spacing w:val="-5"/>
        </w:rPr>
        <w:t> </w:t>
      </w:r>
      <w:r>
        <w:rPr>
          <w:b/>
          <w:color w:val="0D0D0D"/>
        </w:rPr>
        <w:t>B:</w:t>
      </w:r>
      <w:r>
        <w:rPr>
          <w:b/>
          <w:color w:val="0D0D0D"/>
          <w:spacing w:val="-6"/>
        </w:rPr>
        <w:t> </w:t>
      </w:r>
      <w:r>
        <w:rPr>
          <w:color w:val="0D0D0D"/>
        </w:rPr>
        <w:t>Vía</w:t>
      </w:r>
      <w:r>
        <w:rPr>
          <w:color w:val="0D0D0D"/>
          <w:spacing w:val="-1"/>
        </w:rPr>
        <w:t> </w:t>
      </w:r>
      <w:r>
        <w:rPr>
          <w:color w:val="0D0D0D"/>
        </w:rPr>
        <w:t>de</w:t>
      </w:r>
      <w:r>
        <w:rPr>
          <w:color w:val="0D0D0D"/>
          <w:spacing w:val="-1"/>
        </w:rPr>
        <w:t> </w:t>
      </w:r>
      <w:r>
        <w:rPr>
          <w:color w:val="0D0D0D"/>
        </w:rPr>
        <w:t>administración</w:t>
      </w:r>
      <w:r>
        <w:rPr>
          <w:color w:val="0D0D0D"/>
          <w:spacing w:val="-2"/>
        </w:rPr>
        <w:t> </w:t>
      </w:r>
      <w:r>
        <w:rPr>
          <w:color w:val="0D0D0D"/>
        </w:rPr>
        <w:t>de </w:t>
      </w:r>
      <w:r>
        <w:rPr>
          <w:color w:val="0D0D0D"/>
          <w:spacing w:val="-2"/>
        </w:rPr>
        <w:t>dexmedetomidina</w:t>
      </w:r>
    </w:p>
    <w:p>
      <w:pPr>
        <w:pStyle w:val="BodyText"/>
        <w:spacing w:before="240"/>
      </w:pPr>
    </w:p>
    <w:p>
      <w:pPr>
        <w:pStyle w:val="BodyText"/>
        <w:ind w:left="853"/>
      </w:pPr>
      <w:r>
        <w:rPr>
          <w:color w:val="0D0D0D"/>
        </w:rPr>
        <w:t>Dexmedetomidina</w:t>
      </w:r>
      <w:r>
        <w:rPr>
          <w:color w:val="0D0D0D"/>
          <w:spacing w:val="-1"/>
        </w:rPr>
        <w:t> </w:t>
      </w:r>
      <w:r>
        <w:rPr>
          <w:color w:val="0D0D0D"/>
        </w:rPr>
        <w:t>intravenosa</w:t>
      </w:r>
      <w:r>
        <w:rPr>
          <w:color w:val="0D0D0D"/>
          <w:spacing w:val="-1"/>
        </w:rPr>
        <w:t> </w:t>
      </w:r>
      <w:r>
        <w:rPr>
          <w:color w:val="0D0D0D"/>
        </w:rPr>
        <w:t>(0,5</w:t>
      </w:r>
      <w:r>
        <w:rPr>
          <w:color w:val="0D0D0D"/>
          <w:spacing w:val="-5"/>
        </w:rPr>
        <w:t> </w:t>
      </w:r>
      <w:r>
        <w:rPr>
          <w:color w:val="0D0D0D"/>
        </w:rPr>
        <w:t>a</w:t>
      </w:r>
      <w:r>
        <w:rPr>
          <w:color w:val="0D0D0D"/>
          <w:spacing w:val="-1"/>
        </w:rPr>
        <w:t> </w:t>
      </w:r>
      <w:r>
        <w:rPr>
          <w:color w:val="0D0D0D"/>
        </w:rPr>
        <w:t>1</w:t>
      </w:r>
      <w:r>
        <w:rPr>
          <w:color w:val="0D0D0D"/>
          <w:spacing w:val="-1"/>
        </w:rPr>
        <w:t> </w:t>
      </w:r>
      <w:r>
        <w:rPr>
          <w:color w:val="0D0D0D"/>
          <w:spacing w:val="-2"/>
        </w:rPr>
        <w:t>µg/kg)</w:t>
      </w:r>
    </w:p>
    <w:p>
      <w:pPr>
        <w:pStyle w:val="BodyText"/>
      </w:pPr>
    </w:p>
    <w:p>
      <w:pPr>
        <w:pStyle w:val="BodyText"/>
        <w:ind w:left="853"/>
      </w:pPr>
      <w:r>
        <w:rPr>
          <w:color w:val="0D0D0D"/>
        </w:rPr>
        <w:t>Dexmedetomidina</w:t>
      </w:r>
      <w:r>
        <w:rPr>
          <w:color w:val="0D0D0D"/>
          <w:spacing w:val="-1"/>
        </w:rPr>
        <w:t> </w:t>
      </w:r>
      <w:r>
        <w:rPr>
          <w:color w:val="0D0D0D"/>
        </w:rPr>
        <w:t>intramuscular</w:t>
      </w:r>
      <w:r>
        <w:rPr>
          <w:color w:val="0D0D0D"/>
          <w:spacing w:val="-2"/>
        </w:rPr>
        <w:t> </w:t>
      </w:r>
      <w:r>
        <w:rPr>
          <w:color w:val="0D0D0D"/>
        </w:rPr>
        <w:t>(5</w:t>
      </w:r>
      <w:r>
        <w:rPr>
          <w:color w:val="0D0D0D"/>
          <w:spacing w:val="-2"/>
        </w:rPr>
        <w:t> </w:t>
      </w:r>
      <w:r>
        <w:rPr>
          <w:color w:val="0D0D0D"/>
        </w:rPr>
        <w:t>a</w:t>
      </w:r>
      <w:r>
        <w:rPr>
          <w:color w:val="0D0D0D"/>
          <w:spacing w:val="-1"/>
        </w:rPr>
        <w:t> </w:t>
      </w:r>
      <w:r>
        <w:rPr>
          <w:color w:val="0D0D0D"/>
        </w:rPr>
        <w:t>8</w:t>
      </w:r>
      <w:r>
        <w:rPr>
          <w:color w:val="0D0D0D"/>
          <w:spacing w:val="-6"/>
        </w:rPr>
        <w:t> </w:t>
      </w:r>
      <w:r>
        <w:rPr>
          <w:color w:val="0D0D0D"/>
          <w:spacing w:val="-2"/>
        </w:rPr>
        <w:t>µg/kg)</w:t>
      </w:r>
    </w:p>
    <w:p>
      <w:pPr>
        <w:pStyle w:val="BodyText"/>
      </w:pPr>
    </w:p>
    <w:p>
      <w:pPr>
        <w:pStyle w:val="Heading3"/>
        <w:numPr>
          <w:ilvl w:val="2"/>
          <w:numId w:val="8"/>
        </w:numPr>
        <w:tabs>
          <w:tab w:pos="1288" w:val="left" w:leader="none"/>
        </w:tabs>
        <w:spacing w:line="240" w:lineRule="auto" w:before="0" w:after="0"/>
        <w:ind w:left="1288" w:right="0" w:hanging="720"/>
        <w:jc w:val="left"/>
      </w:pPr>
      <w:bookmarkStart w:name="_bookmark32" w:id="34"/>
      <w:bookmarkEnd w:id="34"/>
      <w:r>
        <w:rPr>
          <w:b w:val="0"/>
        </w:rPr>
      </w:r>
      <w:r>
        <w:rPr>
          <w:color w:val="0D0D0D"/>
          <w:spacing w:val="-2"/>
        </w:rPr>
        <w:t>Tratamientos</w:t>
      </w:r>
    </w:p>
    <w:p>
      <w:pPr>
        <w:pStyle w:val="BodyText"/>
        <w:rPr>
          <w:b/>
          <w:sz w:val="20"/>
        </w:rPr>
      </w:pPr>
    </w:p>
    <w:p>
      <w:pPr>
        <w:pStyle w:val="BodyText"/>
        <w:spacing w:before="65"/>
        <w:rPr>
          <w:b/>
          <w:sz w:val="20"/>
        </w:rPr>
      </w:pPr>
      <w:r>
        <w:rPr>
          <w:b/>
          <w:sz w:val="20"/>
        </w:rPr>
        <mc:AlternateContent>
          <mc:Choice Requires="wps">
            <w:drawing>
              <wp:anchor distT="0" distB="0" distL="0" distR="0" allowOverlap="1" layoutInCell="1" locked="0" behindDoc="1" simplePos="0" relativeHeight="487591424">
                <wp:simplePos x="0" y="0"/>
                <wp:positionH relativeFrom="page">
                  <wp:posOffset>1440561</wp:posOffset>
                </wp:positionH>
                <wp:positionV relativeFrom="paragraph">
                  <wp:posOffset>202740</wp:posOffset>
                </wp:positionV>
                <wp:extent cx="4667885" cy="508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4667885" cy="5080"/>
                        </a:xfrm>
                        <a:custGeom>
                          <a:avLst/>
                          <a:gdLst/>
                          <a:ahLst/>
                          <a:cxnLst/>
                          <a:rect l="l" t="t" r="r" b="b"/>
                          <a:pathLst>
                            <a:path w="4667885" h="5080">
                              <a:moveTo>
                                <a:pt x="2070722" y="0"/>
                              </a:moveTo>
                              <a:lnTo>
                                <a:pt x="2065655" y="0"/>
                              </a:lnTo>
                              <a:lnTo>
                                <a:pt x="1130935" y="0"/>
                              </a:lnTo>
                              <a:lnTo>
                                <a:pt x="1125855" y="0"/>
                              </a:lnTo>
                              <a:lnTo>
                                <a:pt x="0" y="0"/>
                              </a:lnTo>
                              <a:lnTo>
                                <a:pt x="0" y="5080"/>
                              </a:lnTo>
                              <a:lnTo>
                                <a:pt x="1125855" y="5080"/>
                              </a:lnTo>
                              <a:lnTo>
                                <a:pt x="1130935" y="5080"/>
                              </a:lnTo>
                              <a:lnTo>
                                <a:pt x="2065655" y="5080"/>
                              </a:lnTo>
                              <a:lnTo>
                                <a:pt x="2070722" y="5080"/>
                              </a:lnTo>
                              <a:lnTo>
                                <a:pt x="2070722" y="0"/>
                              </a:lnTo>
                              <a:close/>
                            </a:path>
                            <a:path w="4667885" h="5080">
                              <a:moveTo>
                                <a:pt x="4667631" y="0"/>
                              </a:moveTo>
                              <a:lnTo>
                                <a:pt x="2070735" y="0"/>
                              </a:lnTo>
                              <a:lnTo>
                                <a:pt x="2070735" y="5080"/>
                              </a:lnTo>
                              <a:lnTo>
                                <a:pt x="4667631" y="5080"/>
                              </a:lnTo>
                              <a:lnTo>
                                <a:pt x="4667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5.963846pt;width:367.55pt;height:.4pt;mso-position-horizontal-relative:page;mso-position-vertical-relative:paragraph;z-index:-15725056;mso-wrap-distance-left:0;mso-wrap-distance-right:0" id="docshape7" coordorigin="2269,319" coordsize="7351,8" path="m5530,319l5522,319,4050,319,4042,319,2269,319,2269,327,4042,327,4050,327,5522,327,5530,327,5530,319xm9619,319l5530,319,5530,327,9619,327,9619,319xe" filled="true" fillcolor="#000000" stroked="false">
                <v:path arrowok="t"/>
                <v:fill type="solid"/>
                <w10:wrap type="topAndBottom"/>
              </v:shape>
            </w:pict>
          </mc:Fallback>
        </mc:AlternateContent>
      </w:r>
    </w:p>
    <w:p>
      <w:pPr>
        <w:pStyle w:val="BodyText"/>
        <w:spacing w:before="15"/>
        <w:rPr>
          <w:b/>
        </w:rPr>
      </w:pPr>
    </w:p>
    <w:p>
      <w:pPr>
        <w:pStyle w:val="Heading3"/>
        <w:tabs>
          <w:tab w:pos="2449" w:val="left" w:leader="none"/>
          <w:tab w:pos="3929" w:val="left" w:leader="none"/>
        </w:tabs>
        <w:spacing w:before="1"/>
        <w:ind w:left="676" w:firstLine="0"/>
        <w:jc w:val="left"/>
      </w:pPr>
      <w:r>
        <w:rPr>
          <w:color w:val="0D0D0D"/>
          <w:spacing w:val="-2"/>
        </w:rPr>
        <w:t>Tratamiento</w:t>
      </w:r>
      <w:r>
        <w:rPr>
          <w:color w:val="0D0D0D"/>
        </w:rPr>
        <w:tab/>
      </w:r>
      <w:r>
        <w:rPr>
          <w:color w:val="0D0D0D"/>
          <w:spacing w:val="-2"/>
        </w:rPr>
        <w:t>Código</w:t>
      </w:r>
      <w:r>
        <w:rPr>
          <w:color w:val="0D0D0D"/>
        </w:rPr>
        <w:tab/>
      </w:r>
      <w:r>
        <w:rPr>
          <w:color w:val="0D0D0D"/>
          <w:spacing w:val="-2"/>
        </w:rPr>
        <w:t>Descripción</w:t>
      </w:r>
    </w:p>
    <w:p>
      <w:pPr>
        <w:pStyle w:val="BodyText"/>
        <w:spacing w:before="7"/>
        <w:rPr>
          <w:b/>
          <w:sz w:val="14"/>
        </w:rPr>
      </w:pPr>
      <w:r>
        <w:rPr>
          <w:b/>
          <w:sz w:val="14"/>
        </w:rPr>
        <mc:AlternateContent>
          <mc:Choice Requires="wps">
            <w:drawing>
              <wp:anchor distT="0" distB="0" distL="0" distR="0" allowOverlap="1" layoutInCell="1" locked="0" behindDoc="1" simplePos="0" relativeHeight="487591936">
                <wp:simplePos x="0" y="0"/>
                <wp:positionH relativeFrom="page">
                  <wp:posOffset>1440561</wp:posOffset>
                </wp:positionH>
                <wp:positionV relativeFrom="paragraph">
                  <wp:posOffset>121962</wp:posOffset>
                </wp:positionV>
                <wp:extent cx="4667885" cy="508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4667885" cy="5080"/>
                        </a:xfrm>
                        <a:custGeom>
                          <a:avLst/>
                          <a:gdLst/>
                          <a:ahLst/>
                          <a:cxnLst/>
                          <a:rect l="l" t="t" r="r" b="b"/>
                          <a:pathLst>
                            <a:path w="4667885" h="5080">
                              <a:moveTo>
                                <a:pt x="2070722" y="0"/>
                              </a:moveTo>
                              <a:lnTo>
                                <a:pt x="2065655" y="0"/>
                              </a:lnTo>
                              <a:lnTo>
                                <a:pt x="1130935" y="0"/>
                              </a:lnTo>
                              <a:lnTo>
                                <a:pt x="1125855" y="0"/>
                              </a:lnTo>
                              <a:lnTo>
                                <a:pt x="0" y="0"/>
                              </a:lnTo>
                              <a:lnTo>
                                <a:pt x="0" y="5067"/>
                              </a:lnTo>
                              <a:lnTo>
                                <a:pt x="1125855" y="5067"/>
                              </a:lnTo>
                              <a:lnTo>
                                <a:pt x="1130935" y="5067"/>
                              </a:lnTo>
                              <a:lnTo>
                                <a:pt x="2065655" y="5067"/>
                              </a:lnTo>
                              <a:lnTo>
                                <a:pt x="2070722" y="5067"/>
                              </a:lnTo>
                              <a:lnTo>
                                <a:pt x="2070722" y="0"/>
                              </a:lnTo>
                              <a:close/>
                            </a:path>
                            <a:path w="4667885" h="5080">
                              <a:moveTo>
                                <a:pt x="4667631" y="0"/>
                              </a:moveTo>
                              <a:lnTo>
                                <a:pt x="2070735" y="0"/>
                              </a:lnTo>
                              <a:lnTo>
                                <a:pt x="2070735" y="5067"/>
                              </a:lnTo>
                              <a:lnTo>
                                <a:pt x="4667631" y="5067"/>
                              </a:lnTo>
                              <a:lnTo>
                                <a:pt x="46676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9.603325pt;width:367.55pt;height:.4pt;mso-position-horizontal-relative:page;mso-position-vertical-relative:paragraph;z-index:-15724544;mso-wrap-distance-left:0;mso-wrap-distance-right:0" id="docshape8" coordorigin="2269,192" coordsize="7351,8" path="m5530,192l5522,192,4050,192,4042,192,2269,192,2269,200,4042,200,4050,200,5522,200,5530,200,5530,192xm9619,192l5530,192,5530,200,9619,200,9619,192xe" filled="true" fillcolor="#000000" stroked="false">
                <v:path arrowok="t"/>
                <v:fill type="solid"/>
                <w10:wrap type="topAndBottom"/>
              </v:shape>
            </w:pict>
          </mc:Fallback>
        </mc:AlternateContent>
      </w:r>
    </w:p>
    <w:p>
      <w:pPr>
        <w:pStyle w:val="BodyText"/>
        <w:spacing w:before="4"/>
        <w:rPr>
          <w:b/>
          <w:sz w:val="13"/>
        </w:rPr>
      </w:pPr>
    </w:p>
    <w:p>
      <w:pPr>
        <w:pStyle w:val="BodyText"/>
        <w:spacing w:after="0"/>
        <w:rPr>
          <w:b/>
          <w:sz w:val="13"/>
        </w:rPr>
        <w:sectPr>
          <w:pgSz w:w="11910" w:h="16840"/>
          <w:pgMar w:header="0" w:footer="1038" w:top="1620" w:bottom="1220" w:left="1700" w:right="1559"/>
        </w:sectPr>
      </w:pPr>
    </w:p>
    <w:p>
      <w:pPr>
        <w:pStyle w:val="BodyText"/>
        <w:spacing w:before="22"/>
        <w:rPr>
          <w:b/>
        </w:rPr>
      </w:pPr>
    </w:p>
    <w:p>
      <w:pPr>
        <w:pStyle w:val="BodyText"/>
        <w:tabs>
          <w:tab w:pos="2449" w:val="left" w:leader="none"/>
        </w:tabs>
        <w:ind w:left="676"/>
      </w:pPr>
      <w:r>
        <w:rPr>
          <w:color w:val="0D0D0D"/>
        </w:rPr>
        <w:t>Tratamiento</w:t>
      </w:r>
      <w:r>
        <w:rPr>
          <w:color w:val="0D0D0D"/>
          <w:spacing w:val="-8"/>
        </w:rPr>
        <w:t> </w:t>
      </w:r>
      <w:r>
        <w:rPr>
          <w:color w:val="0D0D0D"/>
          <w:spacing w:val="-10"/>
        </w:rPr>
        <w:t>1</w:t>
      </w:r>
      <w:r>
        <w:rPr>
          <w:color w:val="0D0D0D"/>
        </w:rPr>
        <w:tab/>
      </w:r>
      <w:r>
        <w:rPr>
          <w:color w:val="0D0D0D"/>
          <w:spacing w:val="-5"/>
        </w:rPr>
        <w:t>T1</w:t>
      </w:r>
    </w:p>
    <w:p>
      <w:pPr>
        <w:pStyle w:val="BodyText"/>
        <w:spacing w:line="357" w:lineRule="auto" w:before="90"/>
        <w:ind w:left="676"/>
      </w:pPr>
      <w:r>
        <w:rPr/>
        <w:br w:type="column"/>
      </w:r>
      <w:r>
        <w:rPr>
          <w:color w:val="0D0D0D"/>
        </w:rPr>
        <w:t>Caninos</w:t>
      </w:r>
      <w:r>
        <w:rPr>
          <w:color w:val="0D0D0D"/>
          <w:spacing w:val="80"/>
        </w:rPr>
        <w:t> </w:t>
      </w:r>
      <w:r>
        <w:rPr>
          <w:color w:val="0D0D0D"/>
        </w:rPr>
        <w:t>+</w:t>
      </w:r>
      <w:r>
        <w:rPr>
          <w:color w:val="0D0D0D"/>
          <w:spacing w:val="80"/>
        </w:rPr>
        <w:t> </w:t>
      </w:r>
      <w:r>
        <w:rPr>
          <w:color w:val="0D0D0D"/>
        </w:rPr>
        <w:t>dexmedetomidina</w:t>
      </w:r>
      <w:r>
        <w:rPr>
          <w:color w:val="0D0D0D"/>
          <w:spacing w:val="80"/>
        </w:rPr>
        <w:t> </w:t>
      </w:r>
      <w:r>
        <w:rPr>
          <w:color w:val="0D0D0D"/>
        </w:rPr>
        <w:t>por</w:t>
      </w:r>
      <w:r>
        <w:rPr>
          <w:color w:val="0D0D0D"/>
          <w:spacing w:val="80"/>
        </w:rPr>
        <w:t> </w:t>
      </w:r>
      <w:r>
        <w:rPr>
          <w:color w:val="0D0D0D"/>
        </w:rPr>
        <w:t>vía intravenosa (0,5 a 1 µg/kg)</w:t>
      </w:r>
    </w:p>
    <w:p>
      <w:pPr>
        <w:pStyle w:val="BodyText"/>
        <w:spacing w:after="0" w:line="357" w:lineRule="auto"/>
        <w:sectPr>
          <w:type w:val="continuous"/>
          <w:pgSz w:w="11910" w:h="16840"/>
          <w:pgMar w:header="0" w:footer="1038" w:top="1920" w:bottom="280" w:left="1700" w:right="1559"/>
          <w:cols w:num="2" w:equalWidth="0">
            <w:col w:w="2759" w:space="494"/>
            <w:col w:w="5398"/>
          </w:cols>
        </w:sectPr>
      </w:pPr>
    </w:p>
    <w:p>
      <w:pPr>
        <w:pStyle w:val="BodyText"/>
        <w:spacing w:before="7"/>
        <w:rPr>
          <w:sz w:val="13"/>
        </w:rPr>
      </w:pPr>
    </w:p>
    <w:p>
      <w:pPr>
        <w:pStyle w:val="BodyText"/>
        <w:spacing w:after="0"/>
        <w:rPr>
          <w:sz w:val="13"/>
        </w:rPr>
        <w:sectPr>
          <w:type w:val="continuous"/>
          <w:pgSz w:w="11910" w:h="16840"/>
          <w:pgMar w:header="0" w:footer="1038" w:top="1920" w:bottom="280" w:left="1700" w:right="1559"/>
        </w:sectPr>
      </w:pPr>
    </w:p>
    <w:p>
      <w:pPr>
        <w:pStyle w:val="BodyText"/>
        <w:spacing w:before="21"/>
      </w:pPr>
    </w:p>
    <w:p>
      <w:pPr>
        <w:pStyle w:val="BodyText"/>
        <w:tabs>
          <w:tab w:pos="2449" w:val="left" w:leader="none"/>
        </w:tabs>
        <w:spacing w:before="1"/>
        <w:ind w:left="676"/>
      </w:pPr>
      <w:r>
        <w:rPr>
          <w:color w:val="0D0D0D"/>
        </w:rPr>
        <w:t>Tratamiento</w:t>
      </w:r>
      <w:r>
        <w:rPr>
          <w:color w:val="0D0D0D"/>
          <w:spacing w:val="-8"/>
        </w:rPr>
        <w:t> </w:t>
      </w:r>
      <w:r>
        <w:rPr>
          <w:color w:val="0D0D0D"/>
          <w:spacing w:val="-10"/>
        </w:rPr>
        <w:t>2</w:t>
      </w:r>
      <w:r>
        <w:rPr>
          <w:color w:val="0D0D0D"/>
        </w:rPr>
        <w:tab/>
      </w:r>
      <w:r>
        <w:rPr>
          <w:color w:val="0D0D0D"/>
          <w:spacing w:val="-5"/>
        </w:rPr>
        <w:t>T2</w:t>
      </w:r>
    </w:p>
    <w:p>
      <w:pPr>
        <w:pStyle w:val="BodyText"/>
        <w:spacing w:line="357" w:lineRule="auto" w:before="90"/>
        <w:ind w:left="676"/>
      </w:pPr>
      <w:r>
        <w:rPr/>
        <w:br w:type="column"/>
      </w:r>
      <w:r>
        <w:rPr>
          <w:color w:val="0D0D0D"/>
        </w:rPr>
        <w:t>Caninos</w:t>
      </w:r>
      <w:r>
        <w:rPr>
          <w:color w:val="0D0D0D"/>
          <w:spacing w:val="80"/>
        </w:rPr>
        <w:t> </w:t>
      </w:r>
      <w:r>
        <w:rPr>
          <w:color w:val="0D0D0D"/>
        </w:rPr>
        <w:t>+</w:t>
      </w:r>
      <w:r>
        <w:rPr>
          <w:color w:val="0D0D0D"/>
          <w:spacing w:val="80"/>
        </w:rPr>
        <w:t> </w:t>
      </w:r>
      <w:r>
        <w:rPr>
          <w:color w:val="0D0D0D"/>
        </w:rPr>
        <w:t>dexmedetomidina</w:t>
      </w:r>
      <w:r>
        <w:rPr>
          <w:color w:val="0D0D0D"/>
          <w:spacing w:val="80"/>
        </w:rPr>
        <w:t> </w:t>
      </w:r>
      <w:r>
        <w:rPr>
          <w:color w:val="0D0D0D"/>
        </w:rPr>
        <w:t>por</w:t>
      </w:r>
      <w:r>
        <w:rPr>
          <w:color w:val="0D0D0D"/>
          <w:spacing w:val="80"/>
        </w:rPr>
        <w:t> </w:t>
      </w:r>
      <w:r>
        <w:rPr>
          <w:color w:val="0D0D0D"/>
        </w:rPr>
        <w:t>vía intramuscular (5 a 8 µg/kg)</w:t>
      </w:r>
    </w:p>
    <w:p>
      <w:pPr>
        <w:pStyle w:val="BodyText"/>
        <w:spacing w:after="0" w:line="357" w:lineRule="auto"/>
        <w:sectPr>
          <w:type w:val="continuous"/>
          <w:pgSz w:w="11910" w:h="16840"/>
          <w:pgMar w:header="0" w:footer="1038" w:top="1920" w:bottom="280" w:left="1700" w:right="1559"/>
          <w:cols w:num="2" w:equalWidth="0">
            <w:col w:w="2759" w:space="494"/>
            <w:col w:w="5398"/>
          </w:cols>
        </w:sectPr>
      </w:pPr>
    </w:p>
    <w:p>
      <w:pPr>
        <w:spacing w:line="20" w:lineRule="exact"/>
        <w:ind w:left="556" w:right="0" w:firstLine="0"/>
        <w:rPr>
          <w:sz w:val="2"/>
        </w:rPr>
      </w:pPr>
      <w:r>
        <w:rPr>
          <w:sz w:val="2"/>
        </w:rPr>
        <mc:AlternateContent>
          <mc:Choice Requires="wps">
            <w:drawing>
              <wp:inline distT="0" distB="0" distL="0" distR="0">
                <wp:extent cx="4675505" cy="5080"/>
                <wp:effectExtent l="0" t="0" r="0" b="0"/>
                <wp:docPr id="14" name="Group 14"/>
                <wp:cNvGraphicFramePr>
                  <a:graphicFrameLocks/>
                </wp:cNvGraphicFramePr>
                <a:graphic>
                  <a:graphicData uri="http://schemas.microsoft.com/office/word/2010/wordprocessingGroup">
                    <wpg:wgp>
                      <wpg:cNvPr id="14" name="Group 14"/>
                      <wpg:cNvGrpSpPr/>
                      <wpg:grpSpPr>
                        <a:xfrm>
                          <a:off x="0" y="0"/>
                          <a:ext cx="4675505" cy="5080"/>
                          <a:chExt cx="4675505" cy="5080"/>
                        </a:xfrm>
                      </wpg:grpSpPr>
                      <wps:wsp>
                        <wps:cNvPr id="15" name="Graphic 15"/>
                        <wps:cNvSpPr/>
                        <wps:spPr>
                          <a:xfrm>
                            <a:off x="0" y="12"/>
                            <a:ext cx="4675505" cy="5080"/>
                          </a:xfrm>
                          <a:custGeom>
                            <a:avLst/>
                            <a:gdLst/>
                            <a:ahLst/>
                            <a:cxnLst/>
                            <a:rect l="l" t="t" r="r" b="b"/>
                            <a:pathLst>
                              <a:path w="4675505" h="5080">
                                <a:moveTo>
                                  <a:pt x="4675251" y="0"/>
                                </a:moveTo>
                                <a:lnTo>
                                  <a:pt x="4675251" y="0"/>
                                </a:lnTo>
                                <a:lnTo>
                                  <a:pt x="0" y="0"/>
                                </a:lnTo>
                                <a:lnTo>
                                  <a:pt x="0" y="5067"/>
                                </a:lnTo>
                                <a:lnTo>
                                  <a:pt x="4675251" y="5067"/>
                                </a:lnTo>
                                <a:lnTo>
                                  <a:pt x="467525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8.15pt;height:.4pt;mso-position-horizontal-relative:char;mso-position-vertical-relative:line" id="docshapegroup9" coordorigin="0,0" coordsize="7363,8">
                <v:rect style="position:absolute;left:0;top:0;width:7363;height:8" id="docshape10" filled="true" fillcolor="#000000" stroked="false">
                  <v:fill type="solid"/>
                </v:rect>
              </v:group>
            </w:pict>
          </mc:Fallback>
        </mc:AlternateContent>
      </w:r>
      <w:r>
        <w:rPr>
          <w:sz w:val="2"/>
        </w:rPr>
      </w:r>
    </w:p>
    <w:p>
      <w:pPr>
        <w:spacing w:before="232"/>
        <w:ind w:left="568" w:right="0" w:firstLine="0"/>
        <w:jc w:val="both"/>
        <w:rPr>
          <w:i/>
          <w:sz w:val="22"/>
        </w:rPr>
      </w:pPr>
      <w:r>
        <w:rPr>
          <w:b/>
          <w:i/>
          <w:color w:val="252525"/>
          <w:sz w:val="22"/>
        </w:rPr>
        <w:t>Nota:</w:t>
      </w:r>
      <w:r>
        <w:rPr>
          <w:b/>
          <w:i/>
          <w:color w:val="252525"/>
          <w:spacing w:val="-5"/>
          <w:sz w:val="22"/>
        </w:rPr>
        <w:t> </w:t>
      </w:r>
      <w:r>
        <w:rPr>
          <w:i/>
          <w:color w:val="252525"/>
          <w:sz w:val="22"/>
        </w:rPr>
        <w:t>Elaborado</w:t>
      </w:r>
      <w:r>
        <w:rPr>
          <w:i/>
          <w:color w:val="252525"/>
          <w:spacing w:val="-2"/>
          <w:sz w:val="22"/>
        </w:rPr>
        <w:t> </w:t>
      </w:r>
      <w:r>
        <w:rPr>
          <w:i/>
          <w:color w:val="252525"/>
          <w:sz w:val="22"/>
        </w:rPr>
        <w:t>por</w:t>
      </w:r>
      <w:r>
        <w:rPr>
          <w:i/>
          <w:color w:val="252525"/>
          <w:spacing w:val="-4"/>
          <w:sz w:val="22"/>
        </w:rPr>
        <w:t> </w:t>
      </w:r>
      <w:r>
        <w:rPr>
          <w:i/>
          <w:color w:val="252525"/>
          <w:sz w:val="22"/>
        </w:rPr>
        <w:t>Guevara</w:t>
      </w:r>
      <w:r>
        <w:rPr>
          <w:i/>
          <w:color w:val="252525"/>
          <w:spacing w:val="-2"/>
          <w:sz w:val="22"/>
        </w:rPr>
        <w:t> </w:t>
      </w:r>
      <w:r>
        <w:rPr>
          <w:i/>
          <w:color w:val="252525"/>
          <w:sz w:val="22"/>
        </w:rPr>
        <w:t>Joselyn</w:t>
      </w:r>
      <w:r>
        <w:rPr>
          <w:i/>
          <w:color w:val="252525"/>
          <w:spacing w:val="-2"/>
          <w:sz w:val="22"/>
        </w:rPr>
        <w:t> </w:t>
      </w:r>
      <w:r>
        <w:rPr>
          <w:i/>
          <w:color w:val="252525"/>
          <w:sz w:val="22"/>
        </w:rPr>
        <w:t>y</w:t>
      </w:r>
      <w:r>
        <w:rPr>
          <w:i/>
          <w:color w:val="252525"/>
          <w:spacing w:val="-4"/>
          <w:sz w:val="22"/>
        </w:rPr>
        <w:t> </w:t>
      </w:r>
      <w:r>
        <w:rPr>
          <w:i/>
          <w:color w:val="252525"/>
          <w:sz w:val="22"/>
        </w:rPr>
        <w:t>Baño</w:t>
      </w:r>
      <w:r>
        <w:rPr>
          <w:i/>
          <w:color w:val="252525"/>
          <w:spacing w:val="-5"/>
          <w:sz w:val="22"/>
        </w:rPr>
        <w:t> </w:t>
      </w:r>
      <w:r>
        <w:rPr>
          <w:i/>
          <w:color w:val="252525"/>
          <w:spacing w:val="-2"/>
          <w:sz w:val="22"/>
        </w:rPr>
        <w:t>Erick</w:t>
      </w:r>
    </w:p>
    <w:p>
      <w:pPr>
        <w:pStyle w:val="BodyText"/>
        <w:spacing w:before="3"/>
        <w:rPr>
          <w:i/>
          <w:sz w:val="22"/>
        </w:rPr>
      </w:pPr>
    </w:p>
    <w:p>
      <w:pPr>
        <w:pStyle w:val="Heading3"/>
        <w:numPr>
          <w:ilvl w:val="2"/>
          <w:numId w:val="8"/>
        </w:numPr>
        <w:tabs>
          <w:tab w:pos="1288" w:val="left" w:leader="none"/>
        </w:tabs>
        <w:spacing w:line="240" w:lineRule="auto" w:before="0" w:after="0"/>
        <w:ind w:left="1288" w:right="0" w:hanging="720"/>
        <w:jc w:val="left"/>
      </w:pPr>
      <w:bookmarkStart w:name="_bookmark33" w:id="35"/>
      <w:bookmarkEnd w:id="35"/>
      <w:r>
        <w:rPr>
          <w:b w:val="0"/>
        </w:rPr>
      </w:r>
      <w:r>
        <w:rPr>
          <w:color w:val="0D0D0D"/>
        </w:rPr>
        <w:t>Tipo</w:t>
      </w:r>
      <w:r>
        <w:rPr>
          <w:color w:val="0D0D0D"/>
          <w:spacing w:val="-4"/>
        </w:rPr>
        <w:t> </w:t>
      </w:r>
      <w:r>
        <w:rPr>
          <w:color w:val="0D0D0D"/>
        </w:rPr>
        <w:t>de</w:t>
      </w:r>
      <w:r>
        <w:rPr>
          <w:color w:val="0D0D0D"/>
          <w:spacing w:val="-4"/>
        </w:rPr>
        <w:t> </w:t>
      </w:r>
      <w:r>
        <w:rPr>
          <w:color w:val="0D0D0D"/>
        </w:rPr>
        <w:t>diseño</w:t>
      </w:r>
      <w:r>
        <w:rPr>
          <w:color w:val="0D0D0D"/>
          <w:spacing w:val="-3"/>
        </w:rPr>
        <w:t> </w:t>
      </w:r>
      <w:r>
        <w:rPr>
          <w:color w:val="0D0D0D"/>
          <w:spacing w:val="-2"/>
        </w:rPr>
        <w:t>experimental</w:t>
      </w:r>
    </w:p>
    <w:p>
      <w:pPr>
        <w:pStyle w:val="BodyText"/>
        <w:spacing w:before="241"/>
        <w:rPr>
          <w:b/>
        </w:rPr>
      </w:pPr>
    </w:p>
    <w:p>
      <w:pPr>
        <w:pStyle w:val="BodyText"/>
        <w:spacing w:line="480" w:lineRule="auto"/>
        <w:ind w:left="568" w:right="145"/>
        <w:jc w:val="both"/>
      </w:pPr>
      <w:r>
        <w:rPr>
          <w:color w:val="0D0D0D"/>
        </w:rPr>
        <w:t>En la presente investigación se desarrolló bajo un diseño completamente al azar, seleccionado</w:t>
      </w:r>
      <w:r>
        <w:rPr>
          <w:color w:val="0D0D0D"/>
          <w:spacing w:val="-4"/>
        </w:rPr>
        <w:t> </w:t>
      </w:r>
      <w:r>
        <w:rPr>
          <w:color w:val="0D0D0D"/>
        </w:rPr>
        <w:t>por</w:t>
      </w:r>
      <w:r>
        <w:rPr>
          <w:color w:val="0D0D0D"/>
          <w:spacing w:val="-4"/>
        </w:rPr>
        <w:t> </w:t>
      </w:r>
      <w:r>
        <w:rPr>
          <w:color w:val="0D0D0D"/>
        </w:rPr>
        <w:t>su</w:t>
      </w:r>
      <w:r>
        <w:rPr>
          <w:color w:val="0D0D0D"/>
          <w:spacing w:val="-4"/>
        </w:rPr>
        <w:t> </w:t>
      </w:r>
      <w:r>
        <w:rPr>
          <w:color w:val="0D0D0D"/>
        </w:rPr>
        <w:t>pertinencia</w:t>
      </w:r>
      <w:r>
        <w:rPr>
          <w:color w:val="0D0D0D"/>
          <w:spacing w:val="-3"/>
        </w:rPr>
        <w:t> </w:t>
      </w:r>
      <w:r>
        <w:rPr>
          <w:color w:val="0D0D0D"/>
        </w:rPr>
        <w:t>metodológica</w:t>
      </w:r>
      <w:r>
        <w:rPr>
          <w:color w:val="0D0D0D"/>
          <w:spacing w:val="-3"/>
        </w:rPr>
        <w:t> </w:t>
      </w:r>
      <w:r>
        <w:rPr>
          <w:color w:val="0D0D0D"/>
        </w:rPr>
        <w:t>para</w:t>
      </w:r>
      <w:r>
        <w:rPr>
          <w:color w:val="0D0D0D"/>
          <w:spacing w:val="-3"/>
        </w:rPr>
        <w:t> </w:t>
      </w:r>
      <w:r>
        <w:rPr>
          <w:color w:val="0D0D0D"/>
        </w:rPr>
        <w:t>la</w:t>
      </w:r>
      <w:r>
        <w:rPr>
          <w:color w:val="0D0D0D"/>
          <w:spacing w:val="-3"/>
        </w:rPr>
        <w:t> </w:t>
      </w:r>
      <w:r>
        <w:rPr>
          <w:color w:val="0D0D0D"/>
        </w:rPr>
        <w:t>comparación</w:t>
      </w:r>
      <w:r>
        <w:rPr>
          <w:color w:val="0D0D0D"/>
          <w:spacing w:val="-4"/>
        </w:rPr>
        <w:t> </w:t>
      </w:r>
      <w:r>
        <w:rPr>
          <w:color w:val="0D0D0D"/>
        </w:rPr>
        <w:t>de</w:t>
      </w:r>
      <w:r>
        <w:rPr>
          <w:color w:val="0D0D0D"/>
          <w:spacing w:val="-3"/>
        </w:rPr>
        <w:t> </w:t>
      </w:r>
      <w:r>
        <w:rPr>
          <w:color w:val="0D0D0D"/>
        </w:rPr>
        <w:t>tratamientos en unidades experimentales independientes sometidas a condiciones clínicas previamente estandarizadas.</w:t>
      </w:r>
    </w:p>
    <w:p>
      <w:pPr>
        <w:pStyle w:val="BodyText"/>
        <w:spacing w:after="0" w:line="480" w:lineRule="auto"/>
        <w:jc w:val="both"/>
        <w:sectPr>
          <w:type w:val="continuous"/>
          <w:pgSz w:w="11910" w:h="16840"/>
          <w:pgMar w:header="0" w:footer="1038" w:top="1920" w:bottom="280" w:left="1700" w:right="1559"/>
        </w:sectPr>
      </w:pPr>
    </w:p>
    <w:p>
      <w:pPr>
        <w:pStyle w:val="Heading3"/>
        <w:numPr>
          <w:ilvl w:val="2"/>
          <w:numId w:val="8"/>
        </w:numPr>
        <w:tabs>
          <w:tab w:pos="1288" w:val="left" w:leader="none"/>
        </w:tabs>
        <w:spacing w:line="240" w:lineRule="auto" w:before="64" w:after="0"/>
        <w:ind w:left="1288" w:right="0" w:hanging="720"/>
        <w:jc w:val="left"/>
      </w:pPr>
      <w:r>
        <w:rPr>
          <w:color w:val="0D0D0D"/>
        </w:rPr>
        <w:t>Manejo</w:t>
      </w:r>
      <w:r>
        <w:rPr>
          <w:color w:val="0D0D0D"/>
          <w:spacing w:val="-1"/>
        </w:rPr>
        <w:t> </w:t>
      </w:r>
      <w:r>
        <w:rPr>
          <w:color w:val="0D0D0D"/>
        </w:rPr>
        <w:t>de la</w:t>
      </w:r>
      <w:r>
        <w:rPr>
          <w:color w:val="0D0D0D"/>
          <w:spacing w:val="1"/>
        </w:rPr>
        <w:t> </w:t>
      </w:r>
      <w:r>
        <w:rPr>
          <w:color w:val="0D0D0D"/>
          <w:spacing w:val="-2"/>
        </w:rPr>
        <w:t>investigación</w:t>
      </w:r>
    </w:p>
    <w:p>
      <w:pPr>
        <w:pStyle w:val="BodyText"/>
        <w:spacing w:before="240"/>
        <w:rPr>
          <w:b/>
        </w:rPr>
      </w:pPr>
    </w:p>
    <w:p>
      <w:pPr>
        <w:pStyle w:val="BodyText"/>
        <w:spacing w:line="480" w:lineRule="auto"/>
        <w:ind w:left="568" w:right="142"/>
        <w:jc w:val="both"/>
      </w:pPr>
      <w:r>
        <w:rPr/>
        <w:t>En la presente investigación se seleccionó aleatoriamente a 30 caninos que acudieron a consulta, con el fin de verificar el cumplimiento de los criterios de inclusión establecidos (edad entre 1 y 7 años). Los pacientes seleccionados fueron trasladados al área prequirúrgica para su preparación.</w:t>
      </w:r>
    </w:p>
    <w:p>
      <w:pPr>
        <w:pStyle w:val="BodyText"/>
        <w:spacing w:line="480" w:lineRule="auto" w:before="241"/>
        <w:ind w:left="568" w:right="147"/>
        <w:jc w:val="both"/>
      </w:pPr>
      <w:r>
        <w:rPr>
          <w:color w:val="0D0D0D"/>
        </w:rPr>
        <w:t>Los 30 caninos incluidos en el estudio fueron distribuidos de manera aleatoria en dos grupos experimentales de 15 caninos cada uno, a partir de la inclusión de machos</w:t>
      </w:r>
      <w:r>
        <w:rPr>
          <w:color w:val="0D0D0D"/>
          <w:spacing w:val="-10"/>
        </w:rPr>
        <w:t> </w:t>
      </w:r>
      <w:r>
        <w:rPr>
          <w:color w:val="0D0D0D"/>
        </w:rPr>
        <w:t>y</w:t>
      </w:r>
      <w:r>
        <w:rPr>
          <w:color w:val="0D0D0D"/>
          <w:spacing w:val="-6"/>
        </w:rPr>
        <w:t> </w:t>
      </w:r>
      <w:r>
        <w:rPr>
          <w:color w:val="0D0D0D"/>
        </w:rPr>
        <w:t>hembras.</w:t>
      </w:r>
      <w:r>
        <w:rPr>
          <w:color w:val="0D0D0D"/>
          <w:spacing w:val="-6"/>
        </w:rPr>
        <w:t> </w:t>
      </w:r>
      <w:r>
        <w:rPr>
          <w:color w:val="0D0D0D"/>
        </w:rPr>
        <w:t>La</w:t>
      </w:r>
      <w:r>
        <w:rPr>
          <w:color w:val="0D0D0D"/>
          <w:spacing w:val="-4"/>
        </w:rPr>
        <w:t> </w:t>
      </w:r>
      <w:r>
        <w:rPr>
          <w:color w:val="0D0D0D"/>
        </w:rPr>
        <w:t>asignación</w:t>
      </w:r>
      <w:r>
        <w:rPr>
          <w:color w:val="0D0D0D"/>
          <w:spacing w:val="-7"/>
        </w:rPr>
        <w:t> </w:t>
      </w:r>
      <w:r>
        <w:rPr>
          <w:color w:val="0D0D0D"/>
        </w:rPr>
        <w:t>se</w:t>
      </w:r>
      <w:r>
        <w:rPr>
          <w:color w:val="0D0D0D"/>
          <w:spacing w:val="-8"/>
        </w:rPr>
        <w:t> </w:t>
      </w:r>
      <w:r>
        <w:rPr>
          <w:color w:val="0D0D0D"/>
        </w:rPr>
        <w:t>efectuó</w:t>
      </w:r>
      <w:r>
        <w:rPr>
          <w:color w:val="0D0D0D"/>
          <w:spacing w:val="-6"/>
        </w:rPr>
        <w:t> </w:t>
      </w:r>
      <w:r>
        <w:rPr>
          <w:color w:val="0D0D0D"/>
        </w:rPr>
        <w:t>en</w:t>
      </w:r>
      <w:r>
        <w:rPr>
          <w:color w:val="0D0D0D"/>
          <w:spacing w:val="-6"/>
        </w:rPr>
        <w:t> </w:t>
      </w:r>
      <w:r>
        <w:rPr>
          <w:color w:val="0D0D0D"/>
        </w:rPr>
        <w:t>función</w:t>
      </w:r>
      <w:r>
        <w:rPr>
          <w:color w:val="0D0D0D"/>
          <w:spacing w:val="-10"/>
        </w:rPr>
        <w:t> </w:t>
      </w:r>
      <w:r>
        <w:rPr>
          <w:color w:val="0D0D0D"/>
        </w:rPr>
        <w:t>de</w:t>
      </w:r>
      <w:r>
        <w:rPr>
          <w:color w:val="0D0D0D"/>
          <w:spacing w:val="-5"/>
        </w:rPr>
        <w:t> </w:t>
      </w:r>
      <w:r>
        <w:rPr>
          <w:color w:val="0D0D0D"/>
        </w:rPr>
        <w:t>la</w:t>
      </w:r>
      <w:r>
        <w:rPr>
          <w:color w:val="0D0D0D"/>
          <w:spacing w:val="-4"/>
        </w:rPr>
        <w:t> </w:t>
      </w:r>
      <w:r>
        <w:rPr>
          <w:color w:val="0D0D0D"/>
        </w:rPr>
        <w:t>vía</w:t>
      </w:r>
      <w:r>
        <w:rPr>
          <w:color w:val="0D0D0D"/>
          <w:spacing w:val="-4"/>
        </w:rPr>
        <w:t> </w:t>
      </w:r>
      <w:r>
        <w:rPr>
          <w:color w:val="0D0D0D"/>
        </w:rPr>
        <w:t>de</w:t>
      </w:r>
      <w:r>
        <w:rPr>
          <w:color w:val="0D0D0D"/>
          <w:spacing w:val="-8"/>
        </w:rPr>
        <w:t> </w:t>
      </w:r>
      <w:r>
        <w:rPr>
          <w:color w:val="0D0D0D"/>
          <w:spacing w:val="-2"/>
        </w:rPr>
        <w:t>administración</w:t>
      </w:r>
    </w:p>
    <w:p>
      <w:pPr>
        <w:pStyle w:val="BodyText"/>
        <w:spacing w:line="688" w:lineRule="auto" w:before="241"/>
        <w:ind w:left="568" w:right="2200"/>
        <w:jc w:val="both"/>
      </w:pPr>
      <w:r>
        <w:rPr>
          <w:color w:val="0D0D0D"/>
        </w:rPr>
        <w:t>Grupo</w:t>
      </w:r>
      <w:r>
        <w:rPr>
          <w:color w:val="0D0D0D"/>
          <w:spacing w:val="-3"/>
        </w:rPr>
        <w:t> </w:t>
      </w:r>
      <w:r>
        <w:rPr>
          <w:color w:val="0D0D0D"/>
        </w:rPr>
        <w:t>1</w:t>
      </w:r>
      <w:r>
        <w:rPr>
          <w:color w:val="0D0D0D"/>
          <w:spacing w:val="-3"/>
        </w:rPr>
        <w:t> </w:t>
      </w:r>
      <w:r>
        <w:rPr>
          <w:color w:val="0D0D0D"/>
        </w:rPr>
        <w:t>se</w:t>
      </w:r>
      <w:r>
        <w:rPr>
          <w:color w:val="0D0D0D"/>
          <w:spacing w:val="-2"/>
        </w:rPr>
        <w:t> </w:t>
      </w:r>
      <w:r>
        <w:rPr>
          <w:color w:val="0D0D0D"/>
        </w:rPr>
        <w:t>colocó</w:t>
      </w:r>
      <w:r>
        <w:rPr>
          <w:color w:val="0D0D0D"/>
          <w:spacing w:val="-2"/>
        </w:rPr>
        <w:t> </w:t>
      </w:r>
      <w:r>
        <w:rPr>
          <w:color w:val="0D0D0D"/>
        </w:rPr>
        <w:t>de</w:t>
      </w:r>
      <w:r>
        <w:rPr>
          <w:color w:val="0D0D0D"/>
          <w:spacing w:val="-2"/>
        </w:rPr>
        <w:t> </w:t>
      </w:r>
      <w:r>
        <w:rPr>
          <w:color w:val="0D0D0D"/>
        </w:rPr>
        <w:t>5</w:t>
      </w:r>
      <w:r>
        <w:rPr>
          <w:color w:val="0D0D0D"/>
          <w:spacing w:val="-7"/>
        </w:rPr>
        <w:t> </w:t>
      </w:r>
      <w:r>
        <w:rPr>
          <w:color w:val="0D0D0D"/>
        </w:rPr>
        <w:t>a</w:t>
      </w:r>
      <w:r>
        <w:rPr>
          <w:color w:val="0D0D0D"/>
          <w:spacing w:val="-2"/>
        </w:rPr>
        <w:t> </w:t>
      </w:r>
      <w:r>
        <w:rPr>
          <w:color w:val="0D0D0D"/>
        </w:rPr>
        <w:t>8</w:t>
      </w:r>
      <w:r>
        <w:rPr>
          <w:color w:val="0D0D0D"/>
          <w:spacing w:val="-3"/>
        </w:rPr>
        <w:t> </w:t>
      </w:r>
      <w:r>
        <w:rPr>
          <w:color w:val="0D0D0D"/>
        </w:rPr>
        <w:t>µg/kg</w:t>
      </w:r>
      <w:r>
        <w:rPr>
          <w:color w:val="0D0D0D"/>
          <w:spacing w:val="-3"/>
        </w:rPr>
        <w:t> </w:t>
      </w:r>
      <w:r>
        <w:rPr>
          <w:color w:val="0D0D0D"/>
        </w:rPr>
        <w:t>por</w:t>
      </w:r>
      <w:r>
        <w:rPr>
          <w:color w:val="0D0D0D"/>
          <w:spacing w:val="-3"/>
        </w:rPr>
        <w:t> </w:t>
      </w:r>
      <w:r>
        <w:rPr>
          <w:color w:val="0D0D0D"/>
        </w:rPr>
        <w:t>vía</w:t>
      </w:r>
      <w:r>
        <w:rPr>
          <w:color w:val="0D0D0D"/>
          <w:spacing w:val="-2"/>
        </w:rPr>
        <w:t> </w:t>
      </w:r>
      <w:r>
        <w:rPr>
          <w:color w:val="0D0D0D"/>
        </w:rPr>
        <w:t>intramuscular</w:t>
      </w:r>
      <w:r>
        <w:rPr>
          <w:color w:val="0D0D0D"/>
          <w:spacing w:val="-3"/>
        </w:rPr>
        <w:t> </w:t>
      </w:r>
      <w:r>
        <w:rPr>
          <w:color w:val="0D0D0D"/>
        </w:rPr>
        <w:t>(IM). Grupo 2 se colocó de 0.5</w:t>
      </w:r>
      <w:r>
        <w:rPr>
          <w:color w:val="0D0D0D"/>
          <w:spacing w:val="-3"/>
        </w:rPr>
        <w:t> </w:t>
      </w:r>
      <w:r>
        <w:rPr>
          <w:color w:val="0D0D0D"/>
        </w:rPr>
        <w:t>a 1 µg/kg por vía intravenosa (IV).</w:t>
      </w:r>
    </w:p>
    <w:p>
      <w:pPr>
        <w:pStyle w:val="BodyText"/>
        <w:spacing w:line="480" w:lineRule="auto"/>
        <w:ind w:left="568" w:right="136"/>
        <w:jc w:val="both"/>
      </w:pPr>
      <w:r>
        <w:rPr>
          <w:color w:val="0D0D0D"/>
        </w:rPr>
        <w:t>Se</w:t>
      </w:r>
      <w:r>
        <w:rPr>
          <w:color w:val="0D0D0D"/>
          <w:spacing w:val="-10"/>
        </w:rPr>
        <w:t> </w:t>
      </w:r>
      <w:r>
        <w:rPr>
          <w:color w:val="0D0D0D"/>
        </w:rPr>
        <w:t>le</w:t>
      </w:r>
      <w:r>
        <w:rPr>
          <w:color w:val="0D0D0D"/>
          <w:spacing w:val="-11"/>
        </w:rPr>
        <w:t> </w:t>
      </w:r>
      <w:r>
        <w:rPr>
          <w:color w:val="0D0D0D"/>
        </w:rPr>
        <w:t>administró</w:t>
      </w:r>
      <w:r>
        <w:rPr>
          <w:color w:val="0D0D0D"/>
          <w:spacing w:val="-10"/>
        </w:rPr>
        <w:t> </w:t>
      </w:r>
      <w:r>
        <w:rPr>
          <w:color w:val="0D0D0D"/>
        </w:rPr>
        <w:t>a</w:t>
      </w:r>
      <w:r>
        <w:rPr>
          <w:color w:val="0D0D0D"/>
          <w:spacing w:val="-11"/>
        </w:rPr>
        <w:t> </w:t>
      </w:r>
      <w:r>
        <w:rPr>
          <w:color w:val="0D0D0D"/>
        </w:rPr>
        <w:t>cada</w:t>
      </w:r>
      <w:r>
        <w:rPr>
          <w:color w:val="0D0D0D"/>
          <w:spacing w:val="-11"/>
        </w:rPr>
        <w:t> </w:t>
      </w:r>
      <w:r>
        <w:rPr>
          <w:color w:val="0D0D0D"/>
        </w:rPr>
        <w:t>paciente</w:t>
      </w:r>
      <w:r>
        <w:rPr>
          <w:color w:val="0D0D0D"/>
          <w:spacing w:val="-9"/>
        </w:rPr>
        <w:t> </w:t>
      </w:r>
      <w:r>
        <w:rPr>
          <w:color w:val="0D0D0D"/>
        </w:rPr>
        <w:t>la</w:t>
      </w:r>
      <w:r>
        <w:rPr>
          <w:color w:val="0D0D0D"/>
          <w:spacing w:val="-11"/>
        </w:rPr>
        <w:t> </w:t>
      </w:r>
      <w:r>
        <w:rPr>
          <w:color w:val="0D0D0D"/>
        </w:rPr>
        <w:t>premedicación</w:t>
      </w:r>
      <w:r>
        <w:rPr>
          <w:color w:val="0D0D0D"/>
          <w:spacing w:val="-12"/>
        </w:rPr>
        <w:t> </w:t>
      </w:r>
      <w:r>
        <w:rPr>
          <w:color w:val="0D0D0D"/>
        </w:rPr>
        <w:t>anestésica</w:t>
      </w:r>
      <w:r>
        <w:rPr>
          <w:color w:val="0D0D0D"/>
          <w:spacing w:val="-14"/>
        </w:rPr>
        <w:t> </w:t>
      </w:r>
      <w:r>
        <w:rPr>
          <w:color w:val="0D0D0D"/>
        </w:rPr>
        <w:t>con</w:t>
      </w:r>
      <w:r>
        <w:rPr>
          <w:color w:val="0D0D0D"/>
          <w:spacing w:val="-12"/>
        </w:rPr>
        <w:t> </w:t>
      </w:r>
      <w:r>
        <w:rPr>
          <w:color w:val="0D0D0D"/>
        </w:rPr>
        <w:t>dexmedetomidina de acuerdo con el grupo correspondiente en combinación con los siguientes fármacos</w:t>
      </w:r>
      <w:r>
        <w:rPr>
          <w:color w:val="0D0D0D"/>
          <w:spacing w:val="-9"/>
        </w:rPr>
        <w:t> </w:t>
      </w:r>
      <w:r>
        <w:rPr>
          <w:color w:val="0D0D0D"/>
        </w:rPr>
        <w:t>por</w:t>
      </w:r>
      <w:r>
        <w:rPr>
          <w:color w:val="0D0D0D"/>
          <w:spacing w:val="-4"/>
        </w:rPr>
        <w:t> </w:t>
      </w:r>
      <w:r>
        <w:rPr>
          <w:color w:val="0D0D0D"/>
        </w:rPr>
        <w:t>vía</w:t>
      </w:r>
      <w:r>
        <w:rPr>
          <w:color w:val="0D0D0D"/>
          <w:spacing w:val="-3"/>
        </w:rPr>
        <w:t> </w:t>
      </w:r>
      <w:r>
        <w:rPr>
          <w:color w:val="0D0D0D"/>
        </w:rPr>
        <w:t>intravenosa</w:t>
      </w:r>
      <w:r>
        <w:rPr>
          <w:color w:val="0D0D0D"/>
          <w:spacing w:val="-7"/>
        </w:rPr>
        <w:t> </w:t>
      </w:r>
      <w:r>
        <w:rPr>
          <w:color w:val="0D0D0D"/>
        </w:rPr>
        <w:t>(IV), ketamina</w:t>
      </w:r>
      <w:r>
        <w:rPr>
          <w:color w:val="0D0D0D"/>
          <w:spacing w:val="-3"/>
        </w:rPr>
        <w:t> </w:t>
      </w:r>
      <w:r>
        <w:rPr>
          <w:color w:val="0D0D0D"/>
        </w:rPr>
        <w:t>a</w:t>
      </w:r>
      <w:r>
        <w:rPr>
          <w:color w:val="0D0D0D"/>
          <w:spacing w:val="-7"/>
        </w:rPr>
        <w:t> </w:t>
      </w:r>
      <w:r>
        <w:rPr/>
        <w:t>2</w:t>
      </w:r>
      <w:r>
        <w:rPr>
          <w:spacing w:val="-4"/>
        </w:rPr>
        <w:t> </w:t>
      </w:r>
      <w:r>
        <w:rPr/>
        <w:t>mg/kg</w:t>
      </w:r>
      <w:r>
        <w:rPr>
          <w:color w:val="0D0D0D"/>
        </w:rPr>
        <w:t>,</w:t>
      </w:r>
      <w:r>
        <w:rPr>
          <w:color w:val="0D0D0D"/>
          <w:spacing w:val="-4"/>
        </w:rPr>
        <w:t> </w:t>
      </w:r>
      <w:r>
        <w:rPr>
          <w:color w:val="0D0D0D"/>
        </w:rPr>
        <w:t>midazolam</w:t>
      </w:r>
      <w:r>
        <w:rPr>
          <w:color w:val="0D0D0D"/>
          <w:spacing w:val="-5"/>
        </w:rPr>
        <w:t> </w:t>
      </w:r>
      <w:r>
        <w:rPr>
          <w:color w:val="0D0D0D"/>
        </w:rPr>
        <w:t>a</w:t>
      </w:r>
      <w:r>
        <w:rPr>
          <w:color w:val="0D0D0D"/>
          <w:spacing w:val="-7"/>
        </w:rPr>
        <w:t> </w:t>
      </w:r>
      <w:r>
        <w:rPr/>
        <w:t>0,25</w:t>
      </w:r>
      <w:r>
        <w:rPr>
          <w:spacing w:val="-4"/>
        </w:rPr>
        <w:t> </w:t>
      </w:r>
      <w:r>
        <w:rPr/>
        <w:t>mg/kg</w:t>
      </w:r>
      <w:r>
        <w:rPr>
          <w:spacing w:val="-4"/>
        </w:rPr>
        <w:t> </w:t>
      </w:r>
      <w:r>
        <w:rPr>
          <w:color w:val="0D0D0D"/>
        </w:rPr>
        <w:t>y ampicilina a </w:t>
      </w:r>
      <w:r>
        <w:rPr/>
        <w:t>20 mg/kg</w:t>
      </w:r>
      <w:r>
        <w:rPr>
          <w:color w:val="0D0D0D"/>
        </w:rPr>
        <w:t>. Consecutivamente se realizó la inducción anestésica con Propofol,</w:t>
      </w:r>
      <w:r>
        <w:rPr>
          <w:color w:val="0D0D0D"/>
          <w:spacing w:val="-2"/>
        </w:rPr>
        <w:t> </w:t>
      </w:r>
      <w:r>
        <w:rPr>
          <w:color w:val="0D0D0D"/>
        </w:rPr>
        <w:t>seguida</w:t>
      </w:r>
      <w:r>
        <w:rPr>
          <w:color w:val="0D0D0D"/>
          <w:spacing w:val="-1"/>
        </w:rPr>
        <w:t> </w:t>
      </w:r>
      <w:r>
        <w:rPr>
          <w:color w:val="0D0D0D"/>
        </w:rPr>
        <w:t>de</w:t>
      </w:r>
      <w:r>
        <w:rPr>
          <w:color w:val="0D0D0D"/>
          <w:spacing w:val="-4"/>
        </w:rPr>
        <w:t> </w:t>
      </w:r>
      <w:r>
        <w:rPr>
          <w:color w:val="0D0D0D"/>
        </w:rPr>
        <w:t>la</w:t>
      </w:r>
      <w:r>
        <w:rPr>
          <w:color w:val="0D0D0D"/>
          <w:spacing w:val="-5"/>
        </w:rPr>
        <w:t> </w:t>
      </w:r>
      <w:r>
        <w:rPr>
          <w:color w:val="0D0D0D"/>
        </w:rPr>
        <w:t>intubación</w:t>
      </w:r>
      <w:r>
        <w:rPr>
          <w:color w:val="0D0D0D"/>
          <w:spacing w:val="-7"/>
        </w:rPr>
        <w:t> </w:t>
      </w:r>
      <w:r>
        <w:rPr>
          <w:color w:val="0D0D0D"/>
        </w:rPr>
        <w:t>endotraqueal</w:t>
      </w:r>
      <w:r>
        <w:rPr>
          <w:color w:val="0D0D0D"/>
          <w:spacing w:val="-1"/>
        </w:rPr>
        <w:t> </w:t>
      </w:r>
      <w:r>
        <w:rPr>
          <w:color w:val="0D0D0D"/>
        </w:rPr>
        <w:t>y</w:t>
      </w:r>
      <w:r>
        <w:rPr>
          <w:color w:val="0D0D0D"/>
          <w:spacing w:val="-7"/>
        </w:rPr>
        <w:t> </w:t>
      </w:r>
      <w:r>
        <w:rPr>
          <w:color w:val="0D0D0D"/>
        </w:rPr>
        <w:t>el</w:t>
      </w:r>
      <w:r>
        <w:rPr>
          <w:color w:val="0D0D0D"/>
          <w:spacing w:val="-6"/>
        </w:rPr>
        <w:t> </w:t>
      </w:r>
      <w:r>
        <w:rPr>
          <w:color w:val="0D0D0D"/>
        </w:rPr>
        <w:t>mantenimiento</w:t>
      </w:r>
      <w:r>
        <w:rPr>
          <w:color w:val="0D0D0D"/>
          <w:spacing w:val="-7"/>
        </w:rPr>
        <w:t> </w:t>
      </w:r>
      <w:r>
        <w:rPr>
          <w:color w:val="0D0D0D"/>
        </w:rPr>
        <w:t>de</w:t>
      </w:r>
      <w:r>
        <w:rPr>
          <w:color w:val="0D0D0D"/>
          <w:spacing w:val="-1"/>
        </w:rPr>
        <w:t> </w:t>
      </w:r>
      <w:r>
        <w:rPr>
          <w:color w:val="0D0D0D"/>
        </w:rPr>
        <w:t>la</w:t>
      </w:r>
      <w:r>
        <w:rPr>
          <w:color w:val="0D0D0D"/>
          <w:spacing w:val="-1"/>
        </w:rPr>
        <w:t> </w:t>
      </w:r>
      <w:r>
        <w:rPr>
          <w:color w:val="0D0D0D"/>
        </w:rPr>
        <w:t>anestesia general mediante sevoflurano, bajo monitorización multiparamétrica continua.</w:t>
      </w:r>
    </w:p>
    <w:p>
      <w:pPr>
        <w:pStyle w:val="BodyText"/>
        <w:spacing w:line="480" w:lineRule="auto" w:before="241"/>
        <w:ind w:left="568" w:right="137"/>
        <w:jc w:val="both"/>
      </w:pPr>
      <w:r>
        <w:rPr>
          <w:color w:val="0D0D0D"/>
        </w:rPr>
        <w:t>Los machos fueron sometidos a una orquiectomía mientras que en las hembras se aplicó</w:t>
      </w:r>
      <w:r>
        <w:rPr>
          <w:color w:val="0D0D0D"/>
          <w:spacing w:val="-14"/>
        </w:rPr>
        <w:t> </w:t>
      </w:r>
      <w:r>
        <w:rPr>
          <w:color w:val="0D0D0D"/>
        </w:rPr>
        <w:t>una</w:t>
      </w:r>
      <w:r>
        <w:rPr>
          <w:color w:val="0D0D0D"/>
          <w:spacing w:val="-14"/>
        </w:rPr>
        <w:t> </w:t>
      </w:r>
      <w:r>
        <w:rPr>
          <w:color w:val="0D0D0D"/>
        </w:rPr>
        <w:t>ovariohisterectomía.</w:t>
      </w:r>
      <w:r>
        <w:rPr>
          <w:color w:val="0D0D0D"/>
          <w:spacing w:val="-13"/>
        </w:rPr>
        <w:t> </w:t>
      </w:r>
      <w:r>
        <w:rPr>
          <w:color w:val="0D0D0D"/>
        </w:rPr>
        <w:t>La</w:t>
      </w:r>
      <w:r>
        <w:rPr>
          <w:color w:val="0D0D0D"/>
          <w:spacing w:val="-14"/>
        </w:rPr>
        <w:t> </w:t>
      </w:r>
      <w:r>
        <w:rPr>
          <w:color w:val="0D0D0D"/>
        </w:rPr>
        <w:t>recuperación</w:t>
      </w:r>
      <w:r>
        <w:rPr>
          <w:color w:val="0D0D0D"/>
          <w:spacing w:val="-15"/>
        </w:rPr>
        <w:t> </w:t>
      </w:r>
      <w:r>
        <w:rPr>
          <w:color w:val="0D0D0D"/>
        </w:rPr>
        <w:t>anestésica</w:t>
      </w:r>
      <w:r>
        <w:rPr>
          <w:color w:val="0D0D0D"/>
          <w:spacing w:val="-11"/>
        </w:rPr>
        <w:t> </w:t>
      </w:r>
      <w:r>
        <w:rPr>
          <w:color w:val="0D0D0D"/>
        </w:rPr>
        <w:t>inició</w:t>
      </w:r>
      <w:r>
        <w:rPr>
          <w:color w:val="0D0D0D"/>
          <w:spacing w:val="-15"/>
        </w:rPr>
        <w:t> </w:t>
      </w:r>
      <w:r>
        <w:rPr>
          <w:color w:val="0D0D0D"/>
        </w:rPr>
        <w:t>con</w:t>
      </w:r>
      <w:r>
        <w:rPr>
          <w:color w:val="0D0D0D"/>
          <w:spacing w:val="-15"/>
        </w:rPr>
        <w:t> </w:t>
      </w:r>
      <w:r>
        <w:rPr>
          <w:color w:val="0D0D0D"/>
        </w:rPr>
        <w:t>la</w:t>
      </w:r>
      <w:r>
        <w:rPr>
          <w:color w:val="0D0D0D"/>
          <w:spacing w:val="-10"/>
        </w:rPr>
        <w:t> </w:t>
      </w:r>
      <w:r>
        <w:rPr>
          <w:color w:val="0D0D0D"/>
        </w:rPr>
        <w:t>suspensión de manera progresiva del agente inhalatorio sevoflurano, una vez concluido el procedimiento quirúrgico, después los caninos fueron extubados cuando recuperaron la ventilación espontánea</w:t>
      </w:r>
      <w:r>
        <w:rPr>
          <w:color w:val="0D0D0D"/>
          <w:spacing w:val="-2"/>
        </w:rPr>
        <w:t> </w:t>
      </w:r>
      <w:r>
        <w:rPr>
          <w:color w:val="0D0D0D"/>
        </w:rPr>
        <w:t>adecuada y los</w:t>
      </w:r>
      <w:r>
        <w:rPr>
          <w:color w:val="0D0D0D"/>
          <w:spacing w:val="-1"/>
        </w:rPr>
        <w:t> </w:t>
      </w:r>
      <w:r>
        <w:rPr>
          <w:color w:val="0D0D0D"/>
        </w:rPr>
        <w:t>reflejos</w:t>
      </w:r>
      <w:r>
        <w:rPr>
          <w:color w:val="0D0D0D"/>
          <w:spacing w:val="-1"/>
        </w:rPr>
        <w:t> </w:t>
      </w:r>
      <w:r>
        <w:rPr>
          <w:color w:val="0D0D0D"/>
        </w:rPr>
        <w:t>protectores</w:t>
      </w:r>
      <w:r>
        <w:rPr>
          <w:color w:val="0D0D0D"/>
          <w:spacing w:val="-1"/>
        </w:rPr>
        <w:t> </w:t>
      </w:r>
      <w:r>
        <w:rPr>
          <w:color w:val="0D0D0D"/>
        </w:rPr>
        <w:t>de la vía aérea, siendo trasladados al área de recuperación para su observación continua.</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7"/>
        <w:jc w:val="both"/>
      </w:pPr>
      <w:r>
        <w:rPr>
          <w:color w:val="0D0D0D"/>
        </w:rPr>
        <w:t>Se</w:t>
      </w:r>
      <w:r>
        <w:rPr>
          <w:color w:val="0D0D0D"/>
          <w:spacing w:val="-15"/>
        </w:rPr>
        <w:t> </w:t>
      </w:r>
      <w:r>
        <w:rPr>
          <w:color w:val="0D0D0D"/>
        </w:rPr>
        <w:t>administró</w:t>
      </w:r>
      <w:r>
        <w:rPr>
          <w:color w:val="0D0D0D"/>
          <w:spacing w:val="-14"/>
        </w:rPr>
        <w:t> </w:t>
      </w:r>
      <w:r>
        <w:rPr>
          <w:color w:val="0D0D0D"/>
        </w:rPr>
        <w:t>meloxicam</w:t>
      </w:r>
      <w:r>
        <w:rPr>
          <w:color w:val="0D0D0D"/>
          <w:spacing w:val="-13"/>
        </w:rPr>
        <w:t> </w:t>
      </w:r>
      <w:r>
        <w:rPr>
          <w:color w:val="0D0D0D"/>
        </w:rPr>
        <w:t>por</w:t>
      </w:r>
      <w:r>
        <w:rPr>
          <w:color w:val="0D0D0D"/>
          <w:spacing w:val="-14"/>
        </w:rPr>
        <w:t> </w:t>
      </w:r>
      <w:r>
        <w:rPr>
          <w:color w:val="0D0D0D"/>
        </w:rPr>
        <w:t>vía</w:t>
      </w:r>
      <w:r>
        <w:rPr>
          <w:color w:val="0D0D0D"/>
          <w:spacing w:val="-13"/>
        </w:rPr>
        <w:t> </w:t>
      </w:r>
      <w:r>
        <w:rPr>
          <w:color w:val="0D0D0D"/>
        </w:rPr>
        <w:t>intravenosa</w:t>
      </w:r>
      <w:r>
        <w:rPr>
          <w:color w:val="0D0D0D"/>
          <w:spacing w:val="-13"/>
        </w:rPr>
        <w:t> </w:t>
      </w:r>
      <w:r>
        <w:rPr>
          <w:color w:val="0D0D0D"/>
        </w:rPr>
        <w:t>a</w:t>
      </w:r>
      <w:r>
        <w:rPr>
          <w:color w:val="0D0D0D"/>
          <w:spacing w:val="-13"/>
        </w:rPr>
        <w:t> </w:t>
      </w:r>
      <w:r>
        <w:rPr>
          <w:color w:val="0D0D0D"/>
        </w:rPr>
        <w:t>todos</w:t>
      </w:r>
      <w:r>
        <w:rPr>
          <w:color w:val="0D0D0D"/>
          <w:spacing w:val="-15"/>
        </w:rPr>
        <w:t> </w:t>
      </w:r>
      <w:r>
        <w:rPr>
          <w:color w:val="0D0D0D"/>
        </w:rPr>
        <w:t>los</w:t>
      </w:r>
      <w:r>
        <w:rPr>
          <w:color w:val="0D0D0D"/>
          <w:spacing w:val="-15"/>
        </w:rPr>
        <w:t> </w:t>
      </w:r>
      <w:r>
        <w:rPr>
          <w:color w:val="0D0D0D"/>
        </w:rPr>
        <w:t>pacientes,</w:t>
      </w:r>
      <w:r>
        <w:rPr>
          <w:color w:val="0D0D0D"/>
          <w:spacing w:val="-14"/>
        </w:rPr>
        <w:t> </w:t>
      </w:r>
      <w:r>
        <w:rPr>
          <w:color w:val="0D0D0D"/>
        </w:rPr>
        <w:t>inmediatamente después</w:t>
      </w:r>
      <w:r>
        <w:rPr>
          <w:color w:val="0D0D0D"/>
          <w:spacing w:val="-5"/>
        </w:rPr>
        <w:t> </w:t>
      </w:r>
      <w:r>
        <w:rPr>
          <w:color w:val="0D0D0D"/>
        </w:rPr>
        <w:t>del</w:t>
      </w:r>
      <w:r>
        <w:rPr>
          <w:color w:val="0D0D0D"/>
          <w:spacing w:val="-6"/>
        </w:rPr>
        <w:t> </w:t>
      </w:r>
      <w:r>
        <w:rPr>
          <w:color w:val="0D0D0D"/>
        </w:rPr>
        <w:t>inicio</w:t>
      </w:r>
      <w:r>
        <w:rPr>
          <w:color w:val="0D0D0D"/>
          <w:spacing w:val="-3"/>
        </w:rPr>
        <w:t> </w:t>
      </w:r>
      <w:r>
        <w:rPr>
          <w:color w:val="0D0D0D"/>
        </w:rPr>
        <w:t>de</w:t>
      </w:r>
      <w:r>
        <w:rPr>
          <w:color w:val="0D0D0D"/>
          <w:spacing w:val="-6"/>
        </w:rPr>
        <w:t> </w:t>
      </w:r>
      <w:r>
        <w:rPr>
          <w:color w:val="0D0D0D"/>
        </w:rPr>
        <w:t>la</w:t>
      </w:r>
      <w:r>
        <w:rPr>
          <w:color w:val="0D0D0D"/>
          <w:spacing w:val="-2"/>
        </w:rPr>
        <w:t> </w:t>
      </w:r>
      <w:r>
        <w:rPr>
          <w:color w:val="0D0D0D"/>
        </w:rPr>
        <w:t>recuperación</w:t>
      </w:r>
      <w:r>
        <w:rPr>
          <w:color w:val="0D0D0D"/>
          <w:spacing w:val="-3"/>
        </w:rPr>
        <w:t> </w:t>
      </w:r>
      <w:r>
        <w:rPr>
          <w:color w:val="0D0D0D"/>
        </w:rPr>
        <w:t>anestésica,</w:t>
      </w:r>
      <w:r>
        <w:rPr>
          <w:color w:val="0D0D0D"/>
          <w:spacing w:val="-8"/>
        </w:rPr>
        <w:t> </w:t>
      </w:r>
      <w:r>
        <w:rPr>
          <w:color w:val="0D0D0D"/>
        </w:rPr>
        <w:t>como</w:t>
      </w:r>
      <w:r>
        <w:rPr>
          <w:color w:val="0D0D0D"/>
          <w:spacing w:val="-8"/>
        </w:rPr>
        <w:t> </w:t>
      </w:r>
      <w:r>
        <w:rPr>
          <w:color w:val="0D0D0D"/>
        </w:rPr>
        <w:t>parte</w:t>
      </w:r>
      <w:r>
        <w:rPr>
          <w:color w:val="0D0D0D"/>
          <w:spacing w:val="-2"/>
        </w:rPr>
        <w:t> </w:t>
      </w:r>
      <w:r>
        <w:rPr>
          <w:color w:val="0D0D0D"/>
        </w:rPr>
        <w:t>del</w:t>
      </w:r>
      <w:r>
        <w:rPr>
          <w:color w:val="0D0D0D"/>
          <w:spacing w:val="-7"/>
        </w:rPr>
        <w:t> </w:t>
      </w:r>
      <w:r>
        <w:rPr>
          <w:color w:val="0D0D0D"/>
        </w:rPr>
        <w:t>manejo</w:t>
      </w:r>
      <w:r>
        <w:rPr>
          <w:color w:val="0D0D0D"/>
          <w:spacing w:val="-8"/>
        </w:rPr>
        <w:t> </w:t>
      </w:r>
      <w:r>
        <w:rPr>
          <w:color w:val="0D0D0D"/>
        </w:rPr>
        <w:t>analgésico posoperatorio. Finalizada la administración del fármaco, se realizó la monitorización clínica de los parámetros cardiovasculares, respiratorios, así como del nivel de conciencia, hasta que los pacientes alcanzaron una recuperación anestésica estable.</w:t>
      </w:r>
    </w:p>
    <w:p>
      <w:pPr>
        <w:pStyle w:val="BodyText"/>
        <w:spacing w:line="480" w:lineRule="auto" w:before="241"/>
        <w:ind w:left="568" w:right="140"/>
        <w:jc w:val="both"/>
      </w:pPr>
      <w:r>
        <w:rPr>
          <w:color w:val="0D0D0D"/>
        </w:rPr>
        <w:t>En el procedimiento se registró las constantes fisiológicas de frecuencia cardíaca (FC), presión arterial sistólica, diastólica y media (PAS, PAD, PAM), saturación </w:t>
      </w:r>
      <w:r>
        <w:rPr>
          <w:color w:val="0D0D0D"/>
          <w:position w:val="2"/>
        </w:rPr>
        <w:t>periférica de oxígeno (SpO</w:t>
      </w:r>
      <w:r>
        <w:rPr>
          <w:color w:val="0D0D0D"/>
          <w:sz w:val="16"/>
        </w:rPr>
        <w:t>2</w:t>
      </w:r>
      <w:r>
        <w:rPr>
          <w:color w:val="0D0D0D"/>
          <w:position w:val="2"/>
        </w:rPr>
        <w:t>, %), temperatura corporal (°C), tiempo de relleno </w:t>
      </w:r>
      <w:r>
        <w:rPr>
          <w:color w:val="0D0D0D"/>
        </w:rPr>
        <w:t>capilar,</w:t>
      </w:r>
      <w:r>
        <w:rPr>
          <w:color w:val="0D0D0D"/>
          <w:spacing w:val="-7"/>
        </w:rPr>
        <w:t> </w:t>
      </w:r>
      <w:r>
        <w:rPr>
          <w:color w:val="0D0D0D"/>
        </w:rPr>
        <w:t>así</w:t>
      </w:r>
      <w:r>
        <w:rPr>
          <w:color w:val="0D0D0D"/>
          <w:spacing w:val="-6"/>
        </w:rPr>
        <w:t> </w:t>
      </w:r>
      <w:r>
        <w:rPr>
          <w:color w:val="0D0D0D"/>
        </w:rPr>
        <w:t>como</w:t>
      </w:r>
      <w:r>
        <w:rPr>
          <w:color w:val="0D0D0D"/>
          <w:spacing w:val="-7"/>
        </w:rPr>
        <w:t> </w:t>
      </w:r>
      <w:r>
        <w:rPr>
          <w:color w:val="0D0D0D"/>
        </w:rPr>
        <w:t>también</w:t>
      </w:r>
      <w:r>
        <w:rPr>
          <w:color w:val="0D0D0D"/>
          <w:spacing w:val="-7"/>
        </w:rPr>
        <w:t> </w:t>
      </w:r>
      <w:r>
        <w:rPr>
          <w:color w:val="0D0D0D"/>
        </w:rPr>
        <w:t>los</w:t>
      </w:r>
      <w:r>
        <w:rPr>
          <w:color w:val="0D0D0D"/>
          <w:spacing w:val="-4"/>
        </w:rPr>
        <w:t> </w:t>
      </w:r>
      <w:r>
        <w:rPr>
          <w:color w:val="0D0D0D"/>
        </w:rPr>
        <w:t>efectos</w:t>
      </w:r>
      <w:r>
        <w:rPr>
          <w:color w:val="0D0D0D"/>
          <w:spacing w:val="-8"/>
        </w:rPr>
        <w:t> </w:t>
      </w:r>
      <w:r>
        <w:rPr>
          <w:color w:val="0D0D0D"/>
        </w:rPr>
        <w:t>adversos,</w:t>
      </w:r>
      <w:r>
        <w:rPr>
          <w:color w:val="0D0D0D"/>
          <w:spacing w:val="-2"/>
        </w:rPr>
        <w:t> </w:t>
      </w:r>
      <w:r>
        <w:rPr>
          <w:color w:val="0D0D0D"/>
        </w:rPr>
        <w:t>este</w:t>
      </w:r>
      <w:r>
        <w:rPr>
          <w:color w:val="0D0D0D"/>
          <w:spacing w:val="-4"/>
        </w:rPr>
        <w:t> </w:t>
      </w:r>
      <w:r>
        <w:rPr>
          <w:color w:val="0D0D0D"/>
        </w:rPr>
        <w:t>monitoreo</w:t>
      </w:r>
      <w:r>
        <w:rPr>
          <w:color w:val="0D0D0D"/>
          <w:spacing w:val="-7"/>
        </w:rPr>
        <w:t> </w:t>
      </w:r>
      <w:r>
        <w:rPr>
          <w:color w:val="0D0D0D"/>
        </w:rPr>
        <w:t>se</w:t>
      </w:r>
      <w:r>
        <w:rPr>
          <w:color w:val="0D0D0D"/>
          <w:spacing w:val="-5"/>
        </w:rPr>
        <w:t> </w:t>
      </w:r>
      <w:r>
        <w:rPr>
          <w:color w:val="0D0D0D"/>
        </w:rPr>
        <w:t>realizó</w:t>
      </w:r>
      <w:r>
        <w:rPr>
          <w:color w:val="0D0D0D"/>
          <w:spacing w:val="-7"/>
        </w:rPr>
        <w:t> </w:t>
      </w:r>
      <w:r>
        <w:rPr>
          <w:color w:val="0D0D0D"/>
        </w:rPr>
        <w:t>en</w:t>
      </w:r>
      <w:r>
        <w:rPr>
          <w:color w:val="0D0D0D"/>
          <w:spacing w:val="-7"/>
        </w:rPr>
        <w:t> </w:t>
      </w:r>
      <w:r>
        <w:rPr>
          <w:color w:val="0D0D0D"/>
        </w:rPr>
        <w:t>tiempo real utilizando equipos multiparámetros.</w:t>
      </w:r>
    </w:p>
    <w:p>
      <w:pPr>
        <w:pStyle w:val="BodyText"/>
        <w:spacing w:line="480" w:lineRule="auto" w:before="238"/>
        <w:ind w:left="568" w:right="136"/>
        <w:jc w:val="both"/>
      </w:pPr>
      <w:r>
        <w:rPr>
          <w:color w:val="0D0D0D"/>
        </w:rPr>
        <w:t>Por</w:t>
      </w:r>
      <w:r>
        <w:rPr>
          <w:color w:val="0D0D0D"/>
          <w:spacing w:val="-15"/>
        </w:rPr>
        <w:t> </w:t>
      </w:r>
      <w:r>
        <w:rPr>
          <w:color w:val="0D0D0D"/>
        </w:rPr>
        <w:t>último,</w:t>
      </w:r>
      <w:r>
        <w:rPr>
          <w:color w:val="0D0D0D"/>
          <w:spacing w:val="-15"/>
        </w:rPr>
        <w:t> </w:t>
      </w:r>
      <w:r>
        <w:rPr>
          <w:color w:val="0D0D0D"/>
        </w:rPr>
        <w:t>se</w:t>
      </w:r>
      <w:r>
        <w:rPr>
          <w:color w:val="0D0D0D"/>
          <w:spacing w:val="-15"/>
        </w:rPr>
        <w:t> </w:t>
      </w:r>
      <w:r>
        <w:rPr>
          <w:color w:val="0D0D0D"/>
        </w:rPr>
        <w:t>elaboró</w:t>
      </w:r>
      <w:r>
        <w:rPr>
          <w:color w:val="0D0D0D"/>
          <w:spacing w:val="-15"/>
        </w:rPr>
        <w:t> </w:t>
      </w:r>
      <w:r>
        <w:rPr>
          <w:color w:val="0D0D0D"/>
        </w:rPr>
        <w:t>una</w:t>
      </w:r>
      <w:r>
        <w:rPr>
          <w:color w:val="0D0D0D"/>
          <w:spacing w:val="-15"/>
        </w:rPr>
        <w:t> </w:t>
      </w:r>
      <w:r>
        <w:rPr>
          <w:color w:val="0D0D0D"/>
        </w:rPr>
        <w:t>base</w:t>
      </w:r>
      <w:r>
        <w:rPr>
          <w:color w:val="0D0D0D"/>
          <w:spacing w:val="-15"/>
        </w:rPr>
        <w:t> </w:t>
      </w:r>
      <w:r>
        <w:rPr>
          <w:color w:val="0D0D0D"/>
        </w:rPr>
        <w:t>de</w:t>
      </w:r>
      <w:r>
        <w:rPr>
          <w:color w:val="0D0D0D"/>
          <w:spacing w:val="-15"/>
        </w:rPr>
        <w:t> </w:t>
      </w:r>
      <w:r>
        <w:rPr>
          <w:color w:val="0D0D0D"/>
        </w:rPr>
        <w:t>datos</w:t>
      </w:r>
      <w:r>
        <w:rPr>
          <w:color w:val="0D0D0D"/>
          <w:spacing w:val="-15"/>
        </w:rPr>
        <w:t> </w:t>
      </w:r>
      <w:r>
        <w:rPr>
          <w:color w:val="0D0D0D"/>
        </w:rPr>
        <w:t>consolidada</w:t>
      </w:r>
      <w:r>
        <w:rPr>
          <w:color w:val="0D0D0D"/>
          <w:spacing w:val="-15"/>
        </w:rPr>
        <w:t> </w:t>
      </w:r>
      <w:r>
        <w:rPr>
          <w:color w:val="0D0D0D"/>
        </w:rPr>
        <w:t>que</w:t>
      </w:r>
      <w:r>
        <w:rPr>
          <w:color w:val="0D0D0D"/>
          <w:spacing w:val="-15"/>
        </w:rPr>
        <w:t> </w:t>
      </w:r>
      <w:r>
        <w:rPr>
          <w:color w:val="0D0D0D"/>
        </w:rPr>
        <w:t>integró</w:t>
      </w:r>
      <w:r>
        <w:rPr>
          <w:color w:val="0D0D0D"/>
          <w:spacing w:val="-15"/>
        </w:rPr>
        <w:t> </w:t>
      </w:r>
      <w:r>
        <w:rPr>
          <w:color w:val="0D0D0D"/>
        </w:rPr>
        <w:t>para</w:t>
      </w:r>
      <w:r>
        <w:rPr>
          <w:color w:val="0D0D0D"/>
          <w:spacing w:val="-15"/>
        </w:rPr>
        <w:t> </w:t>
      </w:r>
      <w:r>
        <w:rPr>
          <w:color w:val="0D0D0D"/>
        </w:rPr>
        <w:t>cada</w:t>
      </w:r>
      <w:r>
        <w:rPr>
          <w:color w:val="0D0D0D"/>
          <w:spacing w:val="-15"/>
        </w:rPr>
        <w:t> </w:t>
      </w:r>
      <w:r>
        <w:rPr>
          <w:color w:val="0D0D0D"/>
        </w:rPr>
        <w:t>paciente, los</w:t>
      </w:r>
      <w:r>
        <w:rPr>
          <w:color w:val="0D0D0D"/>
          <w:spacing w:val="-12"/>
        </w:rPr>
        <w:t> </w:t>
      </w:r>
      <w:r>
        <w:rPr>
          <w:color w:val="0D0D0D"/>
        </w:rPr>
        <w:t>valores</w:t>
      </w:r>
      <w:r>
        <w:rPr>
          <w:color w:val="0D0D0D"/>
          <w:spacing w:val="-12"/>
        </w:rPr>
        <w:t> </w:t>
      </w:r>
      <w:r>
        <w:rPr>
          <w:color w:val="0D0D0D"/>
        </w:rPr>
        <w:t>basales,</w:t>
      </w:r>
      <w:r>
        <w:rPr>
          <w:color w:val="0D0D0D"/>
          <w:spacing w:val="-10"/>
        </w:rPr>
        <w:t> </w:t>
      </w:r>
      <w:r>
        <w:rPr>
          <w:color w:val="0D0D0D"/>
        </w:rPr>
        <w:t>los</w:t>
      </w:r>
      <w:r>
        <w:rPr>
          <w:color w:val="0D0D0D"/>
          <w:spacing w:val="-12"/>
        </w:rPr>
        <w:t> </w:t>
      </w:r>
      <w:r>
        <w:rPr>
          <w:color w:val="0D0D0D"/>
        </w:rPr>
        <w:t>promedios</w:t>
      </w:r>
      <w:r>
        <w:rPr>
          <w:color w:val="0D0D0D"/>
          <w:spacing w:val="-12"/>
        </w:rPr>
        <w:t> </w:t>
      </w:r>
      <w:r>
        <w:rPr>
          <w:color w:val="0D0D0D"/>
        </w:rPr>
        <w:t>intraoperatorios,</w:t>
      </w:r>
      <w:r>
        <w:rPr>
          <w:color w:val="0D0D0D"/>
          <w:spacing w:val="-10"/>
        </w:rPr>
        <w:t> </w:t>
      </w:r>
      <w:r>
        <w:rPr>
          <w:color w:val="0D0D0D"/>
        </w:rPr>
        <w:t>con</w:t>
      </w:r>
      <w:r>
        <w:rPr>
          <w:color w:val="0D0D0D"/>
          <w:spacing w:val="-10"/>
        </w:rPr>
        <w:t> </w:t>
      </w:r>
      <w:r>
        <w:rPr>
          <w:color w:val="0D0D0D"/>
        </w:rPr>
        <w:t>las</w:t>
      </w:r>
      <w:r>
        <w:rPr>
          <w:color w:val="0D0D0D"/>
          <w:spacing w:val="-12"/>
        </w:rPr>
        <w:t> </w:t>
      </w:r>
      <w:r>
        <w:rPr>
          <w:color w:val="0D0D0D"/>
        </w:rPr>
        <w:t>diferencias</w:t>
      </w:r>
      <w:r>
        <w:rPr>
          <w:color w:val="0D0D0D"/>
          <w:spacing w:val="-12"/>
        </w:rPr>
        <w:t> </w:t>
      </w:r>
      <w:r>
        <w:rPr>
          <w:color w:val="0D0D0D"/>
        </w:rPr>
        <w:t>obtenidas</w:t>
      </w:r>
      <w:r>
        <w:rPr>
          <w:color w:val="0D0D0D"/>
          <w:spacing w:val="-12"/>
        </w:rPr>
        <w:t> </w:t>
      </w:r>
      <w:r>
        <w:rPr>
          <w:color w:val="0D0D0D"/>
        </w:rPr>
        <w:t>en las variables fisiológicas evaluadas. La asignación aleatoria de los pacientes a los grupos experimentales tuvo como finalidad minimizar la influencia de factores externos,</w:t>
      </w:r>
      <w:r>
        <w:rPr>
          <w:color w:val="0D0D0D"/>
          <w:spacing w:val="-8"/>
        </w:rPr>
        <w:t> </w:t>
      </w:r>
      <w:r>
        <w:rPr>
          <w:color w:val="0D0D0D"/>
        </w:rPr>
        <w:t>controlar</w:t>
      </w:r>
      <w:r>
        <w:rPr>
          <w:color w:val="0D0D0D"/>
          <w:spacing w:val="-11"/>
        </w:rPr>
        <w:t> </w:t>
      </w:r>
      <w:r>
        <w:rPr>
          <w:color w:val="0D0D0D"/>
        </w:rPr>
        <w:t>la</w:t>
      </w:r>
      <w:r>
        <w:rPr>
          <w:color w:val="0D0D0D"/>
          <w:spacing w:val="-7"/>
        </w:rPr>
        <w:t> </w:t>
      </w:r>
      <w:r>
        <w:rPr>
          <w:color w:val="0D0D0D"/>
        </w:rPr>
        <w:t>variabilidad</w:t>
      </w:r>
      <w:r>
        <w:rPr>
          <w:color w:val="0D0D0D"/>
          <w:spacing w:val="-8"/>
        </w:rPr>
        <w:t> </w:t>
      </w:r>
      <w:r>
        <w:rPr>
          <w:color w:val="0D0D0D"/>
        </w:rPr>
        <w:t>biológica</w:t>
      </w:r>
      <w:r>
        <w:rPr>
          <w:color w:val="0D0D0D"/>
          <w:spacing w:val="-7"/>
        </w:rPr>
        <w:t> </w:t>
      </w:r>
      <w:r>
        <w:rPr>
          <w:color w:val="0D0D0D"/>
        </w:rPr>
        <w:t>interindividual,</w:t>
      </w:r>
      <w:r>
        <w:rPr>
          <w:color w:val="0D0D0D"/>
          <w:spacing w:val="-12"/>
        </w:rPr>
        <w:t> </w:t>
      </w:r>
      <w:r>
        <w:rPr>
          <w:color w:val="0D0D0D"/>
        </w:rPr>
        <w:t>a</w:t>
      </w:r>
      <w:r>
        <w:rPr>
          <w:color w:val="0D0D0D"/>
          <w:spacing w:val="-7"/>
        </w:rPr>
        <w:t> </w:t>
      </w:r>
      <w:r>
        <w:rPr>
          <w:color w:val="0D0D0D"/>
        </w:rPr>
        <w:t>la</w:t>
      </w:r>
      <w:r>
        <w:rPr>
          <w:color w:val="0D0D0D"/>
          <w:spacing w:val="-7"/>
        </w:rPr>
        <w:t> </w:t>
      </w:r>
      <w:r>
        <w:rPr>
          <w:color w:val="0D0D0D"/>
        </w:rPr>
        <w:t>vez</w:t>
      </w:r>
      <w:r>
        <w:rPr>
          <w:color w:val="0D0D0D"/>
          <w:spacing w:val="-7"/>
        </w:rPr>
        <w:t> </w:t>
      </w:r>
      <w:r>
        <w:rPr>
          <w:color w:val="0D0D0D"/>
        </w:rPr>
        <w:t>que</w:t>
      </w:r>
      <w:r>
        <w:rPr>
          <w:color w:val="0D0D0D"/>
          <w:spacing w:val="-10"/>
        </w:rPr>
        <w:t> </w:t>
      </w:r>
      <w:r>
        <w:rPr>
          <w:color w:val="0D0D0D"/>
        </w:rPr>
        <w:t>se</w:t>
      </w:r>
      <w:r>
        <w:rPr>
          <w:color w:val="0D0D0D"/>
          <w:spacing w:val="-5"/>
        </w:rPr>
        <w:t> </w:t>
      </w:r>
      <w:r>
        <w:rPr>
          <w:color w:val="0D0D0D"/>
        </w:rPr>
        <w:t>reduzca la probabilidad de sesgos sistemáticos en la conformación de los tratamientos.</w:t>
      </w:r>
    </w:p>
    <w:p>
      <w:pPr>
        <w:pStyle w:val="BodyText"/>
        <w:spacing w:line="480" w:lineRule="auto" w:before="241"/>
        <w:ind w:left="568" w:right="139"/>
        <w:jc w:val="both"/>
      </w:pPr>
      <w:r>
        <w:rPr>
          <w:color w:val="0D0D0D"/>
        </w:rPr>
        <w:t>A</w:t>
      </w:r>
      <w:r>
        <w:rPr>
          <w:color w:val="0D0D0D"/>
          <w:spacing w:val="-3"/>
        </w:rPr>
        <w:t> </w:t>
      </w:r>
      <w:r>
        <w:rPr>
          <w:color w:val="0D0D0D"/>
        </w:rPr>
        <w:t>partir del punto de vista analítico, la aplicación de un diseño completamente al azar aportó solidez al proceso comparativo entre tratamientos, favoreciendo una distribución</w:t>
      </w:r>
      <w:r>
        <w:rPr>
          <w:color w:val="0D0D0D"/>
          <w:spacing w:val="-1"/>
        </w:rPr>
        <w:t> </w:t>
      </w:r>
      <w:r>
        <w:rPr>
          <w:color w:val="0D0D0D"/>
        </w:rPr>
        <w:t>equilibrada de las unidades experimentales e incluso permitiendo una interpretación</w:t>
      </w:r>
      <w:r>
        <w:rPr>
          <w:color w:val="0D0D0D"/>
          <w:spacing w:val="-5"/>
        </w:rPr>
        <w:t> </w:t>
      </w:r>
      <w:r>
        <w:rPr>
          <w:color w:val="0D0D0D"/>
        </w:rPr>
        <w:t>metodológicamente</w:t>
      </w:r>
      <w:r>
        <w:rPr>
          <w:color w:val="0D0D0D"/>
          <w:spacing w:val="-7"/>
        </w:rPr>
        <w:t> </w:t>
      </w:r>
      <w:r>
        <w:rPr>
          <w:color w:val="0D0D0D"/>
        </w:rPr>
        <w:t>consistente</w:t>
      </w:r>
      <w:r>
        <w:rPr>
          <w:color w:val="0D0D0D"/>
          <w:spacing w:val="-4"/>
        </w:rPr>
        <w:t> </w:t>
      </w:r>
      <w:r>
        <w:rPr>
          <w:color w:val="0D0D0D"/>
        </w:rPr>
        <w:t>de</w:t>
      </w:r>
      <w:r>
        <w:rPr>
          <w:color w:val="0D0D0D"/>
          <w:spacing w:val="-4"/>
        </w:rPr>
        <w:t> </w:t>
      </w:r>
      <w:r>
        <w:rPr>
          <w:color w:val="0D0D0D"/>
        </w:rPr>
        <w:t>los resultados</w:t>
      </w:r>
      <w:r>
        <w:rPr>
          <w:color w:val="0D0D0D"/>
          <w:spacing w:val="-6"/>
        </w:rPr>
        <w:t> </w:t>
      </w:r>
      <w:r>
        <w:rPr>
          <w:color w:val="0D0D0D"/>
        </w:rPr>
        <w:t>clínicos</w:t>
      </w:r>
      <w:r>
        <w:rPr>
          <w:color w:val="0D0D0D"/>
          <w:spacing w:val="-7"/>
        </w:rPr>
        <w:t> </w:t>
      </w:r>
      <w:r>
        <w:rPr>
          <w:color w:val="0D0D0D"/>
        </w:rPr>
        <w:t>obtenidos, por ende, este esquema experimental mantuvo concordancia con la naturaleza del estudio,</w:t>
      </w:r>
      <w:r>
        <w:rPr>
          <w:color w:val="0D0D0D"/>
          <w:spacing w:val="65"/>
          <w:w w:val="150"/>
        </w:rPr>
        <w:t> </w:t>
      </w:r>
      <w:r>
        <w:rPr>
          <w:color w:val="0D0D0D"/>
        </w:rPr>
        <w:t>así</w:t>
      </w:r>
      <w:r>
        <w:rPr>
          <w:color w:val="0D0D0D"/>
          <w:spacing w:val="62"/>
          <w:w w:val="150"/>
        </w:rPr>
        <w:t> </w:t>
      </w:r>
      <w:r>
        <w:rPr>
          <w:color w:val="0D0D0D"/>
        </w:rPr>
        <w:t>como</w:t>
      </w:r>
      <w:r>
        <w:rPr>
          <w:color w:val="0D0D0D"/>
          <w:spacing w:val="68"/>
          <w:w w:val="150"/>
        </w:rPr>
        <w:t> </w:t>
      </w:r>
      <w:r>
        <w:rPr>
          <w:color w:val="0D0D0D"/>
        </w:rPr>
        <w:t>con</w:t>
      </w:r>
      <w:r>
        <w:rPr>
          <w:color w:val="0D0D0D"/>
          <w:spacing w:val="61"/>
          <w:w w:val="150"/>
        </w:rPr>
        <w:t> </w:t>
      </w:r>
      <w:r>
        <w:rPr>
          <w:color w:val="0D0D0D"/>
        </w:rPr>
        <w:t>el</w:t>
      </w:r>
      <w:r>
        <w:rPr>
          <w:color w:val="0D0D0D"/>
          <w:spacing w:val="66"/>
          <w:w w:val="150"/>
        </w:rPr>
        <w:t> </w:t>
      </w:r>
      <w:r>
        <w:rPr>
          <w:color w:val="0D0D0D"/>
        </w:rPr>
        <w:t>objetivo</w:t>
      </w:r>
      <w:r>
        <w:rPr>
          <w:color w:val="0D0D0D"/>
          <w:spacing w:val="65"/>
          <w:w w:val="150"/>
        </w:rPr>
        <w:t> </w:t>
      </w:r>
      <w:r>
        <w:rPr>
          <w:color w:val="0D0D0D"/>
        </w:rPr>
        <w:t>de</w:t>
      </w:r>
      <w:r>
        <w:rPr>
          <w:color w:val="0D0D0D"/>
          <w:spacing w:val="63"/>
          <w:w w:val="150"/>
        </w:rPr>
        <w:t> </w:t>
      </w:r>
      <w:r>
        <w:rPr>
          <w:color w:val="0D0D0D"/>
        </w:rPr>
        <w:t>analizar</w:t>
      </w:r>
      <w:r>
        <w:rPr>
          <w:color w:val="0D0D0D"/>
          <w:spacing w:val="65"/>
          <w:w w:val="150"/>
        </w:rPr>
        <w:t> </w:t>
      </w:r>
      <w:r>
        <w:rPr>
          <w:color w:val="0D0D0D"/>
        </w:rPr>
        <w:t>bajo</w:t>
      </w:r>
      <w:r>
        <w:rPr>
          <w:color w:val="0D0D0D"/>
          <w:spacing w:val="61"/>
          <w:w w:val="150"/>
        </w:rPr>
        <w:t> </w:t>
      </w:r>
      <w:r>
        <w:rPr>
          <w:color w:val="0D0D0D"/>
        </w:rPr>
        <w:t>criterios</w:t>
      </w:r>
      <w:r>
        <w:rPr>
          <w:color w:val="0D0D0D"/>
          <w:spacing w:val="64"/>
          <w:w w:val="150"/>
        </w:rPr>
        <w:t> </w:t>
      </w:r>
      <w:r>
        <w:rPr>
          <w:color w:val="0D0D0D"/>
        </w:rPr>
        <w:t>de</w:t>
      </w:r>
      <w:r>
        <w:rPr>
          <w:color w:val="0D0D0D"/>
          <w:spacing w:val="62"/>
          <w:w w:val="150"/>
        </w:rPr>
        <w:t> </w:t>
      </w:r>
      <w:r>
        <w:rPr>
          <w:color w:val="0D0D0D"/>
        </w:rPr>
        <w:t>control</w:t>
      </w:r>
      <w:r>
        <w:rPr>
          <w:color w:val="0D0D0D"/>
          <w:spacing w:val="63"/>
          <w:w w:val="150"/>
        </w:rPr>
        <w:t> </w:t>
      </w:r>
      <w:r>
        <w:rPr>
          <w:color w:val="0D0D0D"/>
          <w:spacing w:val="-10"/>
        </w:rPr>
        <w:t>y</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7"/>
        <w:jc w:val="both"/>
      </w:pPr>
      <w:r>
        <w:rPr>
          <w:color w:val="0D0D0D"/>
        </w:rPr>
        <w:t>comparabilidad la respuesta fisiológica de los caninos sometidos a los protocolos anestésicos establecidos.</w:t>
      </w:r>
    </w:p>
    <w:p>
      <w:pPr>
        <w:pStyle w:val="BodyText"/>
        <w:spacing w:line="480" w:lineRule="auto" w:before="240"/>
        <w:ind w:left="568" w:right="136"/>
        <w:jc w:val="both"/>
      </w:pPr>
      <w:r>
        <w:rPr>
          <w:color w:val="0D0D0D"/>
        </w:rPr>
        <w:t>Con esta</w:t>
      </w:r>
      <w:r>
        <w:rPr>
          <w:color w:val="0D0D0D"/>
          <w:spacing w:val="-3"/>
        </w:rPr>
        <w:t> </w:t>
      </w:r>
      <w:r>
        <w:rPr>
          <w:color w:val="0D0D0D"/>
        </w:rPr>
        <w:t>estructura</w:t>
      </w:r>
      <w:r>
        <w:rPr>
          <w:color w:val="0D0D0D"/>
          <w:spacing w:val="-3"/>
        </w:rPr>
        <w:t> </w:t>
      </w:r>
      <w:r>
        <w:rPr>
          <w:color w:val="0D0D0D"/>
        </w:rPr>
        <w:t>metodológica se</w:t>
      </w:r>
      <w:r>
        <w:rPr>
          <w:color w:val="0D0D0D"/>
          <w:spacing w:val="-3"/>
        </w:rPr>
        <w:t> </w:t>
      </w:r>
      <w:r>
        <w:rPr>
          <w:color w:val="0D0D0D"/>
        </w:rPr>
        <w:t>definió de</w:t>
      </w:r>
      <w:r>
        <w:rPr>
          <w:color w:val="0D0D0D"/>
          <w:spacing w:val="-3"/>
        </w:rPr>
        <w:t> </w:t>
      </w:r>
      <w:r>
        <w:rPr>
          <w:color w:val="0D0D0D"/>
        </w:rPr>
        <w:t>manera precisa</w:t>
      </w:r>
      <w:r>
        <w:rPr>
          <w:color w:val="0D0D0D"/>
          <w:spacing w:val="-3"/>
        </w:rPr>
        <w:t> </w:t>
      </w:r>
      <w:r>
        <w:rPr>
          <w:color w:val="0D0D0D"/>
        </w:rPr>
        <w:t>las</w:t>
      </w:r>
      <w:r>
        <w:rPr>
          <w:color w:val="0D0D0D"/>
          <w:spacing w:val="-2"/>
        </w:rPr>
        <w:t> </w:t>
      </w:r>
      <w:r>
        <w:rPr>
          <w:color w:val="0D0D0D"/>
        </w:rPr>
        <w:t>variables</w:t>
      </w:r>
      <w:r>
        <w:rPr>
          <w:color w:val="0D0D0D"/>
          <w:spacing w:val="-2"/>
        </w:rPr>
        <w:t> </w:t>
      </w:r>
      <w:r>
        <w:rPr>
          <w:color w:val="0D0D0D"/>
        </w:rPr>
        <w:t>objeto de observación, junto con los procedimientos de medición correspondientes, esto con la finalidad de que se garantice coherencia entre el diseño experimental, la recolección de datos y el posterior análisis de la respuesta tanto clínica como fisiológica de los pacientes incluidos en el ensayo.</w:t>
      </w:r>
    </w:p>
    <w:p>
      <w:pPr>
        <w:pStyle w:val="Heading3"/>
        <w:numPr>
          <w:ilvl w:val="2"/>
          <w:numId w:val="8"/>
        </w:numPr>
        <w:tabs>
          <w:tab w:pos="1288" w:val="left" w:leader="none"/>
        </w:tabs>
        <w:spacing w:line="240" w:lineRule="auto" w:before="2" w:after="0"/>
        <w:ind w:left="1288" w:right="0" w:hanging="720"/>
        <w:jc w:val="both"/>
      </w:pPr>
      <w:bookmarkStart w:name="_bookmark35" w:id="36"/>
      <w:bookmarkEnd w:id="36"/>
      <w:r>
        <w:rPr>
          <w:b w:val="0"/>
        </w:rPr>
      </w:r>
      <w:r>
        <w:rPr>
          <w:color w:val="0D0D0D"/>
        </w:rPr>
        <w:t>Métodos</w:t>
      </w:r>
      <w:r>
        <w:rPr>
          <w:color w:val="0D0D0D"/>
          <w:spacing w:val="-4"/>
        </w:rPr>
        <w:t> </w:t>
      </w:r>
      <w:r>
        <w:rPr>
          <w:color w:val="0D0D0D"/>
        </w:rPr>
        <w:t>de</w:t>
      </w:r>
      <w:r>
        <w:rPr>
          <w:color w:val="0D0D0D"/>
          <w:spacing w:val="-1"/>
        </w:rPr>
        <w:t> </w:t>
      </w:r>
      <w:r>
        <w:rPr>
          <w:color w:val="0D0D0D"/>
        </w:rPr>
        <w:t>evaluación</w:t>
      </w:r>
      <w:r>
        <w:rPr>
          <w:color w:val="0D0D0D"/>
          <w:spacing w:val="-2"/>
        </w:rPr>
        <w:t> </w:t>
      </w:r>
      <w:r>
        <w:rPr>
          <w:color w:val="0D0D0D"/>
        </w:rPr>
        <w:t>y</w:t>
      </w:r>
      <w:r>
        <w:rPr>
          <w:color w:val="0D0D0D"/>
          <w:spacing w:val="-2"/>
        </w:rPr>
        <w:t> </w:t>
      </w:r>
      <w:r>
        <w:rPr>
          <w:color w:val="0D0D0D"/>
        </w:rPr>
        <w:t>datos</w:t>
      </w:r>
      <w:r>
        <w:rPr>
          <w:color w:val="0D0D0D"/>
          <w:spacing w:val="-3"/>
        </w:rPr>
        <w:t> </w:t>
      </w:r>
      <w:r>
        <w:rPr>
          <w:color w:val="0D0D0D"/>
          <w:spacing w:val="-2"/>
        </w:rPr>
        <w:t>tomados</w:t>
      </w:r>
    </w:p>
    <w:p>
      <w:pPr>
        <w:pStyle w:val="BodyText"/>
        <w:spacing w:before="239"/>
        <w:rPr>
          <w:b/>
        </w:rPr>
      </w:pPr>
    </w:p>
    <w:p>
      <w:pPr>
        <w:pStyle w:val="BodyText"/>
        <w:spacing w:line="480" w:lineRule="auto"/>
        <w:ind w:left="568"/>
      </w:pPr>
      <w:r>
        <w:rPr>
          <w:b/>
          <w:color w:val="0D0D0D"/>
        </w:rPr>
        <w:t>Edad (años): </w:t>
      </w:r>
      <w:r>
        <w:rPr>
          <w:color w:val="0D0D0D"/>
        </w:rPr>
        <w:t>la edad fue estimada mediante la anamnesis proporcionada por el</w:t>
      </w:r>
      <w:r>
        <w:rPr>
          <w:color w:val="0D0D0D"/>
          <w:spacing w:val="80"/>
        </w:rPr>
        <w:t> </w:t>
      </w:r>
      <w:r>
        <w:rPr>
          <w:color w:val="0D0D0D"/>
        </w:rPr>
        <w:t>propietario u observando las piezas dentales de cada paciente</w:t>
      </w:r>
    </w:p>
    <w:p>
      <w:pPr>
        <w:pStyle w:val="BodyText"/>
        <w:spacing w:line="480" w:lineRule="auto" w:before="241"/>
        <w:ind w:left="568"/>
      </w:pPr>
      <w:r>
        <w:rPr>
          <w:b/>
          <w:color w:val="0D0D0D"/>
        </w:rPr>
        <w:t>Raza:</w:t>
      </w:r>
      <w:r>
        <w:rPr>
          <w:b/>
          <w:color w:val="0D0D0D"/>
          <w:spacing w:val="40"/>
        </w:rPr>
        <w:t> </w:t>
      </w:r>
      <w:r>
        <w:rPr>
          <w:color w:val="0D0D0D"/>
        </w:rPr>
        <w:t>la</w:t>
      </w:r>
      <w:r>
        <w:rPr>
          <w:color w:val="0D0D0D"/>
          <w:spacing w:val="40"/>
        </w:rPr>
        <w:t> </w:t>
      </w:r>
      <w:r>
        <w:rPr>
          <w:color w:val="0D0D0D"/>
        </w:rPr>
        <w:t>raza</w:t>
      </w:r>
      <w:r>
        <w:rPr>
          <w:color w:val="0D0D0D"/>
          <w:spacing w:val="40"/>
        </w:rPr>
        <w:t> </w:t>
      </w:r>
      <w:r>
        <w:rPr>
          <w:color w:val="0D0D0D"/>
        </w:rPr>
        <w:t>del</w:t>
      </w:r>
      <w:r>
        <w:rPr>
          <w:color w:val="0D0D0D"/>
          <w:spacing w:val="40"/>
        </w:rPr>
        <w:t> </w:t>
      </w:r>
      <w:r>
        <w:rPr>
          <w:color w:val="0D0D0D"/>
        </w:rPr>
        <w:t>paciente</w:t>
      </w:r>
      <w:r>
        <w:rPr>
          <w:color w:val="0D0D0D"/>
          <w:spacing w:val="40"/>
        </w:rPr>
        <w:t> </w:t>
      </w:r>
      <w:r>
        <w:rPr>
          <w:color w:val="0D0D0D"/>
        </w:rPr>
        <w:t>se</w:t>
      </w:r>
      <w:r>
        <w:rPr>
          <w:color w:val="0D0D0D"/>
          <w:spacing w:val="40"/>
        </w:rPr>
        <w:t> </w:t>
      </w:r>
      <w:r>
        <w:rPr>
          <w:color w:val="0D0D0D"/>
        </w:rPr>
        <w:t>determinó</w:t>
      </w:r>
      <w:r>
        <w:rPr>
          <w:color w:val="0D0D0D"/>
          <w:spacing w:val="40"/>
        </w:rPr>
        <w:t> </w:t>
      </w:r>
      <w:r>
        <w:rPr>
          <w:color w:val="0D0D0D"/>
        </w:rPr>
        <w:t>mediante</w:t>
      </w:r>
      <w:r>
        <w:rPr>
          <w:color w:val="0D0D0D"/>
          <w:spacing w:val="40"/>
        </w:rPr>
        <w:t> </w:t>
      </w:r>
      <w:r>
        <w:rPr>
          <w:color w:val="0D0D0D"/>
        </w:rPr>
        <w:t>observación</w:t>
      </w:r>
      <w:r>
        <w:rPr>
          <w:color w:val="0D0D0D"/>
          <w:spacing w:val="40"/>
        </w:rPr>
        <w:t> </w:t>
      </w:r>
      <w:r>
        <w:rPr>
          <w:color w:val="0D0D0D"/>
        </w:rPr>
        <w:t>directa</w:t>
      </w:r>
      <w:r>
        <w:rPr>
          <w:color w:val="0D0D0D"/>
          <w:spacing w:val="40"/>
        </w:rPr>
        <w:t> </w:t>
      </w:r>
      <w:r>
        <w:rPr>
          <w:color w:val="0D0D0D"/>
        </w:rPr>
        <w:t>de</w:t>
      </w:r>
      <w:r>
        <w:rPr>
          <w:color w:val="0D0D0D"/>
          <w:spacing w:val="40"/>
        </w:rPr>
        <w:t> </w:t>
      </w:r>
      <w:r>
        <w:rPr>
          <w:color w:val="0D0D0D"/>
        </w:rPr>
        <w:t>las características de cada paciente, pelaje, morfología craneal y corporal</w:t>
      </w:r>
    </w:p>
    <w:p>
      <w:pPr>
        <w:pStyle w:val="BodyText"/>
        <w:spacing w:before="240"/>
        <w:ind w:left="568"/>
      </w:pPr>
      <w:r>
        <w:rPr>
          <w:b/>
          <w:color w:val="0D0D0D"/>
        </w:rPr>
        <w:t>Sexo:</w:t>
      </w:r>
      <w:r>
        <w:rPr>
          <w:b/>
          <w:color w:val="0D0D0D"/>
          <w:spacing w:val="-2"/>
        </w:rPr>
        <w:t> </w:t>
      </w:r>
      <w:r>
        <w:rPr>
          <w:color w:val="0D0D0D"/>
        </w:rPr>
        <w:t>se determinó</w:t>
      </w:r>
      <w:r>
        <w:rPr>
          <w:color w:val="0D0D0D"/>
          <w:spacing w:val="-1"/>
        </w:rPr>
        <w:t> </w:t>
      </w:r>
      <w:r>
        <w:rPr>
          <w:color w:val="0D0D0D"/>
        </w:rPr>
        <w:t>observando</w:t>
      </w:r>
      <w:r>
        <w:rPr>
          <w:color w:val="0D0D0D"/>
          <w:spacing w:val="-6"/>
        </w:rPr>
        <w:t> </w:t>
      </w:r>
      <w:r>
        <w:rPr>
          <w:color w:val="0D0D0D"/>
        </w:rPr>
        <w:t>los</w:t>
      </w:r>
      <w:r>
        <w:rPr>
          <w:color w:val="0D0D0D"/>
          <w:spacing w:val="-3"/>
        </w:rPr>
        <w:t> </w:t>
      </w:r>
      <w:r>
        <w:rPr>
          <w:color w:val="0D0D0D"/>
        </w:rPr>
        <w:t>genitales</w:t>
      </w:r>
      <w:r>
        <w:rPr>
          <w:color w:val="0D0D0D"/>
          <w:spacing w:val="-3"/>
        </w:rPr>
        <w:t> </w:t>
      </w:r>
      <w:r>
        <w:rPr>
          <w:color w:val="0D0D0D"/>
        </w:rPr>
        <w:t>de cada paciente macho</w:t>
      </w:r>
      <w:r>
        <w:rPr>
          <w:color w:val="0D0D0D"/>
          <w:spacing w:val="-1"/>
        </w:rPr>
        <w:t> </w:t>
      </w:r>
      <w:r>
        <w:rPr>
          <w:color w:val="0D0D0D"/>
        </w:rPr>
        <w:t>/ </w:t>
      </w:r>
      <w:r>
        <w:rPr>
          <w:color w:val="0D0D0D"/>
          <w:spacing w:val="-2"/>
        </w:rPr>
        <w:t>hembra</w:t>
      </w:r>
    </w:p>
    <w:p>
      <w:pPr>
        <w:pStyle w:val="BodyText"/>
        <w:spacing w:before="241"/>
      </w:pPr>
    </w:p>
    <w:p>
      <w:pPr>
        <w:pStyle w:val="BodyText"/>
        <w:ind w:left="568"/>
      </w:pPr>
      <w:r>
        <w:rPr>
          <w:b/>
          <w:color w:val="0D0D0D"/>
        </w:rPr>
        <w:t>Peso:</w:t>
      </w:r>
      <w:r>
        <w:rPr>
          <w:b/>
          <w:color w:val="0D0D0D"/>
          <w:spacing w:val="-2"/>
        </w:rPr>
        <w:t> </w:t>
      </w:r>
      <w:r>
        <w:rPr>
          <w:color w:val="0D0D0D"/>
        </w:rPr>
        <w:t>se obtuvo mediante una</w:t>
      </w:r>
      <w:r>
        <w:rPr>
          <w:color w:val="0D0D0D"/>
          <w:spacing w:val="3"/>
        </w:rPr>
        <w:t> </w:t>
      </w:r>
      <w:r>
        <w:rPr>
          <w:color w:val="0D0D0D"/>
        </w:rPr>
        <w:t>báscula</w:t>
      </w:r>
      <w:r>
        <w:rPr>
          <w:color w:val="0D0D0D"/>
          <w:spacing w:val="-2"/>
        </w:rPr>
        <w:t> </w:t>
      </w:r>
      <w:r>
        <w:rPr>
          <w:color w:val="0D0D0D"/>
        </w:rPr>
        <w:t>en</w:t>
      </w:r>
      <w:r>
        <w:rPr>
          <w:color w:val="0D0D0D"/>
          <w:spacing w:val="-5"/>
        </w:rPr>
        <w:t> </w:t>
      </w:r>
      <w:r>
        <w:rPr>
          <w:color w:val="0D0D0D"/>
        </w:rPr>
        <w:t>el momento de</w:t>
      </w:r>
      <w:r>
        <w:rPr>
          <w:color w:val="0D0D0D"/>
          <w:spacing w:val="-4"/>
        </w:rPr>
        <w:t> </w:t>
      </w:r>
      <w:r>
        <w:rPr>
          <w:color w:val="0D0D0D"/>
        </w:rPr>
        <w:t>la</w:t>
      </w:r>
      <w:r>
        <w:rPr>
          <w:color w:val="0D0D0D"/>
          <w:spacing w:val="1"/>
        </w:rPr>
        <w:t> </w:t>
      </w:r>
      <w:r>
        <w:rPr>
          <w:color w:val="0D0D0D"/>
          <w:spacing w:val="-2"/>
        </w:rPr>
        <w:t>consulta</w:t>
      </w:r>
    </w:p>
    <w:p>
      <w:pPr>
        <w:pStyle w:val="BodyText"/>
        <w:spacing w:before="240"/>
      </w:pPr>
    </w:p>
    <w:p>
      <w:pPr>
        <w:spacing w:line="480" w:lineRule="auto" w:before="0"/>
        <w:ind w:left="568" w:right="0" w:firstLine="0"/>
        <w:jc w:val="left"/>
        <w:rPr>
          <w:sz w:val="24"/>
        </w:rPr>
      </w:pPr>
      <w:r>
        <w:rPr>
          <w:b/>
          <w:color w:val="0D0D0D"/>
          <w:sz w:val="24"/>
        </w:rPr>
        <w:t>Frecuencia</w:t>
      </w:r>
      <w:r>
        <w:rPr>
          <w:b/>
          <w:color w:val="0D0D0D"/>
          <w:spacing w:val="-8"/>
          <w:sz w:val="24"/>
        </w:rPr>
        <w:t> </w:t>
      </w:r>
      <w:r>
        <w:rPr>
          <w:b/>
          <w:color w:val="0D0D0D"/>
          <w:sz w:val="24"/>
        </w:rPr>
        <w:t>cardíaca</w:t>
      </w:r>
      <w:r>
        <w:rPr>
          <w:b/>
          <w:color w:val="0D0D0D"/>
          <w:spacing w:val="-5"/>
          <w:sz w:val="24"/>
        </w:rPr>
        <w:t> </w:t>
      </w:r>
      <w:r>
        <w:rPr>
          <w:b/>
          <w:color w:val="0D0D0D"/>
          <w:sz w:val="24"/>
        </w:rPr>
        <w:t>(lpm):</w:t>
      </w:r>
      <w:r>
        <w:rPr>
          <w:b/>
          <w:color w:val="0D0D0D"/>
          <w:spacing w:val="-4"/>
          <w:sz w:val="24"/>
        </w:rPr>
        <w:t> </w:t>
      </w:r>
      <w:r>
        <w:rPr>
          <w:color w:val="0D0D0D"/>
          <w:sz w:val="24"/>
        </w:rPr>
        <w:t>se</w:t>
      </w:r>
      <w:r>
        <w:rPr>
          <w:color w:val="0D0D0D"/>
          <w:spacing w:val="-6"/>
          <w:sz w:val="24"/>
        </w:rPr>
        <w:t> </w:t>
      </w:r>
      <w:r>
        <w:rPr>
          <w:color w:val="0D0D0D"/>
          <w:sz w:val="24"/>
        </w:rPr>
        <w:t>determinó</w:t>
      </w:r>
      <w:r>
        <w:rPr>
          <w:color w:val="0D0D0D"/>
          <w:spacing w:val="-7"/>
          <w:sz w:val="24"/>
        </w:rPr>
        <w:t> </w:t>
      </w:r>
      <w:r>
        <w:rPr>
          <w:color w:val="0D0D0D"/>
          <w:sz w:val="24"/>
        </w:rPr>
        <w:t>escuchando</w:t>
      </w:r>
      <w:r>
        <w:rPr>
          <w:color w:val="0D0D0D"/>
          <w:spacing w:val="-4"/>
          <w:sz w:val="24"/>
        </w:rPr>
        <w:t> </w:t>
      </w:r>
      <w:r>
        <w:rPr>
          <w:color w:val="0D0D0D"/>
          <w:sz w:val="24"/>
        </w:rPr>
        <w:t>cuantos</w:t>
      </w:r>
      <w:r>
        <w:rPr>
          <w:color w:val="0D0D0D"/>
          <w:spacing w:val="-5"/>
          <w:sz w:val="24"/>
        </w:rPr>
        <w:t> </w:t>
      </w:r>
      <w:r>
        <w:rPr>
          <w:color w:val="0D0D0D"/>
          <w:sz w:val="24"/>
        </w:rPr>
        <w:t>latidos</w:t>
      </w:r>
      <w:r>
        <w:rPr>
          <w:color w:val="0D0D0D"/>
          <w:spacing w:val="-5"/>
          <w:sz w:val="24"/>
        </w:rPr>
        <w:t> </w:t>
      </w:r>
      <w:r>
        <w:rPr>
          <w:color w:val="0D0D0D"/>
          <w:sz w:val="24"/>
        </w:rPr>
        <w:t>por</w:t>
      </w:r>
      <w:r>
        <w:rPr>
          <w:color w:val="0D0D0D"/>
          <w:spacing w:val="-7"/>
          <w:sz w:val="24"/>
        </w:rPr>
        <w:t> </w:t>
      </w:r>
      <w:r>
        <w:rPr>
          <w:color w:val="0D0D0D"/>
          <w:sz w:val="24"/>
        </w:rPr>
        <w:t>minutos tiene cada paciente mediante un fonendoscopio</w:t>
      </w:r>
    </w:p>
    <w:p>
      <w:pPr>
        <w:spacing w:line="480" w:lineRule="auto" w:before="240"/>
        <w:ind w:left="568" w:right="0" w:firstLine="0"/>
        <w:jc w:val="left"/>
        <w:rPr>
          <w:sz w:val="24"/>
        </w:rPr>
      </w:pPr>
      <w:r>
        <w:rPr>
          <w:b/>
          <w:color w:val="0D0D0D"/>
          <w:sz w:val="24"/>
        </w:rPr>
        <w:t>Presión</w:t>
      </w:r>
      <w:r>
        <w:rPr>
          <w:b/>
          <w:color w:val="0D0D0D"/>
          <w:spacing w:val="31"/>
          <w:sz w:val="24"/>
        </w:rPr>
        <w:t> </w:t>
      </w:r>
      <w:r>
        <w:rPr>
          <w:b/>
          <w:color w:val="0D0D0D"/>
          <w:sz w:val="24"/>
        </w:rPr>
        <w:t>arterial</w:t>
      </w:r>
      <w:r>
        <w:rPr>
          <w:b/>
          <w:color w:val="0D0D0D"/>
          <w:spacing w:val="33"/>
          <w:sz w:val="24"/>
        </w:rPr>
        <w:t> </w:t>
      </w:r>
      <w:r>
        <w:rPr>
          <w:b/>
          <w:color w:val="0D0D0D"/>
          <w:sz w:val="24"/>
        </w:rPr>
        <w:t>sistólica,</w:t>
      </w:r>
      <w:r>
        <w:rPr>
          <w:b/>
          <w:color w:val="0D0D0D"/>
          <w:spacing w:val="32"/>
          <w:sz w:val="24"/>
        </w:rPr>
        <w:t> </w:t>
      </w:r>
      <w:r>
        <w:rPr>
          <w:b/>
          <w:color w:val="0D0D0D"/>
          <w:sz w:val="24"/>
        </w:rPr>
        <w:t>diastólica</w:t>
      </w:r>
      <w:r>
        <w:rPr>
          <w:b/>
          <w:color w:val="0D0D0D"/>
          <w:spacing w:val="32"/>
          <w:sz w:val="24"/>
        </w:rPr>
        <w:t> </w:t>
      </w:r>
      <w:r>
        <w:rPr>
          <w:b/>
          <w:color w:val="0D0D0D"/>
          <w:sz w:val="24"/>
        </w:rPr>
        <w:t>y</w:t>
      </w:r>
      <w:r>
        <w:rPr>
          <w:b/>
          <w:color w:val="0D0D0D"/>
          <w:spacing w:val="32"/>
          <w:sz w:val="24"/>
        </w:rPr>
        <w:t> </w:t>
      </w:r>
      <w:r>
        <w:rPr>
          <w:b/>
          <w:color w:val="0D0D0D"/>
          <w:sz w:val="24"/>
        </w:rPr>
        <w:t>media</w:t>
      </w:r>
      <w:r>
        <w:rPr>
          <w:b/>
          <w:color w:val="0D0D0D"/>
          <w:spacing w:val="32"/>
          <w:sz w:val="24"/>
        </w:rPr>
        <w:t> </w:t>
      </w:r>
      <w:r>
        <w:rPr>
          <w:b/>
          <w:color w:val="0D0D0D"/>
          <w:sz w:val="24"/>
        </w:rPr>
        <w:t>(mmHg):</w:t>
      </w:r>
      <w:r>
        <w:rPr>
          <w:b/>
          <w:color w:val="0D0D0D"/>
          <w:spacing w:val="40"/>
          <w:sz w:val="24"/>
        </w:rPr>
        <w:t> </w:t>
      </w:r>
      <w:r>
        <w:rPr>
          <w:color w:val="0D0D0D"/>
          <w:sz w:val="24"/>
        </w:rPr>
        <w:t>se</w:t>
      </w:r>
      <w:r>
        <w:rPr>
          <w:color w:val="0D0D0D"/>
          <w:spacing w:val="34"/>
          <w:sz w:val="24"/>
        </w:rPr>
        <w:t> </w:t>
      </w:r>
      <w:r>
        <w:rPr>
          <w:color w:val="0D0D0D"/>
          <w:sz w:val="24"/>
        </w:rPr>
        <w:t>midió</w:t>
      </w:r>
      <w:r>
        <w:rPr>
          <w:color w:val="0D0D0D"/>
          <w:spacing w:val="33"/>
          <w:sz w:val="24"/>
        </w:rPr>
        <w:t> </w:t>
      </w:r>
      <w:r>
        <w:rPr>
          <w:color w:val="0D0D0D"/>
          <w:sz w:val="24"/>
        </w:rPr>
        <w:t>mediante</w:t>
      </w:r>
      <w:r>
        <w:rPr>
          <w:color w:val="0D0D0D"/>
          <w:spacing w:val="34"/>
          <w:sz w:val="24"/>
        </w:rPr>
        <w:t> </w:t>
      </w:r>
      <w:r>
        <w:rPr>
          <w:color w:val="0D0D0D"/>
          <w:sz w:val="24"/>
        </w:rPr>
        <w:t>un monitor de parámetros colocando en mango correctamente en alguna extremidad</w:t>
      </w:r>
    </w:p>
    <w:p>
      <w:pPr>
        <w:spacing w:line="477" w:lineRule="auto" w:before="244"/>
        <w:ind w:left="568" w:right="0" w:firstLine="0"/>
        <w:jc w:val="left"/>
        <w:rPr>
          <w:sz w:val="24"/>
        </w:rPr>
      </w:pPr>
      <w:r>
        <w:rPr>
          <w:b/>
          <w:color w:val="0D0D0D"/>
          <w:sz w:val="24"/>
        </w:rPr>
        <w:t>Saturación parcial de oxígeno (Sp</w:t>
      </w:r>
      <w:r>
        <w:rPr>
          <w:rFonts w:ascii="Cambria Math" w:hAnsi="Cambria Math" w:eastAsia="Cambria Math"/>
          <w:color w:val="0D0D0D"/>
          <w:sz w:val="24"/>
        </w:rPr>
        <w:t>𝐎</w:t>
      </w:r>
      <w:r>
        <w:rPr>
          <w:rFonts w:ascii="Cambria Math" w:hAnsi="Cambria Math" w:eastAsia="Cambria Math"/>
          <w:color w:val="0D0D0D"/>
          <w:sz w:val="24"/>
          <w:vertAlign w:val="subscript"/>
        </w:rPr>
        <w:t>𝟐</w:t>
      </w:r>
      <w:r>
        <w:rPr>
          <w:b/>
          <w:color w:val="0D0D0D"/>
          <w:sz w:val="24"/>
          <w:vertAlign w:val="baseline"/>
        </w:rPr>
        <w:t>, %): </w:t>
      </w:r>
      <w:r>
        <w:rPr>
          <w:color w:val="0D0D0D"/>
          <w:sz w:val="24"/>
          <w:vertAlign w:val="baseline"/>
        </w:rPr>
        <w:t>se utilizó un sensor de oximetría de pulso con pletismografía colocado en la lengua de cada paciente.</w:t>
      </w:r>
    </w:p>
    <w:p>
      <w:pPr>
        <w:spacing w:after="0" w:line="477" w:lineRule="auto"/>
        <w:jc w:val="left"/>
        <w:rPr>
          <w:sz w:val="24"/>
        </w:rPr>
        <w:sectPr>
          <w:pgSz w:w="11910" w:h="16840"/>
          <w:pgMar w:header="0" w:footer="1038" w:top="1620" w:bottom="1220" w:left="1700" w:right="1559"/>
        </w:sectPr>
      </w:pPr>
    </w:p>
    <w:p>
      <w:pPr>
        <w:spacing w:line="480" w:lineRule="auto" w:before="64"/>
        <w:ind w:left="568" w:right="142" w:firstLine="0"/>
        <w:jc w:val="both"/>
        <w:rPr>
          <w:sz w:val="24"/>
        </w:rPr>
      </w:pPr>
      <w:r>
        <w:rPr>
          <w:b/>
          <w:color w:val="0D0D0D"/>
          <w:sz w:val="24"/>
        </w:rPr>
        <w:t>Temperatura corporal (°C): </w:t>
      </w:r>
      <w:r>
        <w:rPr>
          <w:color w:val="0D0D0D"/>
          <w:sz w:val="24"/>
        </w:rPr>
        <w:t>se determinó mediante un termómetro ya sea de mercurio o digital vía rectal.</w:t>
      </w:r>
    </w:p>
    <w:p>
      <w:pPr>
        <w:spacing w:line="480" w:lineRule="auto" w:before="240"/>
        <w:ind w:left="568" w:right="141" w:firstLine="0"/>
        <w:jc w:val="both"/>
        <w:rPr>
          <w:sz w:val="24"/>
        </w:rPr>
      </w:pPr>
      <w:r>
        <w:rPr>
          <w:b/>
          <w:color w:val="0D0D0D"/>
          <w:sz w:val="24"/>
        </w:rPr>
        <w:t>Tiempo de llenado capilar (segundos): </w:t>
      </w:r>
      <w:r>
        <w:rPr>
          <w:color w:val="0D0D0D"/>
          <w:sz w:val="24"/>
        </w:rPr>
        <w:t>se determinó presionando suavemente la encía de nuestro paciente</w:t>
      </w:r>
    </w:p>
    <w:p>
      <w:pPr>
        <w:pStyle w:val="BodyText"/>
        <w:spacing w:line="480" w:lineRule="auto" w:before="241"/>
        <w:ind w:left="568" w:right="144"/>
        <w:jc w:val="both"/>
      </w:pPr>
      <w:r>
        <w:rPr>
          <w:b/>
          <w:color w:val="0D0D0D"/>
        </w:rPr>
        <w:t>Condición corporal (BCS 1-5): </w:t>
      </w:r>
      <w:r>
        <w:rPr>
          <w:color w:val="0D0D0D"/>
        </w:rPr>
        <w:t>se determinó mediante observación y palpación clínica,</w:t>
      </w:r>
      <w:r>
        <w:rPr>
          <w:color w:val="0D0D0D"/>
          <w:spacing w:val="-2"/>
        </w:rPr>
        <w:t> </w:t>
      </w:r>
      <w:r>
        <w:rPr>
          <w:color w:val="0D0D0D"/>
        </w:rPr>
        <w:t>registrando</w:t>
      </w:r>
      <w:r>
        <w:rPr>
          <w:color w:val="0D0D0D"/>
          <w:spacing w:val="-2"/>
        </w:rPr>
        <w:t> </w:t>
      </w:r>
      <w:r>
        <w:rPr>
          <w:color w:val="0D0D0D"/>
        </w:rPr>
        <w:t>la</w:t>
      </w:r>
      <w:r>
        <w:rPr>
          <w:color w:val="0D0D0D"/>
          <w:spacing w:val="-1"/>
        </w:rPr>
        <w:t> </w:t>
      </w:r>
      <w:r>
        <w:rPr>
          <w:color w:val="0D0D0D"/>
        </w:rPr>
        <w:t>condición</w:t>
      </w:r>
      <w:r>
        <w:rPr>
          <w:color w:val="0D0D0D"/>
          <w:spacing w:val="-7"/>
        </w:rPr>
        <w:t> </w:t>
      </w:r>
      <w:r>
        <w:rPr>
          <w:color w:val="0D0D0D"/>
        </w:rPr>
        <w:t>corporal</w:t>
      </w:r>
      <w:r>
        <w:rPr>
          <w:color w:val="0D0D0D"/>
          <w:spacing w:val="-6"/>
        </w:rPr>
        <w:t> </w:t>
      </w:r>
      <w:r>
        <w:rPr>
          <w:color w:val="0D0D0D"/>
        </w:rPr>
        <w:t>de</w:t>
      </w:r>
      <w:r>
        <w:rPr>
          <w:color w:val="0D0D0D"/>
          <w:spacing w:val="-1"/>
        </w:rPr>
        <w:t> </w:t>
      </w:r>
      <w:r>
        <w:rPr>
          <w:color w:val="0D0D0D"/>
        </w:rPr>
        <w:t>cada</w:t>
      </w:r>
      <w:r>
        <w:rPr>
          <w:color w:val="0D0D0D"/>
          <w:spacing w:val="-1"/>
        </w:rPr>
        <w:t> </w:t>
      </w:r>
      <w:r>
        <w:rPr>
          <w:color w:val="0D0D0D"/>
        </w:rPr>
        <w:t>paciente</w:t>
      </w:r>
      <w:r>
        <w:rPr>
          <w:color w:val="0D0D0D"/>
          <w:spacing w:val="-5"/>
        </w:rPr>
        <w:t> </w:t>
      </w:r>
      <w:r>
        <w:rPr>
          <w:color w:val="0D0D0D"/>
        </w:rPr>
        <w:t>según</w:t>
      </w:r>
      <w:r>
        <w:rPr>
          <w:color w:val="0D0D0D"/>
          <w:spacing w:val="-2"/>
        </w:rPr>
        <w:t> </w:t>
      </w:r>
      <w:r>
        <w:rPr>
          <w:color w:val="0D0D0D"/>
        </w:rPr>
        <w:t>la</w:t>
      </w:r>
      <w:r>
        <w:rPr>
          <w:color w:val="0D0D0D"/>
          <w:spacing w:val="-1"/>
        </w:rPr>
        <w:t> </w:t>
      </w:r>
      <w:r>
        <w:rPr>
          <w:color w:val="0D0D0D"/>
        </w:rPr>
        <w:t>escala</w:t>
      </w:r>
      <w:r>
        <w:rPr>
          <w:color w:val="0D0D0D"/>
          <w:spacing w:val="-1"/>
        </w:rPr>
        <w:t> </w:t>
      </w:r>
      <w:r>
        <w:rPr>
          <w:color w:val="0D0D0D"/>
        </w:rPr>
        <w:t>de</w:t>
      </w:r>
      <w:r>
        <w:rPr>
          <w:color w:val="0D0D0D"/>
          <w:spacing w:val="-5"/>
        </w:rPr>
        <w:t> </w:t>
      </w:r>
      <w:r>
        <w:rPr>
          <w:color w:val="0D0D0D"/>
        </w:rPr>
        <w:t>1</w:t>
      </w:r>
      <w:r>
        <w:rPr>
          <w:color w:val="0D0D0D"/>
          <w:spacing w:val="-2"/>
        </w:rPr>
        <w:t> </w:t>
      </w:r>
      <w:r>
        <w:rPr>
          <w:color w:val="0D0D0D"/>
        </w:rPr>
        <w:t>a</w:t>
      </w:r>
      <w:r>
        <w:rPr>
          <w:color w:val="0D0D0D"/>
          <w:spacing w:val="-4"/>
        </w:rPr>
        <w:t> </w:t>
      </w:r>
      <w:r>
        <w:rPr>
          <w:color w:val="0D0D0D"/>
          <w:spacing w:val="-5"/>
        </w:rPr>
        <w:t>5.</w:t>
      </w:r>
    </w:p>
    <w:p>
      <w:pPr>
        <w:pStyle w:val="BodyText"/>
        <w:spacing w:line="480" w:lineRule="auto" w:before="241"/>
        <w:ind w:left="568" w:right="136"/>
        <w:jc w:val="both"/>
      </w:pPr>
      <w:r>
        <w:rPr>
          <w:b/>
          <w:color w:val="0D0D0D"/>
        </w:rPr>
        <w:t>Efectos adversos: </w:t>
      </w:r>
      <w:r>
        <w:rPr>
          <w:color w:val="0D0D0D"/>
        </w:rPr>
        <w:t>se registró la presencia de eventos como bradicardia &lt;60 lpm), </w:t>
      </w:r>
      <w:r>
        <w:rPr>
          <w:color w:val="0D0D0D"/>
          <w:spacing w:val="-2"/>
        </w:rPr>
        <w:t>arritmias,</w:t>
      </w:r>
      <w:r>
        <w:rPr>
          <w:color w:val="0D0D0D"/>
          <w:spacing w:val="-3"/>
        </w:rPr>
        <w:t> </w:t>
      </w:r>
      <w:r>
        <w:rPr>
          <w:color w:val="0D0D0D"/>
          <w:spacing w:val="-2"/>
        </w:rPr>
        <w:t>hipotensión</w:t>
      </w:r>
      <w:r>
        <w:rPr>
          <w:color w:val="0D0D0D"/>
          <w:spacing w:val="-3"/>
        </w:rPr>
        <w:t> </w:t>
      </w:r>
      <w:r>
        <w:rPr>
          <w:color w:val="0D0D0D"/>
          <w:spacing w:val="-2"/>
        </w:rPr>
        <w:t>(PAM</w:t>
      </w:r>
      <w:r>
        <w:rPr>
          <w:color w:val="0D0D0D"/>
          <w:spacing w:val="-6"/>
        </w:rPr>
        <w:t> </w:t>
      </w:r>
      <w:r>
        <w:rPr>
          <w:color w:val="0D0D0D"/>
          <w:spacing w:val="-2"/>
        </w:rPr>
        <w:t>&lt;60</w:t>
      </w:r>
      <w:r>
        <w:rPr>
          <w:color w:val="0D0D0D"/>
          <w:spacing w:val="-8"/>
        </w:rPr>
        <w:t> </w:t>
      </w:r>
      <w:r>
        <w:rPr>
          <w:color w:val="0D0D0D"/>
          <w:spacing w:val="-2"/>
        </w:rPr>
        <w:t>mmHg),</w:t>
      </w:r>
      <w:r>
        <w:rPr>
          <w:color w:val="0D0D0D"/>
          <w:spacing w:val="-8"/>
        </w:rPr>
        <w:t> </w:t>
      </w:r>
      <w:r>
        <w:rPr>
          <w:color w:val="0D0D0D"/>
          <w:spacing w:val="-2"/>
        </w:rPr>
        <w:t>apnea,</w:t>
      </w:r>
      <w:r>
        <w:rPr>
          <w:color w:val="0D0D0D"/>
          <w:spacing w:val="-3"/>
        </w:rPr>
        <w:t> </w:t>
      </w:r>
      <w:r>
        <w:rPr>
          <w:color w:val="0D0D0D"/>
          <w:spacing w:val="-2"/>
        </w:rPr>
        <w:t>hipoxia</w:t>
      </w:r>
      <w:r>
        <w:rPr>
          <w:color w:val="0D0D0D"/>
          <w:spacing w:val="-7"/>
        </w:rPr>
        <w:t> </w:t>
      </w:r>
      <w:r>
        <w:rPr>
          <w:color w:val="0D0D0D"/>
          <w:spacing w:val="-2"/>
        </w:rPr>
        <w:t>(SpO₂</w:t>
      </w:r>
      <w:r>
        <w:rPr>
          <w:color w:val="0D0D0D"/>
          <w:spacing w:val="-3"/>
        </w:rPr>
        <w:t> </w:t>
      </w:r>
      <w:r>
        <w:rPr>
          <w:color w:val="0D0D0D"/>
          <w:spacing w:val="-2"/>
        </w:rPr>
        <w:t>&lt;</w:t>
      </w:r>
      <w:r>
        <w:rPr>
          <w:color w:val="0D0D0D"/>
          <w:spacing w:val="-3"/>
        </w:rPr>
        <w:t> </w:t>
      </w:r>
      <w:r>
        <w:rPr>
          <w:color w:val="0D0D0D"/>
          <w:spacing w:val="-2"/>
        </w:rPr>
        <w:t>90%),</w:t>
      </w:r>
      <w:r>
        <w:rPr>
          <w:color w:val="0D0D0D"/>
          <w:spacing w:val="-3"/>
        </w:rPr>
        <w:t> </w:t>
      </w:r>
      <w:r>
        <w:rPr>
          <w:color w:val="0D0D0D"/>
          <w:spacing w:val="-2"/>
        </w:rPr>
        <w:t>hipotermia </w:t>
      </w:r>
      <w:r>
        <w:rPr>
          <w:color w:val="0D0D0D"/>
        </w:rPr>
        <w:t>(37,5°C), agitación durante la recuperación o vómitos posoperatorios</w:t>
      </w:r>
    </w:p>
    <w:p>
      <w:pPr>
        <w:pStyle w:val="Heading3"/>
        <w:numPr>
          <w:ilvl w:val="2"/>
          <w:numId w:val="8"/>
        </w:numPr>
        <w:tabs>
          <w:tab w:pos="1288" w:val="left" w:leader="none"/>
        </w:tabs>
        <w:spacing w:line="240" w:lineRule="auto" w:before="0" w:after="0"/>
        <w:ind w:left="1288" w:right="0" w:hanging="720"/>
        <w:jc w:val="both"/>
      </w:pPr>
      <w:bookmarkStart w:name="_bookmark36" w:id="37"/>
      <w:bookmarkEnd w:id="37"/>
      <w:r>
        <w:rPr>
          <w:b w:val="0"/>
        </w:rPr>
      </w:r>
      <w:r>
        <w:rPr>
          <w:color w:val="0D0D0D"/>
        </w:rPr>
        <w:t>Análisis</w:t>
      </w:r>
      <w:r>
        <w:rPr>
          <w:color w:val="0D0D0D"/>
          <w:spacing w:val="-7"/>
        </w:rPr>
        <w:t> </w:t>
      </w:r>
      <w:r>
        <w:rPr>
          <w:color w:val="0D0D0D"/>
        </w:rPr>
        <w:t>de</w:t>
      </w:r>
      <w:r>
        <w:rPr>
          <w:color w:val="0D0D0D"/>
          <w:spacing w:val="-1"/>
        </w:rPr>
        <w:t> </w:t>
      </w:r>
      <w:r>
        <w:rPr>
          <w:color w:val="0D0D0D"/>
          <w:spacing w:val="-2"/>
        </w:rPr>
        <w:t>datos</w:t>
      </w:r>
    </w:p>
    <w:p>
      <w:pPr>
        <w:pStyle w:val="BodyText"/>
        <w:spacing w:before="240"/>
        <w:rPr>
          <w:b/>
        </w:rPr>
      </w:pPr>
    </w:p>
    <w:p>
      <w:pPr>
        <w:pStyle w:val="BodyText"/>
        <w:spacing w:line="480" w:lineRule="auto"/>
        <w:ind w:left="568" w:right="145"/>
        <w:jc w:val="both"/>
      </w:pPr>
      <w:r>
        <w:rPr/>
        <w:t>La normalidad de las variables hemodinámicas se evaluó mediante la prueba de Shapiro-Wilk. Para comparar los parámetros hemodinámicos entre los diferentes tiempos de evaluación se aplicó la prueba de Friedman y, cuando se observaron diferencias</w:t>
      </w:r>
      <w:r>
        <w:rPr>
          <w:spacing w:val="-15"/>
        </w:rPr>
        <w:t> </w:t>
      </w:r>
      <w:r>
        <w:rPr/>
        <w:t>significativas,</w:t>
      </w:r>
      <w:r>
        <w:rPr>
          <w:spacing w:val="-15"/>
        </w:rPr>
        <w:t> </w:t>
      </w:r>
      <w:r>
        <w:rPr/>
        <w:t>se</w:t>
      </w:r>
      <w:r>
        <w:rPr>
          <w:spacing w:val="-15"/>
        </w:rPr>
        <w:t> </w:t>
      </w:r>
      <w:r>
        <w:rPr/>
        <w:t>realizaron</w:t>
      </w:r>
      <w:r>
        <w:rPr>
          <w:spacing w:val="-15"/>
        </w:rPr>
        <w:t> </w:t>
      </w:r>
      <w:r>
        <w:rPr/>
        <w:t>comparaciones</w:t>
      </w:r>
      <w:r>
        <w:rPr>
          <w:spacing w:val="-15"/>
        </w:rPr>
        <w:t> </w:t>
      </w:r>
      <w:r>
        <w:rPr/>
        <w:t>por</w:t>
      </w:r>
      <w:r>
        <w:rPr>
          <w:spacing w:val="-15"/>
        </w:rPr>
        <w:t> </w:t>
      </w:r>
      <w:r>
        <w:rPr/>
        <w:t>pares</w:t>
      </w:r>
      <w:r>
        <w:rPr>
          <w:spacing w:val="-15"/>
        </w:rPr>
        <w:t> </w:t>
      </w:r>
      <w:r>
        <w:rPr/>
        <w:t>mediante</w:t>
      </w:r>
      <w:r>
        <w:rPr>
          <w:spacing w:val="-15"/>
        </w:rPr>
        <w:t> </w:t>
      </w:r>
      <w:r>
        <w:rPr/>
        <w:t>la</w:t>
      </w:r>
      <w:r>
        <w:rPr>
          <w:spacing w:val="-15"/>
        </w:rPr>
        <w:t> </w:t>
      </w:r>
      <w:r>
        <w:rPr/>
        <w:t>prueba de Wilcoxon con corrección de Bonferroni. En todos los análisis se estableció un nivel de significancia de α = 0,05.</w:t>
      </w:r>
    </w:p>
    <w:p>
      <w:pPr>
        <w:pStyle w:val="BodyText"/>
        <w:spacing w:after="0" w:line="480" w:lineRule="auto"/>
        <w:jc w:val="both"/>
        <w:sectPr>
          <w:pgSz w:w="11910" w:h="16840"/>
          <w:pgMar w:header="0" w:footer="1038" w:top="1620" w:bottom="1220" w:left="1700" w:right="1559"/>
        </w:sectPr>
      </w:pPr>
    </w:p>
    <w:p>
      <w:pPr>
        <w:pStyle w:val="Heading2"/>
      </w:pPr>
      <w:bookmarkStart w:name="_bookmark37" w:id="38"/>
      <w:bookmarkEnd w:id="38"/>
      <w:r>
        <w:rPr>
          <w:b w:val="0"/>
        </w:rPr>
      </w:r>
      <w:r>
        <w:rPr/>
        <w:t>CAPÍTULO</w:t>
      </w:r>
      <w:r>
        <w:rPr>
          <w:spacing w:val="-7"/>
        </w:rPr>
        <w:t> </w:t>
      </w:r>
      <w:r>
        <w:rPr>
          <w:spacing w:val="-5"/>
        </w:rPr>
        <w:t>IV</w:t>
      </w:r>
    </w:p>
    <w:p>
      <w:pPr>
        <w:pStyle w:val="BodyText"/>
        <w:spacing w:before="240"/>
        <w:rPr>
          <w:b/>
        </w:rPr>
      </w:pPr>
    </w:p>
    <w:p>
      <w:pPr>
        <w:pStyle w:val="Heading2"/>
        <w:numPr>
          <w:ilvl w:val="0"/>
          <w:numId w:val="8"/>
        </w:numPr>
        <w:tabs>
          <w:tab w:pos="1000" w:val="left" w:leader="none"/>
        </w:tabs>
        <w:spacing w:line="240" w:lineRule="auto" w:before="0" w:after="0"/>
        <w:ind w:left="1000" w:right="0" w:hanging="432"/>
        <w:jc w:val="left"/>
      </w:pPr>
      <w:bookmarkStart w:name="_bookmark38" w:id="39"/>
      <w:bookmarkEnd w:id="39"/>
      <w:r>
        <w:rPr>
          <w:b w:val="0"/>
        </w:rPr>
      </w:r>
      <w:r>
        <w:rPr>
          <w:spacing w:val="-6"/>
        </w:rPr>
        <w:t>RESULTADOS</w:t>
      </w:r>
      <w:r>
        <w:rPr>
          <w:spacing w:val="-3"/>
        </w:rPr>
        <w:t> </w:t>
      </w:r>
      <w:r>
        <w:rPr>
          <w:spacing w:val="-6"/>
        </w:rPr>
        <w:t>Y</w:t>
      </w:r>
      <w:r>
        <w:rPr>
          <w:spacing w:val="-1"/>
        </w:rPr>
        <w:t> </w:t>
      </w:r>
      <w:r>
        <w:rPr>
          <w:spacing w:val="-6"/>
        </w:rPr>
        <w:t>DISCUSIÓN</w:t>
      </w:r>
    </w:p>
    <w:p>
      <w:pPr>
        <w:pStyle w:val="BodyText"/>
        <w:spacing w:before="161"/>
        <w:rPr>
          <w:b/>
        </w:rPr>
      </w:pPr>
    </w:p>
    <w:p>
      <w:pPr>
        <w:pStyle w:val="Heading3"/>
        <w:numPr>
          <w:ilvl w:val="1"/>
          <w:numId w:val="8"/>
        </w:numPr>
        <w:tabs>
          <w:tab w:pos="1144" w:val="left" w:leader="none"/>
        </w:tabs>
        <w:spacing w:line="240" w:lineRule="auto" w:before="0" w:after="0"/>
        <w:ind w:left="1144" w:right="0" w:hanging="576"/>
        <w:jc w:val="left"/>
      </w:pPr>
      <w:bookmarkStart w:name="_bookmark39" w:id="40"/>
      <w:bookmarkEnd w:id="40"/>
      <w:r>
        <w:rPr>
          <w:b w:val="0"/>
        </w:rPr>
      </w:r>
      <w:r>
        <w:rPr/>
        <w:t>Interpretación</w:t>
      </w:r>
      <w:r>
        <w:rPr>
          <w:spacing w:val="-6"/>
        </w:rPr>
        <w:t> </w:t>
      </w:r>
      <w:r>
        <w:rPr/>
        <w:t>de</w:t>
      </w:r>
      <w:r>
        <w:rPr>
          <w:spacing w:val="-2"/>
        </w:rPr>
        <w:t> resultados</w:t>
      </w:r>
    </w:p>
    <w:p>
      <w:pPr>
        <w:pStyle w:val="ListParagraph"/>
        <w:numPr>
          <w:ilvl w:val="2"/>
          <w:numId w:val="8"/>
        </w:numPr>
        <w:tabs>
          <w:tab w:pos="1288" w:val="left" w:leader="none"/>
        </w:tabs>
        <w:spacing w:line="550" w:lineRule="atLeast" w:before="82" w:after="0"/>
        <w:ind w:left="568" w:right="5166" w:firstLine="0"/>
        <w:jc w:val="left"/>
        <w:rPr>
          <w:sz w:val="24"/>
        </w:rPr>
      </w:pPr>
      <w:bookmarkStart w:name="_bookmark40" w:id="41"/>
      <w:bookmarkEnd w:id="41"/>
      <w:r>
        <w:rPr/>
      </w:r>
      <w:r>
        <w:rPr>
          <w:b/>
          <w:color w:val="0D0D0D"/>
          <w:sz w:val="24"/>
        </w:rPr>
        <w:t>Edad</w:t>
      </w:r>
      <w:r>
        <w:rPr>
          <w:b/>
          <w:color w:val="0D0D0D"/>
          <w:spacing w:val="-14"/>
          <w:sz w:val="24"/>
        </w:rPr>
        <w:t> </w:t>
      </w:r>
      <w:r>
        <w:rPr>
          <w:b/>
          <w:color w:val="0D0D0D"/>
          <w:sz w:val="24"/>
        </w:rPr>
        <w:t>de</w:t>
      </w:r>
      <w:r>
        <w:rPr>
          <w:b/>
          <w:color w:val="0D0D0D"/>
          <w:spacing w:val="-11"/>
          <w:sz w:val="24"/>
        </w:rPr>
        <w:t> </w:t>
      </w:r>
      <w:r>
        <w:rPr>
          <w:b/>
          <w:color w:val="0D0D0D"/>
          <w:sz w:val="24"/>
        </w:rPr>
        <w:t>los</w:t>
      </w:r>
      <w:r>
        <w:rPr>
          <w:b/>
          <w:color w:val="0D0D0D"/>
          <w:spacing w:val="-14"/>
          <w:sz w:val="24"/>
        </w:rPr>
        <w:t> </w:t>
      </w:r>
      <w:r>
        <w:rPr>
          <w:b/>
          <w:color w:val="0D0D0D"/>
          <w:sz w:val="24"/>
        </w:rPr>
        <w:t>pacientes </w:t>
      </w:r>
      <w:bookmarkStart w:name="_bookmark41" w:id="42"/>
      <w:bookmarkEnd w:id="42"/>
      <w:r>
        <w:rPr>
          <w:b/>
          <w:color w:val="0D0D0D"/>
          <w:sz w:val="24"/>
        </w:rPr>
      </w:r>
      <w:r>
        <w:rPr>
          <w:b/>
          <w:sz w:val="24"/>
        </w:rPr>
        <w:t>Tabla 2</w:t>
      </w:r>
      <w:r>
        <w:rPr>
          <w:sz w:val="24"/>
        </w:rPr>
        <w:t>.</w:t>
      </w:r>
    </w:p>
    <w:p>
      <w:pPr>
        <w:spacing w:before="142"/>
        <w:ind w:left="568" w:right="0" w:firstLine="0"/>
        <w:jc w:val="left"/>
        <w:rPr>
          <w:i/>
          <w:sz w:val="24"/>
        </w:rPr>
      </w:pPr>
      <w:r>
        <w:rPr>
          <w:i/>
          <w:sz w:val="24"/>
        </w:rPr>
        <w:t>Distribución de edad</w:t>
      </w:r>
      <w:r>
        <w:rPr>
          <w:i/>
          <w:spacing w:val="-2"/>
          <w:sz w:val="24"/>
        </w:rPr>
        <w:t> </w:t>
      </w:r>
      <w:r>
        <w:rPr>
          <w:i/>
          <w:sz w:val="24"/>
        </w:rPr>
        <w:t>de los</w:t>
      </w:r>
      <w:r>
        <w:rPr>
          <w:i/>
          <w:spacing w:val="-3"/>
          <w:sz w:val="24"/>
        </w:rPr>
        <w:t> </w:t>
      </w:r>
      <w:r>
        <w:rPr>
          <w:i/>
          <w:sz w:val="24"/>
        </w:rPr>
        <w:t>pacientes</w:t>
      </w:r>
      <w:r>
        <w:rPr>
          <w:i/>
          <w:spacing w:val="-3"/>
          <w:sz w:val="24"/>
        </w:rPr>
        <w:t> </w:t>
      </w:r>
      <w:r>
        <w:rPr>
          <w:i/>
          <w:spacing w:val="-2"/>
          <w:sz w:val="24"/>
        </w:rPr>
        <w:t>caninos</w:t>
      </w:r>
    </w:p>
    <w:p>
      <w:pPr>
        <w:pStyle w:val="BodyText"/>
        <w:spacing w:before="110"/>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44"/>
        <w:gridCol w:w="2298"/>
        <w:gridCol w:w="1721"/>
      </w:tblGrid>
      <w:tr>
        <w:trPr>
          <w:trHeight w:val="830" w:hRule="atLeast"/>
        </w:trPr>
        <w:tc>
          <w:tcPr>
            <w:tcW w:w="1944" w:type="dxa"/>
            <w:tcBorders>
              <w:top w:val="single" w:sz="4" w:space="0" w:color="000000"/>
              <w:bottom w:val="single" w:sz="4" w:space="0" w:color="000000"/>
            </w:tcBorders>
          </w:tcPr>
          <w:p>
            <w:pPr>
              <w:pStyle w:val="TableParagraph"/>
              <w:spacing w:before="3"/>
              <w:ind w:left="114"/>
              <w:jc w:val="left"/>
              <w:rPr>
                <w:b/>
                <w:sz w:val="24"/>
              </w:rPr>
            </w:pPr>
            <w:r>
              <w:rPr>
                <w:b/>
                <w:color w:val="0D0D0D"/>
                <w:sz w:val="24"/>
              </w:rPr>
              <w:t>Rango</w:t>
            </w:r>
            <w:r>
              <w:rPr>
                <w:b/>
                <w:color w:val="0D0D0D"/>
                <w:spacing w:val="-5"/>
                <w:sz w:val="24"/>
              </w:rPr>
              <w:t> de</w:t>
            </w:r>
          </w:p>
          <w:p>
            <w:pPr>
              <w:pStyle w:val="TableParagraph"/>
              <w:spacing w:before="136"/>
              <w:ind w:left="114"/>
              <w:jc w:val="left"/>
              <w:rPr>
                <w:b/>
                <w:sz w:val="24"/>
              </w:rPr>
            </w:pPr>
            <w:r>
              <w:rPr>
                <w:b/>
                <w:color w:val="0D0D0D"/>
                <w:sz w:val="24"/>
              </w:rPr>
              <w:t>edad</w:t>
            </w:r>
            <w:r>
              <w:rPr>
                <w:b/>
                <w:color w:val="0D0D0D"/>
                <w:spacing w:val="-6"/>
                <w:sz w:val="24"/>
              </w:rPr>
              <w:t> </w:t>
            </w:r>
            <w:r>
              <w:rPr>
                <w:b/>
                <w:color w:val="0D0D0D"/>
                <w:spacing w:val="-2"/>
                <w:sz w:val="24"/>
              </w:rPr>
              <w:t>(años)</w:t>
            </w:r>
          </w:p>
        </w:tc>
        <w:tc>
          <w:tcPr>
            <w:tcW w:w="2298" w:type="dxa"/>
            <w:tcBorders>
              <w:top w:val="single" w:sz="4" w:space="0" w:color="000000"/>
              <w:bottom w:val="single" w:sz="4" w:space="0" w:color="000000"/>
            </w:tcBorders>
          </w:tcPr>
          <w:p>
            <w:pPr>
              <w:pStyle w:val="TableParagraph"/>
              <w:spacing w:before="3"/>
              <w:ind w:right="510"/>
              <w:jc w:val="right"/>
              <w:rPr>
                <w:b/>
                <w:sz w:val="24"/>
              </w:rPr>
            </w:pPr>
            <w:r>
              <w:rPr>
                <w:b/>
                <w:color w:val="0D0D0D"/>
                <w:spacing w:val="-2"/>
                <w:sz w:val="24"/>
              </w:rPr>
              <w:t>Frecuencia</w:t>
            </w:r>
          </w:p>
        </w:tc>
        <w:tc>
          <w:tcPr>
            <w:tcW w:w="1721" w:type="dxa"/>
            <w:tcBorders>
              <w:top w:val="single" w:sz="4" w:space="0" w:color="000000"/>
              <w:bottom w:val="single" w:sz="4" w:space="0" w:color="000000"/>
            </w:tcBorders>
          </w:tcPr>
          <w:p>
            <w:pPr>
              <w:pStyle w:val="TableParagraph"/>
              <w:spacing w:before="3"/>
              <w:ind w:right="103"/>
              <w:jc w:val="right"/>
              <w:rPr>
                <w:b/>
                <w:sz w:val="24"/>
              </w:rPr>
            </w:pPr>
            <w:r>
              <w:rPr>
                <w:b/>
                <w:color w:val="0D0D0D"/>
                <w:spacing w:val="-2"/>
                <w:sz w:val="24"/>
              </w:rPr>
              <w:t>Porcentaje</w:t>
            </w:r>
          </w:p>
        </w:tc>
      </w:tr>
      <w:tr>
        <w:trPr>
          <w:trHeight w:val="350" w:hRule="atLeast"/>
        </w:trPr>
        <w:tc>
          <w:tcPr>
            <w:tcW w:w="1944" w:type="dxa"/>
            <w:tcBorders>
              <w:top w:val="single" w:sz="4" w:space="0" w:color="000000"/>
            </w:tcBorders>
          </w:tcPr>
          <w:p>
            <w:pPr>
              <w:pStyle w:val="TableParagraph"/>
              <w:spacing w:line="275" w:lineRule="exact" w:before="0"/>
              <w:ind w:left="114"/>
              <w:jc w:val="left"/>
              <w:rPr>
                <w:sz w:val="24"/>
              </w:rPr>
            </w:pPr>
            <w:r>
              <w:rPr>
                <w:sz w:val="24"/>
              </w:rPr>
              <w:t>1–</w:t>
            </w:r>
            <w:r>
              <w:rPr>
                <w:spacing w:val="-10"/>
                <w:sz w:val="24"/>
              </w:rPr>
              <w:t>3</w:t>
            </w:r>
          </w:p>
        </w:tc>
        <w:tc>
          <w:tcPr>
            <w:tcW w:w="2298" w:type="dxa"/>
            <w:tcBorders>
              <w:top w:val="single" w:sz="4" w:space="0" w:color="000000"/>
            </w:tcBorders>
          </w:tcPr>
          <w:p>
            <w:pPr>
              <w:pStyle w:val="TableParagraph"/>
              <w:spacing w:line="275" w:lineRule="exact" w:before="0"/>
              <w:ind w:right="512"/>
              <w:jc w:val="right"/>
              <w:rPr>
                <w:sz w:val="24"/>
              </w:rPr>
            </w:pPr>
            <w:r>
              <w:rPr>
                <w:spacing w:val="-5"/>
                <w:sz w:val="24"/>
              </w:rPr>
              <w:t>13</w:t>
            </w:r>
          </w:p>
        </w:tc>
        <w:tc>
          <w:tcPr>
            <w:tcW w:w="1721" w:type="dxa"/>
            <w:tcBorders>
              <w:top w:val="single" w:sz="4" w:space="0" w:color="000000"/>
            </w:tcBorders>
          </w:tcPr>
          <w:p>
            <w:pPr>
              <w:pStyle w:val="TableParagraph"/>
              <w:spacing w:line="275" w:lineRule="exact" w:before="0"/>
              <w:ind w:right="105"/>
              <w:jc w:val="right"/>
              <w:rPr>
                <w:sz w:val="24"/>
              </w:rPr>
            </w:pPr>
            <w:r>
              <w:rPr>
                <w:spacing w:val="-4"/>
                <w:sz w:val="24"/>
              </w:rPr>
              <w:t>43,3</w:t>
            </w:r>
          </w:p>
        </w:tc>
      </w:tr>
      <w:tr>
        <w:trPr>
          <w:trHeight w:val="414" w:hRule="atLeast"/>
        </w:trPr>
        <w:tc>
          <w:tcPr>
            <w:tcW w:w="1944" w:type="dxa"/>
          </w:tcPr>
          <w:p>
            <w:pPr>
              <w:pStyle w:val="TableParagraph"/>
              <w:spacing w:before="65"/>
              <w:ind w:left="114"/>
              <w:jc w:val="left"/>
              <w:rPr>
                <w:sz w:val="24"/>
              </w:rPr>
            </w:pPr>
            <w:r>
              <w:rPr>
                <w:sz w:val="24"/>
              </w:rPr>
              <w:t>4–</w:t>
            </w:r>
            <w:r>
              <w:rPr>
                <w:spacing w:val="-10"/>
                <w:sz w:val="24"/>
              </w:rPr>
              <w:t>6</w:t>
            </w:r>
          </w:p>
        </w:tc>
        <w:tc>
          <w:tcPr>
            <w:tcW w:w="2298" w:type="dxa"/>
          </w:tcPr>
          <w:p>
            <w:pPr>
              <w:pStyle w:val="TableParagraph"/>
              <w:spacing w:before="65"/>
              <w:ind w:right="512"/>
              <w:jc w:val="right"/>
              <w:rPr>
                <w:sz w:val="24"/>
              </w:rPr>
            </w:pPr>
            <w:r>
              <w:rPr>
                <w:spacing w:val="-5"/>
                <w:sz w:val="24"/>
              </w:rPr>
              <w:t>14</w:t>
            </w:r>
          </w:p>
        </w:tc>
        <w:tc>
          <w:tcPr>
            <w:tcW w:w="1721" w:type="dxa"/>
          </w:tcPr>
          <w:p>
            <w:pPr>
              <w:pStyle w:val="TableParagraph"/>
              <w:spacing w:before="65"/>
              <w:ind w:right="105"/>
              <w:jc w:val="right"/>
              <w:rPr>
                <w:sz w:val="24"/>
              </w:rPr>
            </w:pPr>
            <w:r>
              <w:rPr>
                <w:spacing w:val="-4"/>
                <w:sz w:val="24"/>
              </w:rPr>
              <w:t>46,7</w:t>
            </w:r>
          </w:p>
        </w:tc>
      </w:tr>
      <w:tr>
        <w:trPr>
          <w:trHeight w:val="414" w:hRule="atLeast"/>
        </w:trPr>
        <w:tc>
          <w:tcPr>
            <w:tcW w:w="1944" w:type="dxa"/>
          </w:tcPr>
          <w:p>
            <w:pPr>
              <w:pStyle w:val="TableParagraph"/>
              <w:spacing w:before="63"/>
              <w:ind w:left="114"/>
              <w:jc w:val="left"/>
              <w:rPr>
                <w:sz w:val="24"/>
              </w:rPr>
            </w:pPr>
            <w:r>
              <w:rPr>
                <w:sz w:val="24"/>
              </w:rPr>
              <w:t>≥ </w:t>
            </w:r>
            <w:r>
              <w:rPr>
                <w:spacing w:val="-10"/>
                <w:sz w:val="24"/>
              </w:rPr>
              <w:t>7</w:t>
            </w:r>
          </w:p>
        </w:tc>
        <w:tc>
          <w:tcPr>
            <w:tcW w:w="2298" w:type="dxa"/>
          </w:tcPr>
          <w:p>
            <w:pPr>
              <w:pStyle w:val="TableParagraph"/>
              <w:spacing w:before="63"/>
              <w:ind w:right="512"/>
              <w:jc w:val="right"/>
              <w:rPr>
                <w:sz w:val="24"/>
              </w:rPr>
            </w:pPr>
            <w:r>
              <w:rPr>
                <w:spacing w:val="-10"/>
                <w:sz w:val="24"/>
              </w:rPr>
              <w:t>3</w:t>
            </w:r>
          </w:p>
        </w:tc>
        <w:tc>
          <w:tcPr>
            <w:tcW w:w="1721" w:type="dxa"/>
          </w:tcPr>
          <w:p>
            <w:pPr>
              <w:pStyle w:val="TableParagraph"/>
              <w:spacing w:before="63"/>
              <w:ind w:right="105"/>
              <w:jc w:val="right"/>
              <w:rPr>
                <w:sz w:val="24"/>
              </w:rPr>
            </w:pPr>
            <w:r>
              <w:rPr>
                <w:spacing w:val="-5"/>
                <w:sz w:val="24"/>
              </w:rPr>
              <w:t>10</w:t>
            </w:r>
          </w:p>
        </w:tc>
      </w:tr>
      <w:tr>
        <w:trPr>
          <w:trHeight w:val="480" w:hRule="atLeast"/>
        </w:trPr>
        <w:tc>
          <w:tcPr>
            <w:tcW w:w="1944" w:type="dxa"/>
            <w:tcBorders>
              <w:bottom w:val="single" w:sz="4" w:space="0" w:color="000000"/>
            </w:tcBorders>
          </w:tcPr>
          <w:p>
            <w:pPr>
              <w:pStyle w:val="TableParagraph"/>
              <w:spacing w:before="65"/>
              <w:ind w:left="114"/>
              <w:jc w:val="left"/>
              <w:rPr>
                <w:b/>
                <w:sz w:val="24"/>
              </w:rPr>
            </w:pPr>
            <w:r>
              <w:rPr>
                <w:b/>
                <w:spacing w:val="-2"/>
                <w:sz w:val="24"/>
              </w:rPr>
              <w:t>Total</w:t>
            </w:r>
          </w:p>
        </w:tc>
        <w:tc>
          <w:tcPr>
            <w:tcW w:w="2298" w:type="dxa"/>
            <w:tcBorders>
              <w:bottom w:val="single" w:sz="4" w:space="0" w:color="000000"/>
            </w:tcBorders>
          </w:tcPr>
          <w:p>
            <w:pPr>
              <w:pStyle w:val="TableParagraph"/>
              <w:spacing w:before="65"/>
              <w:ind w:right="512"/>
              <w:jc w:val="right"/>
              <w:rPr>
                <w:b/>
                <w:sz w:val="24"/>
              </w:rPr>
            </w:pPr>
            <w:r>
              <w:rPr>
                <w:b/>
                <w:spacing w:val="-5"/>
                <w:sz w:val="24"/>
              </w:rPr>
              <w:t>30</w:t>
            </w:r>
          </w:p>
        </w:tc>
        <w:tc>
          <w:tcPr>
            <w:tcW w:w="1721" w:type="dxa"/>
            <w:tcBorders>
              <w:bottom w:val="single" w:sz="4" w:space="0" w:color="000000"/>
            </w:tcBorders>
          </w:tcPr>
          <w:p>
            <w:pPr>
              <w:pStyle w:val="TableParagraph"/>
              <w:spacing w:before="65"/>
              <w:ind w:right="106"/>
              <w:jc w:val="right"/>
              <w:rPr>
                <w:b/>
                <w:sz w:val="24"/>
              </w:rPr>
            </w:pPr>
            <w:r>
              <w:rPr>
                <w:b/>
                <w:spacing w:val="-2"/>
                <w:sz w:val="24"/>
              </w:rPr>
              <w:t>100,0</w:t>
            </w:r>
          </w:p>
        </w:tc>
      </w:tr>
    </w:tbl>
    <w:p>
      <w:pPr>
        <w:pStyle w:val="BodyText"/>
        <w:rPr>
          <w:i/>
        </w:rPr>
      </w:pPr>
    </w:p>
    <w:p>
      <w:pPr>
        <w:pStyle w:val="BodyText"/>
        <w:spacing w:before="54"/>
        <w:rPr>
          <w:i/>
        </w:rPr>
      </w:pPr>
    </w:p>
    <w:p>
      <w:pPr>
        <w:pStyle w:val="Heading3"/>
        <w:spacing w:before="1"/>
        <w:ind w:left="568" w:firstLine="0"/>
        <w:jc w:val="left"/>
      </w:pPr>
      <w:bookmarkStart w:name="_bookmark42" w:id="43"/>
      <w:bookmarkEnd w:id="43"/>
      <w:r>
        <w:rPr>
          <w:b w:val="0"/>
        </w:rPr>
      </w:r>
      <w:r>
        <w:rPr/>
        <w:t>Figura</w:t>
      </w:r>
      <w:r>
        <w:rPr>
          <w:spacing w:val="1"/>
        </w:rPr>
        <w:t> </w:t>
      </w:r>
      <w:r>
        <w:rPr>
          <w:spacing w:val="-5"/>
        </w:rPr>
        <w:t>1.</w:t>
      </w:r>
    </w:p>
    <w:p>
      <w:pPr>
        <w:spacing w:before="140"/>
        <w:ind w:left="568" w:right="0" w:firstLine="0"/>
        <w:jc w:val="left"/>
        <w:rPr>
          <w:i/>
          <w:sz w:val="24"/>
        </w:rPr>
      </w:pPr>
      <w:r>
        <w:rPr>
          <w:i/>
          <w:sz w:val="24"/>
        </w:rPr>
        <w:t>Distribución</w:t>
      </w:r>
      <w:r>
        <w:rPr>
          <w:i/>
          <w:spacing w:val="-3"/>
          <w:sz w:val="24"/>
        </w:rPr>
        <w:t> </w:t>
      </w:r>
      <w:r>
        <w:rPr>
          <w:i/>
          <w:sz w:val="24"/>
        </w:rPr>
        <w:t>porcentual</w:t>
      </w:r>
      <w:r>
        <w:rPr>
          <w:i/>
          <w:spacing w:val="-2"/>
          <w:sz w:val="24"/>
        </w:rPr>
        <w:t> </w:t>
      </w:r>
      <w:r>
        <w:rPr>
          <w:i/>
          <w:sz w:val="24"/>
        </w:rPr>
        <w:t>de</w:t>
      </w:r>
      <w:r>
        <w:rPr>
          <w:i/>
          <w:spacing w:val="-6"/>
          <w:sz w:val="24"/>
        </w:rPr>
        <w:t> </w:t>
      </w:r>
      <w:r>
        <w:rPr>
          <w:i/>
          <w:sz w:val="24"/>
        </w:rPr>
        <w:t>los</w:t>
      </w:r>
      <w:r>
        <w:rPr>
          <w:i/>
          <w:spacing w:val="-4"/>
          <w:sz w:val="24"/>
        </w:rPr>
        <w:t> </w:t>
      </w:r>
      <w:r>
        <w:rPr>
          <w:i/>
          <w:sz w:val="24"/>
        </w:rPr>
        <w:t>pacientes</w:t>
      </w:r>
      <w:r>
        <w:rPr>
          <w:i/>
          <w:spacing w:val="-5"/>
          <w:sz w:val="24"/>
        </w:rPr>
        <w:t> </w:t>
      </w:r>
      <w:r>
        <w:rPr>
          <w:i/>
          <w:sz w:val="24"/>
        </w:rPr>
        <w:t>según</w:t>
      </w:r>
      <w:r>
        <w:rPr>
          <w:i/>
          <w:spacing w:val="-3"/>
          <w:sz w:val="24"/>
        </w:rPr>
        <w:t> </w:t>
      </w:r>
      <w:r>
        <w:rPr>
          <w:i/>
          <w:sz w:val="24"/>
        </w:rPr>
        <w:t>rangos</w:t>
      </w:r>
      <w:r>
        <w:rPr>
          <w:i/>
          <w:spacing w:val="-5"/>
          <w:sz w:val="24"/>
        </w:rPr>
        <w:t> </w:t>
      </w:r>
      <w:r>
        <w:rPr>
          <w:i/>
          <w:sz w:val="24"/>
        </w:rPr>
        <w:t>de</w:t>
      </w:r>
      <w:r>
        <w:rPr>
          <w:i/>
          <w:spacing w:val="-1"/>
          <w:sz w:val="24"/>
        </w:rPr>
        <w:t> </w:t>
      </w:r>
      <w:r>
        <w:rPr>
          <w:i/>
          <w:spacing w:val="-4"/>
          <w:sz w:val="24"/>
        </w:rPr>
        <w:t>edad</w:t>
      </w:r>
    </w:p>
    <w:p>
      <w:pPr>
        <w:pStyle w:val="BodyText"/>
        <w:rPr>
          <w:i/>
          <w:sz w:val="20"/>
        </w:rPr>
      </w:pPr>
    </w:p>
    <w:p>
      <w:pPr>
        <w:pStyle w:val="BodyText"/>
        <w:spacing w:before="27"/>
        <w:rPr>
          <w:i/>
          <w:sz w:val="20"/>
        </w:rPr>
      </w:pPr>
      <w:r>
        <w:rPr>
          <w:i/>
          <w:sz w:val="20"/>
        </w:rPr>
        <w:drawing>
          <wp:anchor distT="0" distB="0" distL="0" distR="0" allowOverlap="1" layoutInCell="1" locked="0" behindDoc="1" simplePos="0" relativeHeight="487592960">
            <wp:simplePos x="0" y="0"/>
            <wp:positionH relativeFrom="page">
              <wp:posOffset>1531139</wp:posOffset>
            </wp:positionH>
            <wp:positionV relativeFrom="paragraph">
              <wp:posOffset>178662</wp:posOffset>
            </wp:positionV>
            <wp:extent cx="4084180" cy="2424684"/>
            <wp:effectExtent l="0" t="0" r="0" b="0"/>
            <wp:wrapTopAndBottom/>
            <wp:docPr id="16" name="Image 16" descr="Gráfico, Gráfico de barras  Descripción generada automáticamente"/>
            <wp:cNvGraphicFramePr>
              <a:graphicFrameLocks/>
            </wp:cNvGraphicFramePr>
            <a:graphic>
              <a:graphicData uri="http://schemas.openxmlformats.org/drawingml/2006/picture">
                <pic:pic>
                  <pic:nvPicPr>
                    <pic:cNvPr id="16" name="Image 16" descr="Gráfico, Gráfico de barras  Descripción generada automáticamente"/>
                    <pic:cNvPicPr/>
                  </pic:nvPicPr>
                  <pic:blipFill>
                    <a:blip r:embed="rId12" cstate="print"/>
                    <a:stretch>
                      <a:fillRect/>
                    </a:stretch>
                  </pic:blipFill>
                  <pic:spPr>
                    <a:xfrm>
                      <a:off x="0" y="0"/>
                      <a:ext cx="4084180" cy="2424684"/>
                    </a:xfrm>
                    <a:prstGeom prst="rect">
                      <a:avLst/>
                    </a:prstGeom>
                  </pic:spPr>
                </pic:pic>
              </a:graphicData>
            </a:graphic>
          </wp:anchor>
        </w:drawing>
      </w:r>
    </w:p>
    <w:p>
      <w:pPr>
        <w:pStyle w:val="BodyText"/>
        <w:rPr>
          <w:i/>
        </w:rPr>
      </w:pPr>
    </w:p>
    <w:p>
      <w:pPr>
        <w:pStyle w:val="BodyText"/>
        <w:spacing w:before="43"/>
        <w:rPr>
          <w:i/>
        </w:rPr>
      </w:pPr>
    </w:p>
    <w:p>
      <w:pPr>
        <w:pStyle w:val="BodyText"/>
        <w:spacing w:line="480" w:lineRule="auto"/>
        <w:ind w:left="568"/>
      </w:pPr>
      <w:r>
        <w:rPr>
          <w:color w:val="0D0D0D"/>
        </w:rPr>
        <w:t>La</w:t>
      </w:r>
      <w:r>
        <w:rPr>
          <w:color w:val="0D0D0D"/>
          <w:spacing w:val="40"/>
        </w:rPr>
        <w:t> </w:t>
      </w:r>
      <w:r>
        <w:rPr>
          <w:color w:val="0D0D0D"/>
        </w:rPr>
        <w:t>distribución</w:t>
      </w:r>
      <w:r>
        <w:rPr>
          <w:color w:val="0D0D0D"/>
          <w:spacing w:val="40"/>
        </w:rPr>
        <w:t> </w:t>
      </w:r>
      <w:r>
        <w:rPr>
          <w:color w:val="0D0D0D"/>
        </w:rPr>
        <w:t>por</w:t>
      </w:r>
      <w:r>
        <w:rPr>
          <w:color w:val="0D0D0D"/>
          <w:spacing w:val="40"/>
        </w:rPr>
        <w:t> </w:t>
      </w:r>
      <w:r>
        <w:rPr>
          <w:color w:val="0D0D0D"/>
        </w:rPr>
        <w:t>edad</w:t>
      </w:r>
      <w:r>
        <w:rPr>
          <w:color w:val="0D0D0D"/>
          <w:spacing w:val="40"/>
        </w:rPr>
        <w:t> </w:t>
      </w:r>
      <w:r>
        <w:rPr>
          <w:color w:val="0D0D0D"/>
        </w:rPr>
        <w:t>evidenció</w:t>
      </w:r>
      <w:r>
        <w:rPr>
          <w:color w:val="0D0D0D"/>
          <w:spacing w:val="40"/>
        </w:rPr>
        <w:t> </w:t>
      </w:r>
      <w:r>
        <w:rPr>
          <w:color w:val="0D0D0D"/>
        </w:rPr>
        <w:t>que</w:t>
      </w:r>
      <w:r>
        <w:rPr>
          <w:color w:val="0D0D0D"/>
          <w:spacing w:val="40"/>
        </w:rPr>
        <w:t> </w:t>
      </w:r>
      <w:r>
        <w:rPr>
          <w:color w:val="0D0D0D"/>
        </w:rPr>
        <w:t>la</w:t>
      </w:r>
      <w:r>
        <w:rPr>
          <w:color w:val="0D0D0D"/>
          <w:spacing w:val="40"/>
        </w:rPr>
        <w:t> </w:t>
      </w:r>
      <w:r>
        <w:rPr>
          <w:color w:val="0D0D0D"/>
        </w:rPr>
        <w:t>mayor</w:t>
      </w:r>
      <w:r>
        <w:rPr>
          <w:color w:val="0D0D0D"/>
          <w:spacing w:val="40"/>
        </w:rPr>
        <w:t> </w:t>
      </w:r>
      <w:r>
        <w:rPr>
          <w:color w:val="0D0D0D"/>
        </w:rPr>
        <w:t>proporción</w:t>
      </w:r>
      <w:r>
        <w:rPr>
          <w:color w:val="0D0D0D"/>
          <w:spacing w:val="40"/>
        </w:rPr>
        <w:t> </w:t>
      </w:r>
      <w:r>
        <w:rPr>
          <w:color w:val="0D0D0D"/>
        </w:rPr>
        <w:t>de</w:t>
      </w:r>
      <w:r>
        <w:rPr>
          <w:color w:val="0D0D0D"/>
          <w:spacing w:val="40"/>
        </w:rPr>
        <w:t> </w:t>
      </w:r>
      <w:r>
        <w:rPr>
          <w:color w:val="0D0D0D"/>
        </w:rPr>
        <w:t>pacientes</w:t>
      </w:r>
      <w:r>
        <w:rPr>
          <w:color w:val="0D0D0D"/>
          <w:spacing w:val="40"/>
        </w:rPr>
        <w:t> </w:t>
      </w:r>
      <w:r>
        <w:rPr>
          <w:color w:val="0D0D0D"/>
        </w:rPr>
        <w:t>(14 caninos)</w:t>
      </w:r>
      <w:r>
        <w:rPr>
          <w:color w:val="0D0D0D"/>
          <w:spacing w:val="15"/>
        </w:rPr>
        <w:t> </w:t>
      </w:r>
      <w:r>
        <w:rPr>
          <w:color w:val="0D0D0D"/>
        </w:rPr>
        <w:t>correspondió</w:t>
      </w:r>
      <w:r>
        <w:rPr>
          <w:color w:val="0D0D0D"/>
          <w:spacing w:val="14"/>
        </w:rPr>
        <w:t> </w:t>
      </w:r>
      <w:r>
        <w:rPr>
          <w:color w:val="0D0D0D"/>
        </w:rPr>
        <w:t>al</w:t>
      </w:r>
      <w:r>
        <w:rPr>
          <w:color w:val="0D0D0D"/>
          <w:spacing w:val="15"/>
        </w:rPr>
        <w:t> </w:t>
      </w:r>
      <w:r>
        <w:rPr>
          <w:color w:val="0D0D0D"/>
        </w:rPr>
        <w:t>rango</w:t>
      </w:r>
      <w:r>
        <w:rPr>
          <w:color w:val="0D0D0D"/>
          <w:spacing w:val="14"/>
        </w:rPr>
        <w:t> </w:t>
      </w:r>
      <w:r>
        <w:rPr>
          <w:color w:val="0D0D0D"/>
        </w:rPr>
        <w:t>de</w:t>
      </w:r>
      <w:r>
        <w:rPr>
          <w:color w:val="0D0D0D"/>
          <w:spacing w:val="16"/>
        </w:rPr>
        <w:t> </w:t>
      </w:r>
      <w:r>
        <w:rPr>
          <w:color w:val="0D0D0D"/>
        </w:rPr>
        <w:t>4</w:t>
      </w:r>
      <w:r>
        <w:rPr>
          <w:color w:val="0D0D0D"/>
          <w:spacing w:val="10"/>
        </w:rPr>
        <w:t> </w:t>
      </w:r>
      <w:r>
        <w:rPr>
          <w:color w:val="0D0D0D"/>
        </w:rPr>
        <w:t>a</w:t>
      </w:r>
      <w:r>
        <w:rPr>
          <w:color w:val="0D0D0D"/>
          <w:spacing w:val="16"/>
        </w:rPr>
        <w:t> </w:t>
      </w:r>
      <w:r>
        <w:rPr>
          <w:color w:val="0D0D0D"/>
        </w:rPr>
        <w:t>6</w:t>
      </w:r>
      <w:r>
        <w:rPr>
          <w:color w:val="0D0D0D"/>
          <w:spacing w:val="14"/>
        </w:rPr>
        <w:t> </w:t>
      </w:r>
      <w:r>
        <w:rPr>
          <w:color w:val="0D0D0D"/>
        </w:rPr>
        <w:t>años,</w:t>
      </w:r>
      <w:r>
        <w:rPr>
          <w:color w:val="0D0D0D"/>
          <w:spacing w:val="14"/>
        </w:rPr>
        <w:t> </w:t>
      </w:r>
      <w:r>
        <w:rPr>
          <w:color w:val="0D0D0D"/>
        </w:rPr>
        <w:t>equivalente</w:t>
      </w:r>
      <w:r>
        <w:rPr>
          <w:color w:val="0D0D0D"/>
          <w:spacing w:val="12"/>
        </w:rPr>
        <w:t> </w:t>
      </w:r>
      <w:r>
        <w:rPr>
          <w:color w:val="0D0D0D"/>
        </w:rPr>
        <w:t>al</w:t>
      </w:r>
      <w:r>
        <w:rPr>
          <w:color w:val="0D0D0D"/>
          <w:spacing w:val="15"/>
        </w:rPr>
        <w:t> </w:t>
      </w:r>
      <w:r>
        <w:rPr>
          <w:color w:val="0D0D0D"/>
        </w:rPr>
        <w:t>46,7</w:t>
      </w:r>
      <w:r>
        <w:rPr>
          <w:color w:val="0D0D0D"/>
          <w:spacing w:val="11"/>
        </w:rPr>
        <w:t> </w:t>
      </w:r>
      <w:r>
        <w:rPr>
          <w:color w:val="0D0D0D"/>
        </w:rPr>
        <w:t>%.</w:t>
      </w:r>
      <w:r>
        <w:rPr>
          <w:color w:val="0D0D0D"/>
          <w:spacing w:val="14"/>
        </w:rPr>
        <w:t> </w:t>
      </w:r>
      <w:r>
        <w:rPr>
          <w:color w:val="0D0D0D"/>
        </w:rPr>
        <w:t>En</w:t>
      </w:r>
      <w:r>
        <w:rPr>
          <w:color w:val="0D0D0D"/>
          <w:spacing w:val="14"/>
        </w:rPr>
        <w:t> </w:t>
      </w:r>
      <w:r>
        <w:rPr>
          <w:color w:val="0D0D0D"/>
          <w:spacing w:val="-2"/>
        </w:rPr>
        <w:t>segundo</w:t>
      </w:r>
    </w:p>
    <w:p>
      <w:pPr>
        <w:pStyle w:val="BodyText"/>
        <w:spacing w:after="0" w:line="480" w:lineRule="auto"/>
        <w:sectPr>
          <w:pgSz w:w="11910" w:h="16840"/>
          <w:pgMar w:header="0" w:footer="1038" w:top="1620" w:bottom="1220" w:left="1700" w:right="1559"/>
        </w:sectPr>
      </w:pPr>
    </w:p>
    <w:p>
      <w:pPr>
        <w:pStyle w:val="BodyText"/>
        <w:spacing w:line="480" w:lineRule="auto" w:before="64"/>
        <w:ind w:left="568" w:right="141"/>
        <w:jc w:val="both"/>
      </w:pPr>
      <w:r>
        <w:rPr>
          <w:color w:val="0D0D0D"/>
        </w:rPr>
        <w:t>lugar, con 13 pacientes se ubicó el grupo de 1 a 3 años, que representó el 43,3 %. Los caninos de 7 años o más (3 casos) tuvieron una baja representación, equivalentes al 10%.</w:t>
      </w:r>
    </w:p>
    <w:p>
      <w:pPr>
        <w:pStyle w:val="BodyText"/>
        <w:spacing w:line="480" w:lineRule="auto" w:before="241"/>
        <w:ind w:left="568" w:right="137"/>
        <w:jc w:val="both"/>
      </w:pPr>
      <w:r>
        <w:rPr>
          <w:color w:val="0D0D0D"/>
        </w:rPr>
        <w:t>Una baja proporción de pacientes mayores de 7 años reduce la posibilidad de que se atribuya las variaciones observadas a condiciones propias de la edad, aunque también limita la generalización de los resultados hacia ese grupo etario.</w:t>
      </w:r>
    </w:p>
    <w:p>
      <w:pPr>
        <w:pStyle w:val="BodyText"/>
        <w:spacing w:line="480" w:lineRule="auto" w:before="241"/>
        <w:ind w:left="568" w:right="138"/>
        <w:jc w:val="both"/>
      </w:pPr>
      <w:r>
        <w:rPr>
          <w:color w:val="0D0D0D"/>
        </w:rPr>
        <w:t>La</w:t>
      </w:r>
      <w:r>
        <w:rPr>
          <w:color w:val="0D0D0D"/>
          <w:spacing w:val="-5"/>
        </w:rPr>
        <w:t> </w:t>
      </w:r>
      <w:r>
        <w:rPr>
          <w:color w:val="0D0D0D"/>
        </w:rPr>
        <w:t>distribución</w:t>
      </w:r>
      <w:r>
        <w:rPr>
          <w:color w:val="0D0D0D"/>
          <w:spacing w:val="-7"/>
        </w:rPr>
        <w:t> </w:t>
      </w:r>
      <w:r>
        <w:rPr>
          <w:color w:val="0D0D0D"/>
        </w:rPr>
        <w:t>por</w:t>
      </w:r>
      <w:r>
        <w:rPr>
          <w:color w:val="0D0D0D"/>
          <w:spacing w:val="-6"/>
        </w:rPr>
        <w:t> </w:t>
      </w:r>
      <w:r>
        <w:rPr>
          <w:color w:val="0D0D0D"/>
        </w:rPr>
        <w:t>edad</w:t>
      </w:r>
      <w:r>
        <w:rPr>
          <w:color w:val="0D0D0D"/>
          <w:spacing w:val="-7"/>
        </w:rPr>
        <w:t> </w:t>
      </w:r>
      <w:r>
        <w:rPr>
          <w:color w:val="0D0D0D"/>
        </w:rPr>
        <w:t>sugiere</w:t>
      </w:r>
      <w:r>
        <w:rPr>
          <w:color w:val="0D0D0D"/>
          <w:spacing w:val="-5"/>
        </w:rPr>
        <w:t> </w:t>
      </w:r>
      <w:r>
        <w:rPr>
          <w:color w:val="0D0D0D"/>
        </w:rPr>
        <w:t>que</w:t>
      </w:r>
      <w:r>
        <w:rPr>
          <w:color w:val="0D0D0D"/>
          <w:spacing w:val="-5"/>
        </w:rPr>
        <w:t> </w:t>
      </w:r>
      <w:r>
        <w:rPr>
          <w:color w:val="0D0D0D"/>
        </w:rPr>
        <w:t>la</w:t>
      </w:r>
      <w:r>
        <w:rPr>
          <w:color w:val="0D0D0D"/>
          <w:spacing w:val="-5"/>
        </w:rPr>
        <w:t> </w:t>
      </w:r>
      <w:r>
        <w:rPr>
          <w:color w:val="0D0D0D"/>
        </w:rPr>
        <w:t>muestra</w:t>
      </w:r>
      <w:r>
        <w:rPr>
          <w:color w:val="0D0D0D"/>
          <w:spacing w:val="-5"/>
        </w:rPr>
        <w:t> </w:t>
      </w:r>
      <w:r>
        <w:rPr>
          <w:color w:val="0D0D0D"/>
        </w:rPr>
        <w:t>estuvo</w:t>
      </w:r>
      <w:r>
        <w:rPr>
          <w:color w:val="0D0D0D"/>
          <w:spacing w:val="-7"/>
        </w:rPr>
        <w:t> </w:t>
      </w:r>
      <w:r>
        <w:rPr>
          <w:color w:val="0D0D0D"/>
        </w:rPr>
        <w:t>conformada</w:t>
      </w:r>
      <w:r>
        <w:rPr>
          <w:color w:val="0D0D0D"/>
          <w:spacing w:val="-5"/>
        </w:rPr>
        <w:t> </w:t>
      </w:r>
      <w:r>
        <w:rPr>
          <w:color w:val="0D0D0D"/>
        </w:rPr>
        <w:t>principalmente por caninos jóvenes y adultos, condición que pudo favorecer una respuesta anestésica más estable. La edad avanzada se ha asociado con mayor riesgo anestésico en perros, especialmente cuando se combina con obesidad o una </w:t>
      </w:r>
      <w:r>
        <w:rPr>
          <w:color w:val="0D0D0D"/>
          <w:spacing w:val="-2"/>
        </w:rPr>
        <w:t>clasificación</w:t>
      </w:r>
      <w:r>
        <w:rPr>
          <w:color w:val="0D0D0D"/>
          <w:spacing w:val="-13"/>
        </w:rPr>
        <w:t> </w:t>
      </w:r>
      <w:r>
        <w:rPr>
          <w:color w:val="0D0D0D"/>
          <w:spacing w:val="-2"/>
        </w:rPr>
        <w:t>ASA</w:t>
      </w:r>
      <w:r>
        <w:rPr>
          <w:color w:val="0D0D0D"/>
          <w:spacing w:val="-13"/>
        </w:rPr>
        <w:t> </w:t>
      </w:r>
      <w:r>
        <w:rPr>
          <w:color w:val="0D0D0D"/>
          <w:spacing w:val="-2"/>
        </w:rPr>
        <w:t>elevada</w:t>
      </w:r>
      <w:r>
        <w:rPr>
          <w:color w:val="0D0D0D"/>
          <w:spacing w:val="-6"/>
        </w:rPr>
        <w:t> </w:t>
      </w:r>
      <w:r>
        <w:rPr>
          <w:color w:val="0D0D0D"/>
          <w:spacing w:val="-2"/>
        </w:rPr>
        <w:t>(Redondo, et al.,</w:t>
      </w:r>
      <w:r>
        <w:rPr>
          <w:color w:val="0D0D0D"/>
          <w:spacing w:val="-3"/>
        </w:rPr>
        <w:t> </w:t>
      </w:r>
      <w:r>
        <w:rPr>
          <w:color w:val="0D0D0D"/>
          <w:spacing w:val="-2"/>
        </w:rPr>
        <w:t>2023),</w:t>
      </w:r>
      <w:r>
        <w:rPr>
          <w:color w:val="0D0D0D"/>
          <w:spacing w:val="-3"/>
        </w:rPr>
        <w:t> </w:t>
      </w:r>
      <w:r>
        <w:rPr>
          <w:color w:val="0D0D0D"/>
          <w:spacing w:val="-2"/>
        </w:rPr>
        <w:t>por</w:t>
      </w:r>
      <w:r>
        <w:rPr>
          <w:color w:val="0D0D0D"/>
          <w:spacing w:val="-3"/>
        </w:rPr>
        <w:t> </w:t>
      </w:r>
      <w:r>
        <w:rPr>
          <w:color w:val="0D0D0D"/>
          <w:spacing w:val="-2"/>
        </w:rPr>
        <w:t>ello,</w:t>
      </w:r>
      <w:r>
        <w:rPr>
          <w:color w:val="0D0D0D"/>
          <w:spacing w:val="-3"/>
        </w:rPr>
        <w:t> </w:t>
      </w:r>
      <w:r>
        <w:rPr>
          <w:color w:val="0D0D0D"/>
          <w:spacing w:val="-2"/>
        </w:rPr>
        <w:t>los</w:t>
      </w:r>
      <w:r>
        <w:rPr>
          <w:color w:val="0D0D0D"/>
          <w:spacing w:val="-5"/>
        </w:rPr>
        <w:t> </w:t>
      </w:r>
      <w:r>
        <w:rPr>
          <w:color w:val="0D0D0D"/>
          <w:spacing w:val="-2"/>
        </w:rPr>
        <w:t>resultados</w:t>
      </w:r>
      <w:r>
        <w:rPr>
          <w:color w:val="0D0D0D"/>
          <w:spacing w:val="-5"/>
        </w:rPr>
        <w:t> </w:t>
      </w:r>
      <w:r>
        <w:rPr>
          <w:color w:val="0D0D0D"/>
          <w:spacing w:val="-2"/>
        </w:rPr>
        <w:t>obtenidos </w:t>
      </w:r>
      <w:r>
        <w:rPr>
          <w:color w:val="0D0D0D"/>
        </w:rPr>
        <w:t>deben interpretarse principalmente en pacientes jóvenes-adultos.</w:t>
      </w:r>
    </w:p>
    <w:p>
      <w:pPr>
        <w:pStyle w:val="Heading3"/>
        <w:numPr>
          <w:ilvl w:val="2"/>
          <w:numId w:val="8"/>
        </w:numPr>
        <w:tabs>
          <w:tab w:pos="1288" w:val="left" w:leader="none"/>
        </w:tabs>
        <w:spacing w:line="240" w:lineRule="auto" w:before="0" w:after="0"/>
        <w:ind w:left="1288" w:right="0" w:hanging="720"/>
        <w:jc w:val="both"/>
      </w:pPr>
      <w:bookmarkStart w:name="_bookmark43" w:id="44"/>
      <w:bookmarkEnd w:id="44"/>
      <w:r>
        <w:rPr>
          <w:b w:val="0"/>
        </w:rPr>
      </w:r>
      <w:r>
        <w:rPr>
          <w:color w:val="0D0D0D"/>
        </w:rPr>
        <w:t>Raza</w:t>
      </w:r>
      <w:r>
        <w:rPr>
          <w:color w:val="0D0D0D"/>
          <w:spacing w:val="-1"/>
        </w:rPr>
        <w:t> </w:t>
      </w:r>
      <w:r>
        <w:rPr>
          <w:color w:val="0D0D0D"/>
        </w:rPr>
        <w:t>de</w:t>
      </w:r>
      <w:r>
        <w:rPr>
          <w:color w:val="0D0D0D"/>
          <w:spacing w:val="-1"/>
        </w:rPr>
        <w:t> </w:t>
      </w:r>
      <w:r>
        <w:rPr>
          <w:color w:val="0D0D0D"/>
        </w:rPr>
        <w:t>los</w:t>
      </w:r>
      <w:r>
        <w:rPr>
          <w:color w:val="0D0D0D"/>
          <w:spacing w:val="-2"/>
        </w:rPr>
        <w:t> pacientes</w:t>
      </w:r>
    </w:p>
    <w:p>
      <w:pPr>
        <w:pStyle w:val="BodyText"/>
        <w:rPr>
          <w:b/>
        </w:rPr>
      </w:pPr>
    </w:p>
    <w:p>
      <w:pPr>
        <w:spacing w:before="0"/>
        <w:ind w:left="568" w:right="0" w:firstLine="0"/>
        <w:jc w:val="both"/>
        <w:rPr>
          <w:b/>
          <w:sz w:val="24"/>
        </w:rPr>
      </w:pPr>
      <w:bookmarkStart w:name="_bookmark44" w:id="45"/>
      <w:bookmarkEnd w:id="45"/>
      <w:r>
        <w:rPr/>
      </w:r>
      <w:r>
        <w:rPr>
          <w:b/>
          <w:spacing w:val="-2"/>
          <w:sz w:val="24"/>
        </w:rPr>
        <w:t>Tabla</w:t>
      </w:r>
      <w:r>
        <w:rPr>
          <w:b/>
          <w:spacing w:val="-12"/>
          <w:sz w:val="24"/>
        </w:rPr>
        <w:t> </w:t>
      </w:r>
      <w:r>
        <w:rPr>
          <w:b/>
          <w:spacing w:val="-5"/>
          <w:sz w:val="24"/>
        </w:rPr>
        <w:t>3.</w:t>
      </w:r>
    </w:p>
    <w:p>
      <w:pPr>
        <w:spacing w:before="140"/>
        <w:ind w:left="568" w:right="0" w:firstLine="0"/>
        <w:jc w:val="both"/>
        <w:rPr>
          <w:i/>
          <w:sz w:val="24"/>
        </w:rPr>
      </w:pPr>
      <w:r>
        <w:rPr>
          <w:i/>
          <w:sz w:val="24"/>
        </w:rPr>
        <w:t>Comparativa</w:t>
      </w:r>
      <w:r>
        <w:rPr>
          <w:i/>
          <w:spacing w:val="-5"/>
          <w:sz w:val="24"/>
        </w:rPr>
        <w:t> </w:t>
      </w:r>
      <w:r>
        <w:rPr>
          <w:i/>
          <w:sz w:val="24"/>
        </w:rPr>
        <w:t>porcentual</w:t>
      </w:r>
      <w:r>
        <w:rPr>
          <w:i/>
          <w:spacing w:val="-2"/>
          <w:sz w:val="24"/>
        </w:rPr>
        <w:t> </w:t>
      </w:r>
      <w:r>
        <w:rPr>
          <w:i/>
          <w:sz w:val="24"/>
        </w:rPr>
        <w:t>de</w:t>
      </w:r>
      <w:r>
        <w:rPr>
          <w:i/>
          <w:spacing w:val="-2"/>
          <w:sz w:val="24"/>
        </w:rPr>
        <w:t> </w:t>
      </w:r>
      <w:r>
        <w:rPr>
          <w:i/>
          <w:sz w:val="24"/>
        </w:rPr>
        <w:t>la</w:t>
      </w:r>
      <w:r>
        <w:rPr>
          <w:i/>
          <w:spacing w:val="-3"/>
          <w:sz w:val="24"/>
        </w:rPr>
        <w:t> </w:t>
      </w:r>
      <w:r>
        <w:rPr>
          <w:i/>
          <w:sz w:val="24"/>
        </w:rPr>
        <w:t>raza</w:t>
      </w:r>
      <w:r>
        <w:rPr>
          <w:i/>
          <w:spacing w:val="-2"/>
          <w:sz w:val="24"/>
        </w:rPr>
        <w:t> </w:t>
      </w:r>
      <w:r>
        <w:rPr>
          <w:i/>
          <w:sz w:val="24"/>
        </w:rPr>
        <w:t>de</w:t>
      </w:r>
      <w:r>
        <w:rPr>
          <w:i/>
          <w:spacing w:val="-2"/>
          <w:sz w:val="24"/>
        </w:rPr>
        <w:t> </w:t>
      </w:r>
      <w:r>
        <w:rPr>
          <w:i/>
          <w:sz w:val="24"/>
        </w:rPr>
        <w:t>los</w:t>
      </w:r>
      <w:r>
        <w:rPr>
          <w:i/>
          <w:spacing w:val="-9"/>
          <w:sz w:val="24"/>
        </w:rPr>
        <w:t> </w:t>
      </w:r>
      <w:r>
        <w:rPr>
          <w:i/>
          <w:sz w:val="24"/>
        </w:rPr>
        <w:t>pacientes</w:t>
      </w:r>
      <w:r>
        <w:rPr>
          <w:i/>
          <w:spacing w:val="-4"/>
          <w:sz w:val="24"/>
        </w:rPr>
        <w:t> </w:t>
      </w:r>
      <w:r>
        <w:rPr>
          <w:i/>
          <w:spacing w:val="-2"/>
          <w:sz w:val="24"/>
        </w:rPr>
        <w:t>caninos</w:t>
      </w:r>
    </w:p>
    <w:p>
      <w:pPr>
        <w:pStyle w:val="BodyText"/>
        <w:spacing w:before="111"/>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77"/>
        <w:gridCol w:w="3080"/>
        <w:gridCol w:w="1979"/>
      </w:tblGrid>
      <w:tr>
        <w:trPr>
          <w:trHeight w:val="278" w:hRule="atLeast"/>
        </w:trPr>
        <w:tc>
          <w:tcPr>
            <w:tcW w:w="2877" w:type="dxa"/>
            <w:tcBorders>
              <w:top w:val="single" w:sz="4" w:space="0" w:color="000000"/>
              <w:bottom w:val="single" w:sz="4" w:space="0" w:color="000000"/>
            </w:tcBorders>
          </w:tcPr>
          <w:p>
            <w:pPr>
              <w:pStyle w:val="TableParagraph"/>
              <w:spacing w:line="255" w:lineRule="exact" w:before="3"/>
              <w:ind w:left="114"/>
              <w:jc w:val="left"/>
              <w:rPr>
                <w:b/>
                <w:sz w:val="24"/>
              </w:rPr>
            </w:pPr>
            <w:r>
              <w:rPr>
                <w:b/>
                <w:color w:val="0D0D0D"/>
                <w:spacing w:val="-4"/>
                <w:sz w:val="24"/>
              </w:rPr>
              <w:t>Raza</w:t>
            </w:r>
          </w:p>
        </w:tc>
        <w:tc>
          <w:tcPr>
            <w:tcW w:w="3080" w:type="dxa"/>
            <w:tcBorders>
              <w:top w:val="single" w:sz="4" w:space="0" w:color="000000"/>
              <w:bottom w:val="single" w:sz="4" w:space="0" w:color="000000"/>
            </w:tcBorders>
          </w:tcPr>
          <w:p>
            <w:pPr>
              <w:pStyle w:val="TableParagraph"/>
              <w:spacing w:line="255" w:lineRule="exact" w:before="3"/>
              <w:ind w:right="768"/>
              <w:jc w:val="right"/>
              <w:rPr>
                <w:b/>
                <w:sz w:val="24"/>
              </w:rPr>
            </w:pPr>
            <w:r>
              <w:rPr>
                <w:b/>
                <w:color w:val="0D0D0D"/>
                <w:spacing w:val="-2"/>
                <w:sz w:val="24"/>
              </w:rPr>
              <w:t>Frecuencia</w:t>
            </w:r>
          </w:p>
        </w:tc>
        <w:tc>
          <w:tcPr>
            <w:tcW w:w="1979" w:type="dxa"/>
            <w:tcBorders>
              <w:top w:val="single" w:sz="4" w:space="0" w:color="000000"/>
              <w:bottom w:val="single" w:sz="4" w:space="0" w:color="000000"/>
            </w:tcBorders>
          </w:tcPr>
          <w:p>
            <w:pPr>
              <w:pStyle w:val="TableParagraph"/>
              <w:spacing w:line="255" w:lineRule="exact" w:before="3"/>
              <w:ind w:right="103"/>
              <w:jc w:val="right"/>
              <w:rPr>
                <w:b/>
                <w:sz w:val="24"/>
              </w:rPr>
            </w:pPr>
            <w:r>
              <w:rPr>
                <w:b/>
                <w:color w:val="0D0D0D"/>
                <w:spacing w:val="-2"/>
                <w:sz w:val="24"/>
              </w:rPr>
              <w:t>Porcentaje</w:t>
            </w:r>
          </w:p>
        </w:tc>
      </w:tr>
      <w:tr>
        <w:trPr>
          <w:trHeight w:val="280" w:hRule="atLeast"/>
        </w:trPr>
        <w:tc>
          <w:tcPr>
            <w:tcW w:w="2877" w:type="dxa"/>
            <w:tcBorders>
              <w:top w:val="single" w:sz="4" w:space="0" w:color="000000"/>
            </w:tcBorders>
          </w:tcPr>
          <w:p>
            <w:pPr>
              <w:pStyle w:val="TableParagraph"/>
              <w:spacing w:line="260" w:lineRule="exact" w:before="0"/>
              <w:ind w:left="114"/>
              <w:jc w:val="left"/>
              <w:rPr>
                <w:sz w:val="24"/>
              </w:rPr>
            </w:pPr>
            <w:r>
              <w:rPr>
                <w:spacing w:val="-2"/>
                <w:sz w:val="24"/>
              </w:rPr>
              <w:t>Mestizo</w:t>
            </w:r>
          </w:p>
        </w:tc>
        <w:tc>
          <w:tcPr>
            <w:tcW w:w="3080" w:type="dxa"/>
            <w:tcBorders>
              <w:top w:val="single" w:sz="4" w:space="0" w:color="000000"/>
            </w:tcBorders>
          </w:tcPr>
          <w:p>
            <w:pPr>
              <w:pStyle w:val="TableParagraph"/>
              <w:spacing w:line="260" w:lineRule="exact" w:before="0"/>
              <w:ind w:right="771"/>
              <w:jc w:val="right"/>
              <w:rPr>
                <w:sz w:val="24"/>
              </w:rPr>
            </w:pPr>
            <w:r>
              <w:rPr>
                <w:spacing w:val="-5"/>
                <w:sz w:val="24"/>
              </w:rPr>
              <w:t>17</w:t>
            </w:r>
          </w:p>
        </w:tc>
        <w:tc>
          <w:tcPr>
            <w:tcW w:w="1979" w:type="dxa"/>
            <w:tcBorders>
              <w:top w:val="single" w:sz="4" w:space="0" w:color="000000"/>
            </w:tcBorders>
          </w:tcPr>
          <w:p>
            <w:pPr>
              <w:pStyle w:val="TableParagraph"/>
              <w:spacing w:line="260" w:lineRule="exact" w:before="0"/>
              <w:ind w:right="105"/>
              <w:jc w:val="right"/>
              <w:rPr>
                <w:sz w:val="24"/>
              </w:rPr>
            </w:pPr>
            <w:r>
              <w:rPr>
                <w:spacing w:val="-4"/>
                <w:sz w:val="24"/>
              </w:rPr>
              <w:t>56,7</w:t>
            </w:r>
          </w:p>
        </w:tc>
      </w:tr>
      <w:tr>
        <w:trPr>
          <w:trHeight w:val="275" w:hRule="atLeast"/>
        </w:trPr>
        <w:tc>
          <w:tcPr>
            <w:tcW w:w="2877" w:type="dxa"/>
          </w:tcPr>
          <w:p>
            <w:pPr>
              <w:pStyle w:val="TableParagraph"/>
              <w:spacing w:line="256" w:lineRule="exact" w:before="0"/>
              <w:ind w:left="114"/>
              <w:jc w:val="left"/>
              <w:rPr>
                <w:sz w:val="24"/>
              </w:rPr>
            </w:pPr>
            <w:r>
              <w:rPr>
                <w:spacing w:val="-2"/>
                <w:sz w:val="24"/>
              </w:rPr>
              <w:t>Poodle</w:t>
            </w:r>
          </w:p>
        </w:tc>
        <w:tc>
          <w:tcPr>
            <w:tcW w:w="3080" w:type="dxa"/>
          </w:tcPr>
          <w:p>
            <w:pPr>
              <w:pStyle w:val="TableParagraph"/>
              <w:spacing w:line="256" w:lineRule="exact" w:before="0"/>
              <w:ind w:right="772"/>
              <w:jc w:val="right"/>
              <w:rPr>
                <w:sz w:val="24"/>
              </w:rPr>
            </w:pPr>
            <w:r>
              <w:rPr>
                <w:spacing w:val="-10"/>
                <w:sz w:val="24"/>
              </w:rPr>
              <w:t>4</w:t>
            </w:r>
          </w:p>
        </w:tc>
        <w:tc>
          <w:tcPr>
            <w:tcW w:w="1979" w:type="dxa"/>
          </w:tcPr>
          <w:p>
            <w:pPr>
              <w:pStyle w:val="TableParagraph"/>
              <w:spacing w:line="256" w:lineRule="exact" w:before="0"/>
              <w:ind w:right="105"/>
              <w:jc w:val="right"/>
              <w:rPr>
                <w:sz w:val="24"/>
              </w:rPr>
            </w:pPr>
            <w:r>
              <w:rPr>
                <w:spacing w:val="-4"/>
                <w:sz w:val="24"/>
              </w:rPr>
              <w:t>13,3</w:t>
            </w:r>
          </w:p>
        </w:tc>
      </w:tr>
      <w:tr>
        <w:trPr>
          <w:trHeight w:val="275" w:hRule="atLeast"/>
        </w:trPr>
        <w:tc>
          <w:tcPr>
            <w:tcW w:w="2877" w:type="dxa"/>
          </w:tcPr>
          <w:p>
            <w:pPr>
              <w:pStyle w:val="TableParagraph"/>
              <w:spacing w:line="256" w:lineRule="exact" w:before="0"/>
              <w:ind w:left="114"/>
              <w:jc w:val="left"/>
              <w:rPr>
                <w:sz w:val="24"/>
              </w:rPr>
            </w:pPr>
            <w:r>
              <w:rPr>
                <w:spacing w:val="-2"/>
                <w:sz w:val="24"/>
              </w:rPr>
              <w:t>Chihuahua</w:t>
            </w:r>
          </w:p>
        </w:tc>
        <w:tc>
          <w:tcPr>
            <w:tcW w:w="3080" w:type="dxa"/>
          </w:tcPr>
          <w:p>
            <w:pPr>
              <w:pStyle w:val="TableParagraph"/>
              <w:spacing w:line="256" w:lineRule="exact" w:before="0"/>
              <w:ind w:right="772"/>
              <w:jc w:val="right"/>
              <w:rPr>
                <w:sz w:val="24"/>
              </w:rPr>
            </w:pPr>
            <w:r>
              <w:rPr>
                <w:spacing w:val="-10"/>
                <w:sz w:val="24"/>
              </w:rPr>
              <w:t>3</w:t>
            </w:r>
          </w:p>
        </w:tc>
        <w:tc>
          <w:tcPr>
            <w:tcW w:w="1979" w:type="dxa"/>
          </w:tcPr>
          <w:p>
            <w:pPr>
              <w:pStyle w:val="TableParagraph"/>
              <w:spacing w:line="256" w:lineRule="exact" w:before="0"/>
              <w:ind w:right="105"/>
              <w:jc w:val="right"/>
              <w:rPr>
                <w:sz w:val="24"/>
              </w:rPr>
            </w:pPr>
            <w:r>
              <w:rPr>
                <w:spacing w:val="-4"/>
                <w:sz w:val="24"/>
              </w:rPr>
              <w:t>10,0</w:t>
            </w:r>
          </w:p>
        </w:tc>
      </w:tr>
      <w:tr>
        <w:trPr>
          <w:trHeight w:val="276" w:hRule="atLeast"/>
        </w:trPr>
        <w:tc>
          <w:tcPr>
            <w:tcW w:w="2877" w:type="dxa"/>
          </w:tcPr>
          <w:p>
            <w:pPr>
              <w:pStyle w:val="TableParagraph"/>
              <w:spacing w:line="256" w:lineRule="exact" w:before="0"/>
              <w:ind w:left="114"/>
              <w:jc w:val="left"/>
              <w:rPr>
                <w:sz w:val="24"/>
              </w:rPr>
            </w:pPr>
            <w:r>
              <w:rPr>
                <w:spacing w:val="-2"/>
                <w:sz w:val="24"/>
              </w:rPr>
              <w:t>Pequinés</w:t>
            </w:r>
          </w:p>
        </w:tc>
        <w:tc>
          <w:tcPr>
            <w:tcW w:w="3080" w:type="dxa"/>
          </w:tcPr>
          <w:p>
            <w:pPr>
              <w:pStyle w:val="TableParagraph"/>
              <w:spacing w:line="256" w:lineRule="exact" w:before="0"/>
              <w:ind w:right="772"/>
              <w:jc w:val="right"/>
              <w:rPr>
                <w:sz w:val="24"/>
              </w:rPr>
            </w:pPr>
            <w:r>
              <w:rPr>
                <w:spacing w:val="-10"/>
                <w:sz w:val="24"/>
              </w:rPr>
              <w:t>1</w:t>
            </w:r>
          </w:p>
        </w:tc>
        <w:tc>
          <w:tcPr>
            <w:tcW w:w="1979" w:type="dxa"/>
          </w:tcPr>
          <w:p>
            <w:pPr>
              <w:pStyle w:val="TableParagraph"/>
              <w:spacing w:line="256" w:lineRule="exact" w:before="0"/>
              <w:ind w:right="105"/>
              <w:jc w:val="right"/>
              <w:rPr>
                <w:sz w:val="24"/>
              </w:rPr>
            </w:pPr>
            <w:r>
              <w:rPr>
                <w:spacing w:val="-5"/>
                <w:sz w:val="24"/>
              </w:rPr>
              <w:t>3,3</w:t>
            </w:r>
          </w:p>
        </w:tc>
      </w:tr>
      <w:tr>
        <w:trPr>
          <w:trHeight w:val="276" w:hRule="atLeast"/>
        </w:trPr>
        <w:tc>
          <w:tcPr>
            <w:tcW w:w="2877" w:type="dxa"/>
          </w:tcPr>
          <w:p>
            <w:pPr>
              <w:pStyle w:val="TableParagraph"/>
              <w:spacing w:line="256" w:lineRule="exact" w:before="0"/>
              <w:ind w:left="114"/>
              <w:jc w:val="left"/>
              <w:rPr>
                <w:sz w:val="24"/>
              </w:rPr>
            </w:pPr>
            <w:r>
              <w:rPr>
                <w:spacing w:val="-2"/>
                <w:sz w:val="24"/>
              </w:rPr>
              <w:t>Pitbull</w:t>
            </w:r>
          </w:p>
        </w:tc>
        <w:tc>
          <w:tcPr>
            <w:tcW w:w="3080" w:type="dxa"/>
          </w:tcPr>
          <w:p>
            <w:pPr>
              <w:pStyle w:val="TableParagraph"/>
              <w:spacing w:line="256" w:lineRule="exact" w:before="0"/>
              <w:ind w:right="772"/>
              <w:jc w:val="right"/>
              <w:rPr>
                <w:sz w:val="24"/>
              </w:rPr>
            </w:pPr>
            <w:r>
              <w:rPr>
                <w:spacing w:val="-10"/>
                <w:sz w:val="24"/>
              </w:rPr>
              <w:t>1</w:t>
            </w:r>
          </w:p>
        </w:tc>
        <w:tc>
          <w:tcPr>
            <w:tcW w:w="1979" w:type="dxa"/>
          </w:tcPr>
          <w:p>
            <w:pPr>
              <w:pStyle w:val="TableParagraph"/>
              <w:spacing w:line="256" w:lineRule="exact" w:before="0"/>
              <w:ind w:right="105"/>
              <w:jc w:val="right"/>
              <w:rPr>
                <w:sz w:val="24"/>
              </w:rPr>
            </w:pPr>
            <w:r>
              <w:rPr>
                <w:spacing w:val="-5"/>
                <w:sz w:val="24"/>
              </w:rPr>
              <w:t>3,3</w:t>
            </w:r>
          </w:p>
        </w:tc>
      </w:tr>
      <w:tr>
        <w:trPr>
          <w:trHeight w:val="276" w:hRule="atLeast"/>
        </w:trPr>
        <w:tc>
          <w:tcPr>
            <w:tcW w:w="2877" w:type="dxa"/>
          </w:tcPr>
          <w:p>
            <w:pPr>
              <w:pStyle w:val="TableParagraph"/>
              <w:spacing w:line="256" w:lineRule="exact" w:before="0"/>
              <w:ind w:left="114"/>
              <w:jc w:val="left"/>
              <w:rPr>
                <w:sz w:val="24"/>
              </w:rPr>
            </w:pPr>
            <w:r>
              <w:rPr>
                <w:spacing w:val="-2"/>
                <w:sz w:val="24"/>
              </w:rPr>
              <w:t>Schnauzer</w:t>
            </w:r>
          </w:p>
        </w:tc>
        <w:tc>
          <w:tcPr>
            <w:tcW w:w="3080" w:type="dxa"/>
          </w:tcPr>
          <w:p>
            <w:pPr>
              <w:pStyle w:val="TableParagraph"/>
              <w:spacing w:line="256" w:lineRule="exact" w:before="0"/>
              <w:ind w:right="772"/>
              <w:jc w:val="right"/>
              <w:rPr>
                <w:sz w:val="24"/>
              </w:rPr>
            </w:pPr>
            <w:r>
              <w:rPr>
                <w:spacing w:val="-10"/>
                <w:sz w:val="24"/>
              </w:rPr>
              <w:t>1</w:t>
            </w:r>
          </w:p>
        </w:tc>
        <w:tc>
          <w:tcPr>
            <w:tcW w:w="1979" w:type="dxa"/>
          </w:tcPr>
          <w:p>
            <w:pPr>
              <w:pStyle w:val="TableParagraph"/>
              <w:spacing w:line="256" w:lineRule="exact" w:before="0"/>
              <w:ind w:right="105"/>
              <w:jc w:val="right"/>
              <w:rPr>
                <w:sz w:val="24"/>
              </w:rPr>
            </w:pPr>
            <w:r>
              <w:rPr>
                <w:spacing w:val="-5"/>
                <w:sz w:val="24"/>
              </w:rPr>
              <w:t>3,3</w:t>
            </w:r>
          </w:p>
        </w:tc>
      </w:tr>
      <w:tr>
        <w:trPr>
          <w:trHeight w:val="276" w:hRule="atLeast"/>
        </w:trPr>
        <w:tc>
          <w:tcPr>
            <w:tcW w:w="2877" w:type="dxa"/>
          </w:tcPr>
          <w:p>
            <w:pPr>
              <w:pStyle w:val="TableParagraph"/>
              <w:spacing w:line="256" w:lineRule="exact" w:before="0"/>
              <w:ind w:left="114"/>
              <w:jc w:val="left"/>
              <w:rPr>
                <w:sz w:val="24"/>
              </w:rPr>
            </w:pPr>
            <w:r>
              <w:rPr>
                <w:sz w:val="24"/>
              </w:rPr>
              <w:t>Bulldog</w:t>
            </w:r>
            <w:r>
              <w:rPr>
                <w:spacing w:val="2"/>
                <w:sz w:val="24"/>
              </w:rPr>
              <w:t> </w:t>
            </w:r>
            <w:r>
              <w:rPr>
                <w:spacing w:val="-2"/>
                <w:sz w:val="24"/>
              </w:rPr>
              <w:t>Francés</w:t>
            </w:r>
          </w:p>
        </w:tc>
        <w:tc>
          <w:tcPr>
            <w:tcW w:w="3080" w:type="dxa"/>
          </w:tcPr>
          <w:p>
            <w:pPr>
              <w:pStyle w:val="TableParagraph"/>
              <w:spacing w:line="256" w:lineRule="exact" w:before="0"/>
              <w:ind w:right="772"/>
              <w:jc w:val="right"/>
              <w:rPr>
                <w:sz w:val="24"/>
              </w:rPr>
            </w:pPr>
            <w:r>
              <w:rPr>
                <w:spacing w:val="-10"/>
                <w:sz w:val="24"/>
              </w:rPr>
              <w:t>1</w:t>
            </w:r>
          </w:p>
        </w:tc>
        <w:tc>
          <w:tcPr>
            <w:tcW w:w="1979" w:type="dxa"/>
          </w:tcPr>
          <w:p>
            <w:pPr>
              <w:pStyle w:val="TableParagraph"/>
              <w:spacing w:line="256" w:lineRule="exact" w:before="0"/>
              <w:ind w:right="105"/>
              <w:jc w:val="right"/>
              <w:rPr>
                <w:sz w:val="24"/>
              </w:rPr>
            </w:pPr>
            <w:r>
              <w:rPr>
                <w:spacing w:val="-5"/>
                <w:sz w:val="24"/>
              </w:rPr>
              <w:t>3,3</w:t>
            </w:r>
          </w:p>
        </w:tc>
      </w:tr>
      <w:tr>
        <w:trPr>
          <w:trHeight w:val="276" w:hRule="atLeast"/>
        </w:trPr>
        <w:tc>
          <w:tcPr>
            <w:tcW w:w="2877" w:type="dxa"/>
          </w:tcPr>
          <w:p>
            <w:pPr>
              <w:pStyle w:val="TableParagraph"/>
              <w:spacing w:line="256" w:lineRule="exact" w:before="0"/>
              <w:ind w:left="114"/>
              <w:jc w:val="left"/>
              <w:rPr>
                <w:sz w:val="24"/>
              </w:rPr>
            </w:pPr>
            <w:r>
              <w:rPr>
                <w:spacing w:val="-2"/>
                <w:sz w:val="24"/>
              </w:rPr>
              <w:t>Yorkshire</w:t>
            </w:r>
          </w:p>
        </w:tc>
        <w:tc>
          <w:tcPr>
            <w:tcW w:w="3080" w:type="dxa"/>
          </w:tcPr>
          <w:p>
            <w:pPr>
              <w:pStyle w:val="TableParagraph"/>
              <w:spacing w:line="256" w:lineRule="exact" w:before="0"/>
              <w:ind w:right="772"/>
              <w:jc w:val="right"/>
              <w:rPr>
                <w:sz w:val="24"/>
              </w:rPr>
            </w:pPr>
            <w:r>
              <w:rPr>
                <w:spacing w:val="-10"/>
                <w:sz w:val="24"/>
              </w:rPr>
              <w:t>1</w:t>
            </w:r>
          </w:p>
        </w:tc>
        <w:tc>
          <w:tcPr>
            <w:tcW w:w="1979" w:type="dxa"/>
          </w:tcPr>
          <w:p>
            <w:pPr>
              <w:pStyle w:val="TableParagraph"/>
              <w:spacing w:line="256" w:lineRule="exact" w:before="0"/>
              <w:ind w:right="105"/>
              <w:jc w:val="right"/>
              <w:rPr>
                <w:sz w:val="24"/>
              </w:rPr>
            </w:pPr>
            <w:r>
              <w:rPr>
                <w:spacing w:val="-5"/>
                <w:sz w:val="24"/>
              </w:rPr>
              <w:t>3,3</w:t>
            </w:r>
          </w:p>
        </w:tc>
      </w:tr>
      <w:tr>
        <w:trPr>
          <w:trHeight w:val="275" w:hRule="atLeast"/>
        </w:trPr>
        <w:tc>
          <w:tcPr>
            <w:tcW w:w="2877" w:type="dxa"/>
          </w:tcPr>
          <w:p>
            <w:pPr>
              <w:pStyle w:val="TableParagraph"/>
              <w:spacing w:line="256" w:lineRule="exact" w:before="0"/>
              <w:ind w:left="114"/>
              <w:jc w:val="left"/>
              <w:rPr>
                <w:sz w:val="24"/>
              </w:rPr>
            </w:pPr>
            <w:r>
              <w:rPr>
                <w:spacing w:val="-4"/>
                <w:sz w:val="24"/>
              </w:rPr>
              <w:t>Husky</w:t>
            </w:r>
          </w:p>
        </w:tc>
        <w:tc>
          <w:tcPr>
            <w:tcW w:w="3080" w:type="dxa"/>
          </w:tcPr>
          <w:p>
            <w:pPr>
              <w:pStyle w:val="TableParagraph"/>
              <w:spacing w:line="256" w:lineRule="exact" w:before="0"/>
              <w:ind w:right="772"/>
              <w:jc w:val="right"/>
              <w:rPr>
                <w:sz w:val="24"/>
              </w:rPr>
            </w:pPr>
            <w:r>
              <w:rPr>
                <w:spacing w:val="-10"/>
                <w:sz w:val="24"/>
              </w:rPr>
              <w:t>1</w:t>
            </w:r>
          </w:p>
        </w:tc>
        <w:tc>
          <w:tcPr>
            <w:tcW w:w="1979" w:type="dxa"/>
          </w:tcPr>
          <w:p>
            <w:pPr>
              <w:pStyle w:val="TableParagraph"/>
              <w:spacing w:line="256" w:lineRule="exact" w:before="0"/>
              <w:ind w:right="105"/>
              <w:jc w:val="right"/>
              <w:rPr>
                <w:sz w:val="24"/>
              </w:rPr>
            </w:pPr>
            <w:r>
              <w:rPr>
                <w:spacing w:val="-5"/>
                <w:sz w:val="24"/>
              </w:rPr>
              <w:t>3,3</w:t>
            </w:r>
          </w:p>
        </w:tc>
      </w:tr>
      <w:tr>
        <w:trPr>
          <w:trHeight w:val="273" w:hRule="atLeast"/>
        </w:trPr>
        <w:tc>
          <w:tcPr>
            <w:tcW w:w="2877" w:type="dxa"/>
            <w:tcBorders>
              <w:bottom w:val="single" w:sz="4" w:space="0" w:color="000000"/>
            </w:tcBorders>
          </w:tcPr>
          <w:p>
            <w:pPr>
              <w:pStyle w:val="TableParagraph"/>
              <w:spacing w:line="254" w:lineRule="exact" w:before="0"/>
              <w:ind w:left="114"/>
              <w:jc w:val="left"/>
              <w:rPr>
                <w:b/>
                <w:sz w:val="24"/>
              </w:rPr>
            </w:pPr>
            <w:r>
              <w:rPr>
                <w:b/>
                <w:spacing w:val="-2"/>
                <w:sz w:val="24"/>
              </w:rPr>
              <w:t>Total</w:t>
            </w:r>
          </w:p>
        </w:tc>
        <w:tc>
          <w:tcPr>
            <w:tcW w:w="3080" w:type="dxa"/>
            <w:tcBorders>
              <w:bottom w:val="single" w:sz="4" w:space="0" w:color="000000"/>
            </w:tcBorders>
          </w:tcPr>
          <w:p>
            <w:pPr>
              <w:pStyle w:val="TableParagraph"/>
              <w:spacing w:line="254" w:lineRule="exact" w:before="0"/>
              <w:ind w:right="771"/>
              <w:jc w:val="right"/>
              <w:rPr>
                <w:b/>
                <w:sz w:val="24"/>
              </w:rPr>
            </w:pPr>
            <w:r>
              <w:rPr>
                <w:b/>
                <w:spacing w:val="-5"/>
                <w:sz w:val="24"/>
              </w:rPr>
              <w:t>30</w:t>
            </w:r>
          </w:p>
        </w:tc>
        <w:tc>
          <w:tcPr>
            <w:tcW w:w="1979" w:type="dxa"/>
            <w:tcBorders>
              <w:bottom w:val="single" w:sz="4" w:space="0" w:color="000000"/>
            </w:tcBorders>
          </w:tcPr>
          <w:p>
            <w:pPr>
              <w:pStyle w:val="TableParagraph"/>
              <w:spacing w:line="254" w:lineRule="exact" w:before="0"/>
              <w:ind w:right="105"/>
              <w:jc w:val="right"/>
              <w:rPr>
                <w:b/>
                <w:sz w:val="24"/>
              </w:rPr>
            </w:pPr>
            <w:r>
              <w:rPr>
                <w:b/>
                <w:spacing w:val="-2"/>
                <w:sz w:val="24"/>
              </w:rPr>
              <w:t>100,0</w:t>
            </w:r>
          </w:p>
        </w:tc>
      </w:tr>
    </w:tbl>
    <w:p>
      <w:pPr>
        <w:pStyle w:val="TableParagraph"/>
        <w:spacing w:after="0" w:line="254" w:lineRule="exact"/>
        <w:jc w:val="right"/>
        <w:rPr>
          <w:b/>
          <w:sz w:val="24"/>
        </w:rPr>
        <w:sectPr>
          <w:pgSz w:w="11910" w:h="16840"/>
          <w:pgMar w:header="0" w:footer="1038" w:top="1620" w:bottom="1220" w:left="1700" w:right="1559"/>
        </w:sectPr>
      </w:pPr>
    </w:p>
    <w:p>
      <w:pPr>
        <w:spacing w:before="67"/>
        <w:ind w:left="568" w:right="0" w:firstLine="0"/>
        <w:jc w:val="left"/>
        <w:rPr>
          <w:b/>
          <w:sz w:val="22"/>
        </w:rPr>
      </w:pPr>
      <w:bookmarkStart w:name="_bookmark45" w:id="46"/>
      <w:bookmarkEnd w:id="46"/>
      <w:r>
        <w:rPr/>
      </w:r>
      <w:r>
        <w:rPr>
          <w:b/>
          <w:sz w:val="22"/>
        </w:rPr>
        <w:t>Figura</w:t>
      </w:r>
      <w:r>
        <w:rPr>
          <w:b/>
          <w:spacing w:val="-3"/>
          <w:sz w:val="22"/>
        </w:rPr>
        <w:t> </w:t>
      </w:r>
      <w:r>
        <w:rPr>
          <w:b/>
          <w:spacing w:val="-10"/>
          <w:sz w:val="22"/>
        </w:rPr>
        <w:t>2</w:t>
      </w:r>
    </w:p>
    <w:p>
      <w:pPr>
        <w:spacing w:before="39"/>
        <w:ind w:left="568" w:right="0" w:firstLine="0"/>
        <w:jc w:val="left"/>
        <w:rPr>
          <w:i/>
          <w:sz w:val="22"/>
        </w:rPr>
      </w:pPr>
      <w:r>
        <w:rPr>
          <w:i/>
          <w:sz w:val="22"/>
        </w:rPr>
        <w:t>Raza</w:t>
      </w:r>
      <w:r>
        <w:rPr>
          <w:i/>
          <w:spacing w:val="-5"/>
          <w:sz w:val="22"/>
        </w:rPr>
        <w:t> </w:t>
      </w:r>
      <w:r>
        <w:rPr>
          <w:i/>
          <w:sz w:val="22"/>
        </w:rPr>
        <w:t>de</w:t>
      </w:r>
      <w:r>
        <w:rPr>
          <w:i/>
          <w:spacing w:val="-3"/>
          <w:sz w:val="22"/>
        </w:rPr>
        <w:t> </w:t>
      </w:r>
      <w:r>
        <w:rPr>
          <w:i/>
          <w:sz w:val="22"/>
        </w:rPr>
        <w:t>los</w:t>
      </w:r>
      <w:r>
        <w:rPr>
          <w:i/>
          <w:spacing w:val="-4"/>
          <w:sz w:val="22"/>
        </w:rPr>
        <w:t> </w:t>
      </w:r>
      <w:r>
        <w:rPr>
          <w:i/>
          <w:sz w:val="22"/>
        </w:rPr>
        <w:t>pacientes</w:t>
      </w:r>
      <w:r>
        <w:rPr>
          <w:i/>
          <w:spacing w:val="-3"/>
          <w:sz w:val="22"/>
        </w:rPr>
        <w:t> </w:t>
      </w:r>
      <w:r>
        <w:rPr>
          <w:i/>
          <w:spacing w:val="-2"/>
          <w:sz w:val="22"/>
        </w:rPr>
        <w:t>caninos</w:t>
      </w:r>
    </w:p>
    <w:p>
      <w:pPr>
        <w:pStyle w:val="BodyText"/>
        <w:spacing w:before="1"/>
        <w:rPr>
          <w:i/>
          <w:sz w:val="20"/>
        </w:rPr>
      </w:pPr>
      <w:r>
        <w:rPr>
          <w:i/>
          <w:sz w:val="20"/>
        </w:rPr>
        <w:drawing>
          <wp:anchor distT="0" distB="0" distL="0" distR="0" allowOverlap="1" layoutInCell="1" locked="0" behindDoc="1" simplePos="0" relativeHeight="487593472">
            <wp:simplePos x="0" y="0"/>
            <wp:positionH relativeFrom="page">
              <wp:posOffset>1492612</wp:posOffset>
            </wp:positionH>
            <wp:positionV relativeFrom="paragraph">
              <wp:posOffset>162194</wp:posOffset>
            </wp:positionV>
            <wp:extent cx="4862001" cy="3132772"/>
            <wp:effectExtent l="0" t="0" r="0" b="0"/>
            <wp:wrapTopAndBottom/>
            <wp:docPr id="17" name="Image 17" descr="Gráfico, Gráfico de barras  Descripción generada automáticamente"/>
            <wp:cNvGraphicFramePr>
              <a:graphicFrameLocks/>
            </wp:cNvGraphicFramePr>
            <a:graphic>
              <a:graphicData uri="http://schemas.openxmlformats.org/drawingml/2006/picture">
                <pic:pic>
                  <pic:nvPicPr>
                    <pic:cNvPr id="17" name="Image 17" descr="Gráfico, Gráfico de barras  Descripción generada automáticamente"/>
                    <pic:cNvPicPr/>
                  </pic:nvPicPr>
                  <pic:blipFill>
                    <a:blip r:embed="rId13" cstate="print"/>
                    <a:stretch>
                      <a:fillRect/>
                    </a:stretch>
                  </pic:blipFill>
                  <pic:spPr>
                    <a:xfrm>
                      <a:off x="0" y="0"/>
                      <a:ext cx="4862001" cy="3132772"/>
                    </a:xfrm>
                    <a:prstGeom prst="rect">
                      <a:avLst/>
                    </a:prstGeom>
                  </pic:spPr>
                </pic:pic>
              </a:graphicData>
            </a:graphic>
          </wp:anchor>
        </w:drawing>
      </w:r>
    </w:p>
    <w:p>
      <w:pPr>
        <w:pStyle w:val="BodyText"/>
        <w:spacing w:before="64"/>
        <w:rPr>
          <w:i/>
          <w:sz w:val="22"/>
        </w:rPr>
      </w:pPr>
    </w:p>
    <w:p>
      <w:pPr>
        <w:pStyle w:val="BodyText"/>
        <w:spacing w:line="480" w:lineRule="auto"/>
        <w:ind w:left="568" w:right="136"/>
        <w:jc w:val="both"/>
      </w:pPr>
      <w:r>
        <w:rPr>
          <w:color w:val="0D0D0D"/>
        </w:rPr>
        <w:t>La distribución por raza de los pacientes evidenció un predominio de caninos mestizos con 17 casos, equivalentes al 56,7 % de la muestra, seguidos por la raza Poodle con el 13,3 % y Chihuahua con el 10,0 %, mientras que Pequinés, Pitbull, Schnauzer,</w:t>
      </w:r>
      <w:r>
        <w:rPr>
          <w:color w:val="0D0D0D"/>
          <w:spacing w:val="-15"/>
        </w:rPr>
        <w:t> </w:t>
      </w:r>
      <w:r>
        <w:rPr>
          <w:color w:val="0D0D0D"/>
        </w:rPr>
        <w:t>Bulldog</w:t>
      </w:r>
      <w:r>
        <w:rPr>
          <w:color w:val="0D0D0D"/>
          <w:spacing w:val="-12"/>
        </w:rPr>
        <w:t> </w:t>
      </w:r>
      <w:r>
        <w:rPr>
          <w:color w:val="0D0D0D"/>
        </w:rPr>
        <w:t>Francés,</w:t>
      </w:r>
      <w:r>
        <w:rPr>
          <w:color w:val="0D0D0D"/>
          <w:spacing w:val="-15"/>
        </w:rPr>
        <w:t> </w:t>
      </w:r>
      <w:r>
        <w:rPr>
          <w:color w:val="0D0D0D"/>
        </w:rPr>
        <w:t>Yorkshire,</w:t>
      </w:r>
      <w:r>
        <w:rPr>
          <w:color w:val="0D0D0D"/>
          <w:spacing w:val="-12"/>
        </w:rPr>
        <w:t> </w:t>
      </w:r>
      <w:r>
        <w:rPr>
          <w:color w:val="0D0D0D"/>
        </w:rPr>
        <w:t>así</w:t>
      </w:r>
      <w:r>
        <w:rPr>
          <w:color w:val="0D0D0D"/>
          <w:spacing w:val="-11"/>
        </w:rPr>
        <w:t> </w:t>
      </w:r>
      <w:r>
        <w:rPr>
          <w:color w:val="0D0D0D"/>
        </w:rPr>
        <w:t>como</w:t>
      </w:r>
      <w:r>
        <w:rPr>
          <w:color w:val="0D0D0D"/>
          <w:spacing w:val="-10"/>
        </w:rPr>
        <w:t> </w:t>
      </w:r>
      <w:r>
        <w:rPr>
          <w:color w:val="0D0D0D"/>
        </w:rPr>
        <w:t>Husky</w:t>
      </w:r>
      <w:r>
        <w:rPr>
          <w:color w:val="0D0D0D"/>
          <w:spacing w:val="-12"/>
        </w:rPr>
        <w:t> </w:t>
      </w:r>
      <w:r>
        <w:rPr>
          <w:color w:val="0D0D0D"/>
        </w:rPr>
        <w:t>registraron</w:t>
      </w:r>
      <w:r>
        <w:rPr>
          <w:color w:val="0D0D0D"/>
          <w:spacing w:val="-11"/>
        </w:rPr>
        <w:t> </w:t>
      </w:r>
      <w:r>
        <w:rPr>
          <w:color w:val="0D0D0D"/>
        </w:rPr>
        <w:t>una</w:t>
      </w:r>
      <w:r>
        <w:rPr>
          <w:color w:val="0D0D0D"/>
          <w:spacing w:val="-10"/>
        </w:rPr>
        <w:t> </w:t>
      </w:r>
      <w:r>
        <w:rPr>
          <w:color w:val="0D0D0D"/>
        </w:rPr>
        <w:t>frecuencia individual de 1 paciente, correspondiente al 3,3 % en cada caso. Los resultados reflejan</w:t>
      </w:r>
      <w:r>
        <w:rPr>
          <w:color w:val="0D0D0D"/>
          <w:spacing w:val="-2"/>
        </w:rPr>
        <w:t> </w:t>
      </w:r>
      <w:r>
        <w:rPr>
          <w:color w:val="0D0D0D"/>
        </w:rPr>
        <w:t>una</w:t>
      </w:r>
      <w:r>
        <w:rPr>
          <w:color w:val="0D0D0D"/>
          <w:spacing w:val="-5"/>
        </w:rPr>
        <w:t> </w:t>
      </w:r>
      <w:r>
        <w:rPr>
          <w:color w:val="0D0D0D"/>
        </w:rPr>
        <w:t>muestra</w:t>
      </w:r>
      <w:r>
        <w:rPr>
          <w:color w:val="0D0D0D"/>
          <w:spacing w:val="-5"/>
        </w:rPr>
        <w:t> </w:t>
      </w:r>
      <w:r>
        <w:rPr>
          <w:color w:val="0D0D0D"/>
        </w:rPr>
        <w:t>heterogénea</w:t>
      </w:r>
      <w:r>
        <w:rPr>
          <w:color w:val="0D0D0D"/>
          <w:spacing w:val="-1"/>
        </w:rPr>
        <w:t> </w:t>
      </w:r>
      <w:r>
        <w:rPr>
          <w:color w:val="0D0D0D"/>
        </w:rPr>
        <w:t>cercana</w:t>
      </w:r>
      <w:r>
        <w:rPr>
          <w:color w:val="0D0D0D"/>
          <w:spacing w:val="-5"/>
        </w:rPr>
        <w:t> </w:t>
      </w:r>
      <w:r>
        <w:rPr>
          <w:color w:val="0D0D0D"/>
        </w:rPr>
        <w:t>a</w:t>
      </w:r>
      <w:r>
        <w:rPr>
          <w:color w:val="0D0D0D"/>
          <w:spacing w:val="-1"/>
        </w:rPr>
        <w:t> </w:t>
      </w:r>
      <w:r>
        <w:rPr>
          <w:color w:val="0D0D0D"/>
        </w:rPr>
        <w:t>la</w:t>
      </w:r>
      <w:r>
        <w:rPr>
          <w:color w:val="0D0D0D"/>
          <w:spacing w:val="-5"/>
        </w:rPr>
        <w:t> </w:t>
      </w:r>
      <w:r>
        <w:rPr>
          <w:color w:val="0D0D0D"/>
        </w:rPr>
        <w:t>casuística</w:t>
      </w:r>
      <w:r>
        <w:rPr>
          <w:color w:val="0D0D0D"/>
          <w:spacing w:val="-5"/>
        </w:rPr>
        <w:t> </w:t>
      </w:r>
      <w:r>
        <w:rPr>
          <w:color w:val="0D0D0D"/>
        </w:rPr>
        <w:t>clínica</w:t>
      </w:r>
      <w:r>
        <w:rPr>
          <w:color w:val="0D0D0D"/>
          <w:spacing w:val="-1"/>
        </w:rPr>
        <w:t> </w:t>
      </w:r>
      <w:r>
        <w:rPr>
          <w:color w:val="0D0D0D"/>
        </w:rPr>
        <w:t>habitual,</w:t>
      </w:r>
      <w:r>
        <w:rPr>
          <w:color w:val="0D0D0D"/>
          <w:spacing w:val="-7"/>
        </w:rPr>
        <w:t> </w:t>
      </w:r>
      <w:r>
        <w:rPr>
          <w:color w:val="0D0D0D"/>
        </w:rPr>
        <w:t>aunque</w:t>
      </w:r>
      <w:r>
        <w:rPr>
          <w:color w:val="0D0D0D"/>
          <w:spacing w:val="-1"/>
        </w:rPr>
        <w:t> </w:t>
      </w:r>
      <w:r>
        <w:rPr>
          <w:color w:val="0D0D0D"/>
        </w:rPr>
        <w:t>la baja</w:t>
      </w:r>
      <w:r>
        <w:rPr>
          <w:color w:val="0D0D0D"/>
          <w:spacing w:val="-1"/>
        </w:rPr>
        <w:t> </w:t>
      </w:r>
      <w:r>
        <w:rPr>
          <w:color w:val="0D0D0D"/>
        </w:rPr>
        <w:t>representación</w:t>
      </w:r>
      <w:r>
        <w:rPr>
          <w:color w:val="0D0D0D"/>
          <w:spacing w:val="-7"/>
        </w:rPr>
        <w:t> </w:t>
      </w:r>
      <w:r>
        <w:rPr>
          <w:color w:val="0D0D0D"/>
        </w:rPr>
        <w:t>individual</w:t>
      </w:r>
      <w:r>
        <w:rPr>
          <w:color w:val="0D0D0D"/>
          <w:spacing w:val="-1"/>
        </w:rPr>
        <w:t> </w:t>
      </w:r>
      <w:r>
        <w:rPr>
          <w:color w:val="0D0D0D"/>
        </w:rPr>
        <w:t>de</w:t>
      </w:r>
      <w:r>
        <w:rPr>
          <w:color w:val="0D0D0D"/>
          <w:spacing w:val="-5"/>
        </w:rPr>
        <w:t> </w:t>
      </w:r>
      <w:r>
        <w:rPr>
          <w:color w:val="0D0D0D"/>
        </w:rPr>
        <w:t>las</w:t>
      </w:r>
      <w:r>
        <w:rPr>
          <w:color w:val="0D0D0D"/>
          <w:spacing w:val="-4"/>
        </w:rPr>
        <w:t> </w:t>
      </w:r>
      <w:r>
        <w:rPr>
          <w:color w:val="0D0D0D"/>
        </w:rPr>
        <w:t>razas</w:t>
      </w:r>
      <w:r>
        <w:rPr>
          <w:color w:val="0D0D0D"/>
          <w:spacing w:val="-4"/>
        </w:rPr>
        <w:t> </w:t>
      </w:r>
      <w:r>
        <w:rPr>
          <w:color w:val="0D0D0D"/>
        </w:rPr>
        <w:t>puras</w:t>
      </w:r>
      <w:r>
        <w:rPr>
          <w:color w:val="0D0D0D"/>
          <w:spacing w:val="-4"/>
        </w:rPr>
        <w:t> </w:t>
      </w:r>
      <w:r>
        <w:rPr>
          <w:color w:val="0D0D0D"/>
        </w:rPr>
        <w:t>limitó</w:t>
      </w:r>
      <w:r>
        <w:rPr>
          <w:color w:val="0D0D0D"/>
          <w:spacing w:val="-2"/>
        </w:rPr>
        <w:t> </w:t>
      </w:r>
      <w:r>
        <w:rPr>
          <w:color w:val="0D0D0D"/>
        </w:rPr>
        <w:t>la</w:t>
      </w:r>
      <w:r>
        <w:rPr>
          <w:color w:val="0D0D0D"/>
          <w:spacing w:val="-1"/>
        </w:rPr>
        <w:t> </w:t>
      </w:r>
      <w:r>
        <w:rPr>
          <w:color w:val="0D0D0D"/>
        </w:rPr>
        <w:t>posibilidad</w:t>
      </w:r>
      <w:r>
        <w:rPr>
          <w:color w:val="0D0D0D"/>
          <w:spacing w:val="-2"/>
        </w:rPr>
        <w:t> </w:t>
      </w:r>
      <w:r>
        <w:rPr>
          <w:color w:val="0D0D0D"/>
        </w:rPr>
        <w:t>de</w:t>
      </w:r>
      <w:r>
        <w:rPr>
          <w:color w:val="0D0D0D"/>
          <w:spacing w:val="-1"/>
        </w:rPr>
        <w:t> </w:t>
      </w:r>
      <w:r>
        <w:rPr>
          <w:color w:val="0D0D0D"/>
        </w:rPr>
        <w:t>establecer comparaciones específicas por raza; es por eso por lo que los resultados se interpretaron</w:t>
      </w:r>
      <w:r>
        <w:rPr>
          <w:color w:val="0D0D0D"/>
          <w:spacing w:val="-10"/>
        </w:rPr>
        <w:t> </w:t>
      </w:r>
      <w:r>
        <w:rPr>
          <w:color w:val="0D0D0D"/>
        </w:rPr>
        <w:t>en</w:t>
      </w:r>
      <w:r>
        <w:rPr>
          <w:color w:val="0D0D0D"/>
          <w:spacing w:val="-11"/>
        </w:rPr>
        <w:t> </w:t>
      </w:r>
      <w:r>
        <w:rPr>
          <w:color w:val="0D0D0D"/>
        </w:rPr>
        <w:t>función</w:t>
      </w:r>
      <w:r>
        <w:rPr>
          <w:color w:val="0D0D0D"/>
          <w:spacing w:val="-11"/>
        </w:rPr>
        <w:t> </w:t>
      </w:r>
      <w:r>
        <w:rPr>
          <w:color w:val="0D0D0D"/>
        </w:rPr>
        <w:t>de</w:t>
      </w:r>
      <w:r>
        <w:rPr>
          <w:color w:val="0D0D0D"/>
          <w:spacing w:val="-10"/>
        </w:rPr>
        <w:t> </w:t>
      </w:r>
      <w:r>
        <w:rPr>
          <w:color w:val="0D0D0D"/>
        </w:rPr>
        <w:t>la</w:t>
      </w:r>
      <w:r>
        <w:rPr>
          <w:color w:val="0D0D0D"/>
          <w:spacing w:val="-10"/>
        </w:rPr>
        <w:t> </w:t>
      </w:r>
      <w:r>
        <w:rPr>
          <w:color w:val="0D0D0D"/>
        </w:rPr>
        <w:t>vía</w:t>
      </w:r>
      <w:r>
        <w:rPr>
          <w:color w:val="0D0D0D"/>
          <w:spacing w:val="-10"/>
        </w:rPr>
        <w:t> </w:t>
      </w:r>
      <w:r>
        <w:rPr>
          <w:color w:val="0D0D0D"/>
        </w:rPr>
        <w:t>de</w:t>
      </w:r>
      <w:r>
        <w:rPr>
          <w:color w:val="0D0D0D"/>
          <w:spacing w:val="-10"/>
        </w:rPr>
        <w:t> </w:t>
      </w:r>
      <w:r>
        <w:rPr>
          <w:color w:val="0D0D0D"/>
        </w:rPr>
        <w:t>administración</w:t>
      </w:r>
      <w:r>
        <w:rPr>
          <w:color w:val="0D0D0D"/>
          <w:spacing w:val="-11"/>
        </w:rPr>
        <w:t> </w:t>
      </w:r>
      <w:r>
        <w:rPr>
          <w:color w:val="0D0D0D"/>
        </w:rPr>
        <w:t>de</w:t>
      </w:r>
      <w:r>
        <w:rPr>
          <w:color w:val="0D0D0D"/>
          <w:spacing w:val="-10"/>
        </w:rPr>
        <w:t> </w:t>
      </w:r>
      <w:r>
        <w:rPr>
          <w:color w:val="0D0D0D"/>
        </w:rPr>
        <w:t>la</w:t>
      </w:r>
      <w:r>
        <w:rPr>
          <w:color w:val="0D0D0D"/>
          <w:spacing w:val="-10"/>
        </w:rPr>
        <w:t> </w:t>
      </w:r>
      <w:r>
        <w:rPr>
          <w:color w:val="0D0D0D"/>
        </w:rPr>
        <w:t>dexmedetomidina</w:t>
      </w:r>
      <w:r>
        <w:rPr>
          <w:color w:val="0D0D0D"/>
          <w:spacing w:val="-10"/>
        </w:rPr>
        <w:t> </w:t>
      </w:r>
      <w:r>
        <w:rPr>
          <w:color w:val="0D0D0D"/>
        </w:rPr>
        <w:t>y</w:t>
      </w:r>
      <w:r>
        <w:rPr>
          <w:color w:val="0D0D0D"/>
          <w:spacing w:val="-11"/>
        </w:rPr>
        <w:t> </w:t>
      </w:r>
      <w:r>
        <w:rPr>
          <w:color w:val="0D0D0D"/>
        </w:rPr>
        <w:t>no</w:t>
      </w:r>
      <w:r>
        <w:rPr>
          <w:color w:val="0D0D0D"/>
          <w:spacing w:val="-4"/>
        </w:rPr>
        <w:t> </w:t>
      </w:r>
      <w:r>
        <w:rPr>
          <w:color w:val="0D0D0D"/>
        </w:rPr>
        <w:t>en base a diferencias atribuibles a la raza de los pacientes.</w:t>
      </w:r>
    </w:p>
    <w:p>
      <w:pPr>
        <w:pStyle w:val="BodyText"/>
        <w:spacing w:line="480" w:lineRule="auto" w:before="241"/>
        <w:ind w:left="568" w:right="150"/>
        <w:jc w:val="both"/>
      </w:pPr>
      <w:r>
        <w:rPr>
          <w:color w:val="0D0D0D"/>
        </w:rPr>
        <w:t>La heterogeneidad racial observada refleja una casuística clínica frecuente, con predominio de caninos mestizos sumado a una baja representación de razas específicas,</w:t>
      </w:r>
      <w:r>
        <w:rPr>
          <w:color w:val="0D0D0D"/>
          <w:spacing w:val="26"/>
        </w:rPr>
        <w:t> </w:t>
      </w:r>
      <w:r>
        <w:rPr>
          <w:color w:val="0D0D0D"/>
        </w:rPr>
        <w:t>este</w:t>
      </w:r>
      <w:r>
        <w:rPr>
          <w:color w:val="0D0D0D"/>
          <w:spacing w:val="28"/>
        </w:rPr>
        <w:t> </w:t>
      </w:r>
      <w:r>
        <w:rPr>
          <w:color w:val="0D0D0D"/>
        </w:rPr>
        <w:t>aspecto</w:t>
      </w:r>
      <w:r>
        <w:rPr>
          <w:color w:val="0D0D0D"/>
          <w:spacing w:val="26"/>
        </w:rPr>
        <w:t> </w:t>
      </w:r>
      <w:r>
        <w:rPr>
          <w:color w:val="0D0D0D"/>
        </w:rPr>
        <w:t>impide</w:t>
      </w:r>
      <w:r>
        <w:rPr>
          <w:color w:val="0D0D0D"/>
          <w:spacing w:val="29"/>
        </w:rPr>
        <w:t> </w:t>
      </w:r>
      <w:r>
        <w:rPr>
          <w:color w:val="0D0D0D"/>
        </w:rPr>
        <w:t>atribuir</w:t>
      </w:r>
      <w:r>
        <w:rPr>
          <w:color w:val="0D0D0D"/>
          <w:spacing w:val="26"/>
        </w:rPr>
        <w:t> </w:t>
      </w:r>
      <w:r>
        <w:rPr>
          <w:color w:val="0D0D0D"/>
        </w:rPr>
        <w:t>los</w:t>
      </w:r>
      <w:r>
        <w:rPr>
          <w:color w:val="0D0D0D"/>
          <w:spacing w:val="29"/>
        </w:rPr>
        <w:t> </w:t>
      </w:r>
      <w:r>
        <w:rPr>
          <w:color w:val="0D0D0D"/>
        </w:rPr>
        <w:t>cambios</w:t>
      </w:r>
      <w:r>
        <w:rPr>
          <w:color w:val="0D0D0D"/>
          <w:spacing w:val="30"/>
        </w:rPr>
        <w:t> </w:t>
      </w:r>
      <w:r>
        <w:rPr>
          <w:color w:val="0D0D0D"/>
        </w:rPr>
        <w:t>hemodinámicos</w:t>
      </w:r>
      <w:r>
        <w:rPr>
          <w:color w:val="0D0D0D"/>
          <w:spacing w:val="29"/>
        </w:rPr>
        <w:t> </w:t>
      </w:r>
      <w:r>
        <w:rPr>
          <w:color w:val="0D0D0D"/>
        </w:rPr>
        <w:t>a</w:t>
      </w:r>
      <w:r>
        <w:rPr>
          <w:color w:val="0D0D0D"/>
          <w:spacing w:val="28"/>
        </w:rPr>
        <w:t> </w:t>
      </w:r>
      <w:r>
        <w:rPr>
          <w:color w:val="0D0D0D"/>
        </w:rPr>
        <w:t>una</w:t>
      </w:r>
      <w:r>
        <w:rPr>
          <w:color w:val="0D0D0D"/>
          <w:spacing w:val="29"/>
        </w:rPr>
        <w:t> </w:t>
      </w:r>
      <w:r>
        <w:rPr>
          <w:color w:val="0D0D0D"/>
          <w:spacing w:val="-4"/>
        </w:rPr>
        <w:t>raza</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4"/>
        <w:jc w:val="both"/>
      </w:pPr>
      <w:r>
        <w:rPr>
          <w:color w:val="0D0D0D"/>
        </w:rPr>
        <w:t>determinada,</w:t>
      </w:r>
      <w:r>
        <w:rPr>
          <w:color w:val="0D0D0D"/>
          <w:spacing w:val="-11"/>
        </w:rPr>
        <w:t> </w:t>
      </w:r>
      <w:r>
        <w:rPr>
          <w:color w:val="0D0D0D"/>
        </w:rPr>
        <w:t>por</w:t>
      </w:r>
      <w:r>
        <w:rPr>
          <w:color w:val="0D0D0D"/>
          <w:spacing w:val="-6"/>
        </w:rPr>
        <w:t> </w:t>
      </w:r>
      <w:r>
        <w:rPr>
          <w:color w:val="0D0D0D"/>
        </w:rPr>
        <w:t>lo</w:t>
      </w:r>
      <w:r>
        <w:rPr>
          <w:color w:val="0D0D0D"/>
          <w:spacing w:val="-7"/>
        </w:rPr>
        <w:t> </w:t>
      </w:r>
      <w:r>
        <w:rPr>
          <w:color w:val="0D0D0D"/>
        </w:rPr>
        <w:t>que</w:t>
      </w:r>
      <w:r>
        <w:rPr>
          <w:color w:val="0D0D0D"/>
          <w:spacing w:val="-5"/>
        </w:rPr>
        <w:t> </w:t>
      </w:r>
      <w:r>
        <w:rPr>
          <w:color w:val="0D0D0D"/>
        </w:rPr>
        <w:t>la</w:t>
      </w:r>
      <w:r>
        <w:rPr>
          <w:color w:val="0D0D0D"/>
          <w:spacing w:val="-9"/>
        </w:rPr>
        <w:t> </w:t>
      </w:r>
      <w:r>
        <w:rPr>
          <w:color w:val="0D0D0D"/>
        </w:rPr>
        <w:t>interpretación</w:t>
      </w:r>
      <w:r>
        <w:rPr>
          <w:color w:val="0D0D0D"/>
          <w:spacing w:val="-7"/>
        </w:rPr>
        <w:t> </w:t>
      </w:r>
      <w:r>
        <w:rPr>
          <w:color w:val="0D0D0D"/>
        </w:rPr>
        <w:t>debe</w:t>
      </w:r>
      <w:r>
        <w:rPr>
          <w:color w:val="0D0D0D"/>
          <w:spacing w:val="-5"/>
        </w:rPr>
        <w:t> </w:t>
      </w:r>
      <w:r>
        <w:rPr>
          <w:color w:val="0D0D0D"/>
        </w:rPr>
        <w:t>centrarse</w:t>
      </w:r>
      <w:r>
        <w:rPr>
          <w:color w:val="0D0D0D"/>
          <w:spacing w:val="-9"/>
        </w:rPr>
        <w:t> </w:t>
      </w:r>
      <w:r>
        <w:rPr>
          <w:color w:val="0D0D0D"/>
        </w:rPr>
        <w:t>en</w:t>
      </w:r>
      <w:r>
        <w:rPr>
          <w:color w:val="0D0D0D"/>
          <w:spacing w:val="-7"/>
        </w:rPr>
        <w:t> </w:t>
      </w:r>
      <w:r>
        <w:rPr>
          <w:color w:val="0D0D0D"/>
        </w:rPr>
        <w:t>la</w:t>
      </w:r>
      <w:r>
        <w:rPr>
          <w:color w:val="0D0D0D"/>
          <w:spacing w:val="-5"/>
        </w:rPr>
        <w:t> </w:t>
      </w:r>
      <w:r>
        <w:rPr>
          <w:color w:val="0D0D0D"/>
        </w:rPr>
        <w:t>vía</w:t>
      </w:r>
      <w:r>
        <w:rPr>
          <w:color w:val="0D0D0D"/>
          <w:spacing w:val="-9"/>
        </w:rPr>
        <w:t> </w:t>
      </w:r>
      <w:r>
        <w:rPr>
          <w:color w:val="0D0D0D"/>
        </w:rPr>
        <w:t>de</w:t>
      </w:r>
      <w:r>
        <w:rPr>
          <w:color w:val="0D0D0D"/>
          <w:spacing w:val="-5"/>
        </w:rPr>
        <w:t> </w:t>
      </w:r>
      <w:r>
        <w:rPr>
          <w:color w:val="0D0D0D"/>
        </w:rPr>
        <w:t>administración de</w:t>
      </w:r>
      <w:r>
        <w:rPr>
          <w:color w:val="0D0D0D"/>
          <w:spacing w:val="-10"/>
        </w:rPr>
        <w:t> </w:t>
      </w:r>
      <w:r>
        <w:rPr>
          <w:color w:val="0D0D0D"/>
        </w:rPr>
        <w:t>la</w:t>
      </w:r>
      <w:r>
        <w:rPr>
          <w:color w:val="0D0D0D"/>
          <w:spacing w:val="-10"/>
        </w:rPr>
        <w:t> </w:t>
      </w:r>
      <w:r>
        <w:rPr>
          <w:color w:val="0D0D0D"/>
        </w:rPr>
        <w:t>dexmedetomidina.</w:t>
      </w:r>
      <w:r>
        <w:rPr>
          <w:color w:val="0D0D0D"/>
          <w:spacing w:val="-8"/>
        </w:rPr>
        <w:t> </w:t>
      </w:r>
      <w:r>
        <w:rPr>
          <w:color w:val="0D0D0D"/>
        </w:rPr>
        <w:t>Redondo</w:t>
      </w:r>
      <w:r>
        <w:rPr>
          <w:color w:val="0D0D0D"/>
          <w:spacing w:val="-11"/>
        </w:rPr>
        <w:t> </w:t>
      </w:r>
      <w:r>
        <w:rPr>
          <w:color w:val="0D0D0D"/>
        </w:rPr>
        <w:t>et</w:t>
      </w:r>
      <w:r>
        <w:rPr>
          <w:color w:val="0D0D0D"/>
          <w:spacing w:val="-10"/>
        </w:rPr>
        <w:t> </w:t>
      </w:r>
      <w:r>
        <w:rPr>
          <w:color w:val="0D0D0D"/>
        </w:rPr>
        <w:t>al.</w:t>
      </w:r>
      <w:r>
        <w:rPr>
          <w:color w:val="0D0D0D"/>
          <w:spacing w:val="-10"/>
        </w:rPr>
        <w:t> </w:t>
      </w:r>
      <w:r>
        <w:rPr>
          <w:color w:val="0D0D0D"/>
        </w:rPr>
        <w:t>(2023)</w:t>
      </w:r>
      <w:r>
        <w:rPr>
          <w:color w:val="0D0D0D"/>
          <w:spacing w:val="-11"/>
        </w:rPr>
        <w:t> </w:t>
      </w:r>
      <w:r>
        <w:rPr>
          <w:color w:val="0D0D0D"/>
        </w:rPr>
        <w:t>indica</w:t>
      </w:r>
      <w:r>
        <w:rPr>
          <w:color w:val="0D0D0D"/>
          <w:spacing w:val="-14"/>
        </w:rPr>
        <w:t> </w:t>
      </w:r>
      <w:r>
        <w:rPr>
          <w:color w:val="0D0D0D"/>
        </w:rPr>
        <w:t>que</w:t>
      </w:r>
      <w:r>
        <w:rPr>
          <w:color w:val="0D0D0D"/>
          <w:spacing w:val="-10"/>
        </w:rPr>
        <w:t> </w:t>
      </w:r>
      <w:r>
        <w:rPr>
          <w:color w:val="0D0D0D"/>
        </w:rPr>
        <w:t>las</w:t>
      </w:r>
      <w:r>
        <w:rPr>
          <w:color w:val="0D0D0D"/>
          <w:spacing w:val="-13"/>
        </w:rPr>
        <w:t> </w:t>
      </w:r>
      <w:r>
        <w:rPr>
          <w:color w:val="0D0D0D"/>
        </w:rPr>
        <w:t>diferencias</w:t>
      </w:r>
      <w:r>
        <w:rPr>
          <w:color w:val="0D0D0D"/>
          <w:spacing w:val="-13"/>
        </w:rPr>
        <w:t> </w:t>
      </w:r>
      <w:r>
        <w:rPr>
          <w:color w:val="0D0D0D"/>
        </w:rPr>
        <w:t>entre</w:t>
      </w:r>
      <w:r>
        <w:rPr>
          <w:color w:val="0D0D0D"/>
          <w:spacing w:val="-14"/>
        </w:rPr>
        <w:t> </w:t>
      </w:r>
      <w:r>
        <w:rPr>
          <w:color w:val="0D0D0D"/>
        </w:rPr>
        <w:t>razas pueden influir en el riesgo anestésico, aunque este riesgo suele estar más relacionado</w:t>
      </w:r>
      <w:r>
        <w:rPr>
          <w:color w:val="0D0D0D"/>
          <w:spacing w:val="-15"/>
        </w:rPr>
        <w:t> </w:t>
      </w:r>
      <w:r>
        <w:rPr>
          <w:color w:val="0D0D0D"/>
        </w:rPr>
        <w:t>con</w:t>
      </w:r>
      <w:r>
        <w:rPr>
          <w:color w:val="0D0D0D"/>
          <w:spacing w:val="-15"/>
        </w:rPr>
        <w:t> </w:t>
      </w:r>
      <w:r>
        <w:rPr>
          <w:color w:val="0D0D0D"/>
        </w:rPr>
        <w:t>la</w:t>
      </w:r>
      <w:r>
        <w:rPr>
          <w:color w:val="0D0D0D"/>
          <w:spacing w:val="-15"/>
        </w:rPr>
        <w:t> </w:t>
      </w:r>
      <w:r>
        <w:rPr>
          <w:color w:val="0D0D0D"/>
        </w:rPr>
        <w:t>condición</w:t>
      </w:r>
      <w:r>
        <w:rPr>
          <w:color w:val="0D0D0D"/>
          <w:spacing w:val="-15"/>
        </w:rPr>
        <w:t> </w:t>
      </w:r>
      <w:r>
        <w:rPr>
          <w:color w:val="0D0D0D"/>
        </w:rPr>
        <w:t>clínica</w:t>
      </w:r>
      <w:r>
        <w:rPr>
          <w:color w:val="0D0D0D"/>
          <w:spacing w:val="-15"/>
        </w:rPr>
        <w:t> </w:t>
      </w:r>
      <w:r>
        <w:rPr>
          <w:color w:val="0D0D0D"/>
        </w:rPr>
        <w:t>del</w:t>
      </w:r>
      <w:r>
        <w:rPr>
          <w:color w:val="0D0D0D"/>
          <w:spacing w:val="-15"/>
        </w:rPr>
        <w:t> </w:t>
      </w:r>
      <w:r>
        <w:rPr>
          <w:color w:val="0D0D0D"/>
        </w:rPr>
        <w:t>paciente,</w:t>
      </w:r>
      <w:r>
        <w:rPr>
          <w:color w:val="0D0D0D"/>
          <w:spacing w:val="-15"/>
        </w:rPr>
        <w:t> </w:t>
      </w:r>
      <w:r>
        <w:rPr>
          <w:color w:val="0D0D0D"/>
        </w:rPr>
        <w:t>así</w:t>
      </w:r>
      <w:r>
        <w:rPr>
          <w:color w:val="0D0D0D"/>
          <w:spacing w:val="-15"/>
        </w:rPr>
        <w:t> </w:t>
      </w:r>
      <w:r>
        <w:rPr>
          <w:color w:val="0D0D0D"/>
        </w:rPr>
        <w:t>como</w:t>
      </w:r>
      <w:r>
        <w:rPr>
          <w:color w:val="0D0D0D"/>
          <w:spacing w:val="-15"/>
        </w:rPr>
        <w:t> </w:t>
      </w:r>
      <w:r>
        <w:rPr>
          <w:color w:val="0D0D0D"/>
        </w:rPr>
        <w:t>con</w:t>
      </w:r>
      <w:r>
        <w:rPr>
          <w:color w:val="0D0D0D"/>
          <w:spacing w:val="-15"/>
        </w:rPr>
        <w:t> </w:t>
      </w:r>
      <w:r>
        <w:rPr>
          <w:color w:val="0D0D0D"/>
        </w:rPr>
        <w:t>la</w:t>
      </w:r>
      <w:r>
        <w:rPr>
          <w:color w:val="0D0D0D"/>
          <w:spacing w:val="-15"/>
        </w:rPr>
        <w:t> </w:t>
      </w:r>
      <w:r>
        <w:rPr>
          <w:color w:val="0D0D0D"/>
        </w:rPr>
        <w:t>clasificación</w:t>
      </w:r>
      <w:r>
        <w:rPr>
          <w:color w:val="0D0D0D"/>
          <w:spacing w:val="-15"/>
        </w:rPr>
        <w:t> </w:t>
      </w:r>
      <w:r>
        <w:rPr>
          <w:color w:val="0D0D0D"/>
        </w:rPr>
        <w:t>ASA que con la raza de forma aislada, por ello, la raza se consideró como una característica descriptiva de la muestra</w:t>
      </w:r>
      <w:r>
        <w:rPr>
          <w:color w:val="0D0D0D"/>
          <w:spacing w:val="-2"/>
        </w:rPr>
        <w:t> </w:t>
      </w:r>
      <w:r>
        <w:rPr>
          <w:color w:val="0D0D0D"/>
        </w:rPr>
        <w:t>mas</w:t>
      </w:r>
      <w:r>
        <w:rPr>
          <w:color w:val="0D0D0D"/>
          <w:spacing w:val="-1"/>
        </w:rPr>
        <w:t> </w:t>
      </w:r>
      <w:r>
        <w:rPr>
          <w:color w:val="0D0D0D"/>
        </w:rPr>
        <w:t>no como</w:t>
      </w:r>
      <w:r>
        <w:rPr>
          <w:color w:val="0D0D0D"/>
          <w:spacing w:val="-4"/>
        </w:rPr>
        <w:t> </w:t>
      </w:r>
      <w:r>
        <w:rPr>
          <w:color w:val="0D0D0D"/>
        </w:rPr>
        <w:t>un factor</w:t>
      </w:r>
      <w:r>
        <w:rPr>
          <w:color w:val="0D0D0D"/>
          <w:spacing w:val="-3"/>
        </w:rPr>
        <w:t> </w:t>
      </w:r>
      <w:r>
        <w:rPr>
          <w:color w:val="0D0D0D"/>
        </w:rPr>
        <w:t>comparativo dentro del estudio.</w:t>
      </w:r>
    </w:p>
    <w:p>
      <w:pPr>
        <w:pStyle w:val="Heading3"/>
        <w:numPr>
          <w:ilvl w:val="2"/>
          <w:numId w:val="8"/>
        </w:numPr>
        <w:tabs>
          <w:tab w:pos="1288" w:val="left" w:leader="none"/>
        </w:tabs>
        <w:spacing w:line="240" w:lineRule="auto" w:before="1" w:after="0"/>
        <w:ind w:left="1288" w:right="0" w:hanging="720"/>
        <w:jc w:val="both"/>
      </w:pPr>
      <w:bookmarkStart w:name="_bookmark46" w:id="47"/>
      <w:bookmarkEnd w:id="47"/>
      <w:r>
        <w:rPr>
          <w:b w:val="0"/>
        </w:rPr>
      </w:r>
      <w:r>
        <w:rPr>
          <w:color w:val="0D0D0D"/>
        </w:rPr>
        <w:t>Sexo</w:t>
      </w:r>
      <w:r>
        <w:rPr>
          <w:color w:val="0D0D0D"/>
          <w:spacing w:val="-1"/>
        </w:rPr>
        <w:t> </w:t>
      </w:r>
      <w:r>
        <w:rPr>
          <w:color w:val="0D0D0D"/>
        </w:rPr>
        <w:t>de</w:t>
      </w:r>
      <w:r>
        <w:rPr>
          <w:color w:val="0D0D0D"/>
          <w:spacing w:val="-1"/>
        </w:rPr>
        <w:t> </w:t>
      </w:r>
      <w:r>
        <w:rPr>
          <w:color w:val="0D0D0D"/>
        </w:rPr>
        <w:t>los</w:t>
      </w:r>
      <w:r>
        <w:rPr>
          <w:color w:val="0D0D0D"/>
          <w:spacing w:val="-2"/>
        </w:rPr>
        <w:t> pacientes</w:t>
      </w:r>
    </w:p>
    <w:p>
      <w:pPr>
        <w:spacing w:before="275"/>
        <w:ind w:left="568" w:right="0" w:firstLine="0"/>
        <w:jc w:val="left"/>
        <w:rPr>
          <w:b/>
          <w:sz w:val="22"/>
        </w:rPr>
      </w:pPr>
      <w:bookmarkStart w:name="_bookmark47" w:id="48"/>
      <w:bookmarkEnd w:id="48"/>
      <w:r>
        <w:rPr/>
      </w:r>
      <w:r>
        <w:rPr>
          <w:b/>
          <w:spacing w:val="-2"/>
          <w:sz w:val="22"/>
        </w:rPr>
        <w:t>Tabla</w:t>
      </w:r>
      <w:r>
        <w:rPr>
          <w:b/>
          <w:spacing w:val="-10"/>
          <w:sz w:val="22"/>
        </w:rPr>
        <w:t> </w:t>
      </w:r>
      <w:r>
        <w:rPr>
          <w:b/>
          <w:spacing w:val="-5"/>
          <w:sz w:val="22"/>
        </w:rPr>
        <w:t>4.</w:t>
      </w:r>
    </w:p>
    <w:p>
      <w:pPr>
        <w:spacing w:before="127"/>
        <w:ind w:left="568" w:right="0" w:firstLine="0"/>
        <w:jc w:val="left"/>
        <w:rPr>
          <w:i/>
          <w:sz w:val="22"/>
        </w:rPr>
      </w:pPr>
      <w:r>
        <w:rPr>
          <w:i/>
          <w:sz w:val="22"/>
        </w:rPr>
        <w:t>Comparativa</w:t>
      </w:r>
      <w:r>
        <w:rPr>
          <w:i/>
          <w:spacing w:val="-4"/>
          <w:sz w:val="22"/>
        </w:rPr>
        <w:t> </w:t>
      </w:r>
      <w:r>
        <w:rPr>
          <w:i/>
          <w:sz w:val="22"/>
        </w:rPr>
        <w:t>porcentual</w:t>
      </w:r>
      <w:r>
        <w:rPr>
          <w:i/>
          <w:spacing w:val="-6"/>
          <w:sz w:val="22"/>
        </w:rPr>
        <w:t> </w:t>
      </w:r>
      <w:r>
        <w:rPr>
          <w:i/>
          <w:sz w:val="22"/>
        </w:rPr>
        <w:t>del</w:t>
      </w:r>
      <w:r>
        <w:rPr>
          <w:i/>
          <w:spacing w:val="-6"/>
          <w:sz w:val="22"/>
        </w:rPr>
        <w:t> </w:t>
      </w:r>
      <w:r>
        <w:rPr>
          <w:i/>
          <w:sz w:val="22"/>
        </w:rPr>
        <w:t>sexo</w:t>
      </w:r>
      <w:r>
        <w:rPr>
          <w:i/>
          <w:spacing w:val="-4"/>
          <w:sz w:val="22"/>
        </w:rPr>
        <w:t> </w:t>
      </w:r>
      <w:r>
        <w:rPr>
          <w:i/>
          <w:sz w:val="22"/>
        </w:rPr>
        <w:t>de</w:t>
      </w:r>
      <w:r>
        <w:rPr>
          <w:i/>
          <w:spacing w:val="-6"/>
          <w:sz w:val="22"/>
        </w:rPr>
        <w:t> </w:t>
      </w:r>
      <w:r>
        <w:rPr>
          <w:i/>
          <w:sz w:val="22"/>
        </w:rPr>
        <w:t>los</w:t>
      </w:r>
      <w:r>
        <w:rPr>
          <w:i/>
          <w:spacing w:val="-6"/>
          <w:sz w:val="22"/>
        </w:rPr>
        <w:t> </w:t>
      </w:r>
      <w:r>
        <w:rPr>
          <w:i/>
          <w:sz w:val="22"/>
        </w:rPr>
        <w:t>pacientes</w:t>
      </w:r>
      <w:r>
        <w:rPr>
          <w:i/>
          <w:spacing w:val="-6"/>
          <w:sz w:val="22"/>
        </w:rPr>
        <w:t> </w:t>
      </w:r>
      <w:r>
        <w:rPr>
          <w:i/>
          <w:spacing w:val="-2"/>
          <w:sz w:val="22"/>
        </w:rPr>
        <w:t>caninos</w:t>
      </w:r>
    </w:p>
    <w:p>
      <w:pPr>
        <w:pStyle w:val="BodyText"/>
        <w:spacing w:before="103"/>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96"/>
        <w:gridCol w:w="1925"/>
        <w:gridCol w:w="3015"/>
        <w:gridCol w:w="2307"/>
      </w:tblGrid>
      <w:tr>
        <w:trPr>
          <w:trHeight w:val="413" w:hRule="atLeast"/>
        </w:trPr>
        <w:tc>
          <w:tcPr>
            <w:tcW w:w="696" w:type="dxa"/>
            <w:tcBorders>
              <w:top w:val="single" w:sz="4" w:space="0" w:color="000000"/>
              <w:bottom w:val="single" w:sz="4" w:space="0" w:color="000000"/>
            </w:tcBorders>
          </w:tcPr>
          <w:p>
            <w:pPr>
              <w:pStyle w:val="TableParagraph"/>
              <w:spacing w:line="275" w:lineRule="exact" w:before="0"/>
              <w:ind w:left="114"/>
              <w:jc w:val="left"/>
              <w:rPr>
                <w:b/>
                <w:sz w:val="24"/>
              </w:rPr>
            </w:pPr>
            <w:r>
              <w:rPr>
                <w:b/>
                <w:color w:val="0D0D0D"/>
                <w:spacing w:val="-4"/>
                <w:sz w:val="24"/>
              </w:rPr>
              <w:t>Sexo</w:t>
            </w:r>
          </w:p>
        </w:tc>
        <w:tc>
          <w:tcPr>
            <w:tcW w:w="1925" w:type="dxa"/>
            <w:tcBorders>
              <w:top w:val="single" w:sz="4" w:space="0" w:color="000000"/>
              <w:bottom w:val="single" w:sz="4" w:space="0" w:color="000000"/>
            </w:tcBorders>
          </w:tcPr>
          <w:p>
            <w:pPr>
              <w:pStyle w:val="TableParagraph"/>
              <w:spacing w:before="0"/>
              <w:jc w:val="left"/>
              <w:rPr>
                <w:sz w:val="22"/>
              </w:rPr>
            </w:pPr>
          </w:p>
        </w:tc>
        <w:tc>
          <w:tcPr>
            <w:tcW w:w="3015" w:type="dxa"/>
            <w:tcBorders>
              <w:top w:val="single" w:sz="4" w:space="0" w:color="000000"/>
              <w:bottom w:val="single" w:sz="4" w:space="0" w:color="000000"/>
            </w:tcBorders>
          </w:tcPr>
          <w:p>
            <w:pPr>
              <w:pStyle w:val="TableParagraph"/>
              <w:spacing w:line="275" w:lineRule="exact" w:before="0"/>
              <w:ind w:left="220"/>
              <w:rPr>
                <w:b/>
                <w:sz w:val="24"/>
              </w:rPr>
            </w:pPr>
            <w:r>
              <w:rPr>
                <w:b/>
                <w:color w:val="0D0D0D"/>
                <w:spacing w:val="-2"/>
                <w:sz w:val="24"/>
              </w:rPr>
              <w:t>Frecuencia</w:t>
            </w:r>
          </w:p>
        </w:tc>
        <w:tc>
          <w:tcPr>
            <w:tcW w:w="2307" w:type="dxa"/>
            <w:tcBorders>
              <w:top w:val="single" w:sz="4" w:space="0" w:color="000000"/>
              <w:bottom w:val="single" w:sz="4" w:space="0" w:color="000000"/>
            </w:tcBorders>
          </w:tcPr>
          <w:p>
            <w:pPr>
              <w:pStyle w:val="TableParagraph"/>
              <w:spacing w:line="275" w:lineRule="exact" w:before="0"/>
              <w:ind w:left="473" w:right="6"/>
              <w:rPr>
                <w:b/>
                <w:sz w:val="24"/>
              </w:rPr>
            </w:pPr>
            <w:r>
              <w:rPr>
                <w:b/>
                <w:color w:val="0D0D0D"/>
                <w:spacing w:val="-2"/>
                <w:sz w:val="24"/>
              </w:rPr>
              <w:t>Porcentaje</w:t>
            </w:r>
          </w:p>
        </w:tc>
      </w:tr>
      <w:tr>
        <w:trPr>
          <w:trHeight w:val="350" w:hRule="atLeast"/>
        </w:trPr>
        <w:tc>
          <w:tcPr>
            <w:tcW w:w="696" w:type="dxa"/>
            <w:tcBorders>
              <w:top w:val="single" w:sz="4" w:space="0" w:color="000000"/>
            </w:tcBorders>
          </w:tcPr>
          <w:p>
            <w:pPr>
              <w:pStyle w:val="TableParagraph"/>
              <w:spacing w:before="0"/>
              <w:jc w:val="left"/>
              <w:rPr>
                <w:sz w:val="22"/>
              </w:rPr>
            </w:pPr>
          </w:p>
        </w:tc>
        <w:tc>
          <w:tcPr>
            <w:tcW w:w="1925" w:type="dxa"/>
            <w:tcBorders>
              <w:top w:val="single" w:sz="4" w:space="0" w:color="000000"/>
            </w:tcBorders>
          </w:tcPr>
          <w:p>
            <w:pPr>
              <w:pStyle w:val="TableParagraph"/>
              <w:spacing w:line="275" w:lineRule="exact" w:before="0"/>
              <w:ind w:left="1" w:right="947"/>
              <w:rPr>
                <w:sz w:val="24"/>
              </w:rPr>
            </w:pPr>
            <w:r>
              <w:rPr>
                <w:color w:val="0D0D0D"/>
                <w:spacing w:val="-2"/>
                <w:sz w:val="24"/>
              </w:rPr>
              <w:t>Macho</w:t>
            </w:r>
          </w:p>
        </w:tc>
        <w:tc>
          <w:tcPr>
            <w:tcW w:w="3015" w:type="dxa"/>
            <w:tcBorders>
              <w:top w:val="single" w:sz="4" w:space="0" w:color="000000"/>
            </w:tcBorders>
          </w:tcPr>
          <w:p>
            <w:pPr>
              <w:pStyle w:val="TableParagraph"/>
              <w:spacing w:line="275" w:lineRule="exact" w:before="0"/>
              <w:ind w:left="220" w:right="7"/>
              <w:rPr>
                <w:sz w:val="24"/>
              </w:rPr>
            </w:pPr>
            <w:r>
              <w:rPr>
                <w:color w:val="0D0D0D"/>
                <w:spacing w:val="-5"/>
                <w:sz w:val="24"/>
              </w:rPr>
              <w:t>19</w:t>
            </w:r>
          </w:p>
        </w:tc>
        <w:tc>
          <w:tcPr>
            <w:tcW w:w="2307" w:type="dxa"/>
            <w:tcBorders>
              <w:top w:val="single" w:sz="4" w:space="0" w:color="000000"/>
            </w:tcBorders>
          </w:tcPr>
          <w:p>
            <w:pPr>
              <w:pStyle w:val="TableParagraph"/>
              <w:spacing w:line="275" w:lineRule="exact" w:before="0"/>
              <w:ind w:left="473"/>
              <w:rPr>
                <w:sz w:val="24"/>
              </w:rPr>
            </w:pPr>
            <w:r>
              <w:rPr>
                <w:color w:val="0D0D0D"/>
                <w:spacing w:val="-4"/>
                <w:sz w:val="24"/>
              </w:rPr>
              <w:t>63.3</w:t>
            </w:r>
          </w:p>
        </w:tc>
      </w:tr>
      <w:tr>
        <w:trPr>
          <w:trHeight w:val="414" w:hRule="atLeast"/>
        </w:trPr>
        <w:tc>
          <w:tcPr>
            <w:tcW w:w="696" w:type="dxa"/>
          </w:tcPr>
          <w:p>
            <w:pPr>
              <w:pStyle w:val="TableParagraph"/>
              <w:spacing w:before="0"/>
              <w:jc w:val="left"/>
              <w:rPr>
                <w:sz w:val="22"/>
              </w:rPr>
            </w:pPr>
          </w:p>
        </w:tc>
        <w:tc>
          <w:tcPr>
            <w:tcW w:w="1925" w:type="dxa"/>
          </w:tcPr>
          <w:p>
            <w:pPr>
              <w:pStyle w:val="TableParagraph"/>
              <w:spacing w:before="65"/>
              <w:ind w:left="3" w:right="947"/>
              <w:rPr>
                <w:sz w:val="24"/>
              </w:rPr>
            </w:pPr>
            <w:r>
              <w:rPr>
                <w:color w:val="0D0D0D"/>
                <w:spacing w:val="-2"/>
                <w:sz w:val="24"/>
              </w:rPr>
              <w:t>Hembra</w:t>
            </w:r>
          </w:p>
        </w:tc>
        <w:tc>
          <w:tcPr>
            <w:tcW w:w="3015" w:type="dxa"/>
          </w:tcPr>
          <w:p>
            <w:pPr>
              <w:pStyle w:val="TableParagraph"/>
              <w:spacing w:before="65"/>
              <w:ind w:left="220" w:right="7"/>
              <w:rPr>
                <w:sz w:val="24"/>
              </w:rPr>
            </w:pPr>
            <w:r>
              <w:rPr>
                <w:color w:val="0D0D0D"/>
                <w:spacing w:val="-5"/>
                <w:sz w:val="24"/>
              </w:rPr>
              <w:t>11</w:t>
            </w:r>
          </w:p>
        </w:tc>
        <w:tc>
          <w:tcPr>
            <w:tcW w:w="2307" w:type="dxa"/>
          </w:tcPr>
          <w:p>
            <w:pPr>
              <w:pStyle w:val="TableParagraph"/>
              <w:spacing w:before="65"/>
              <w:ind w:left="473"/>
              <w:rPr>
                <w:sz w:val="24"/>
              </w:rPr>
            </w:pPr>
            <w:r>
              <w:rPr>
                <w:color w:val="0D0D0D"/>
                <w:spacing w:val="-4"/>
                <w:sz w:val="24"/>
              </w:rPr>
              <w:t>36.7</w:t>
            </w:r>
          </w:p>
        </w:tc>
      </w:tr>
      <w:tr>
        <w:trPr>
          <w:trHeight w:val="477" w:hRule="atLeast"/>
        </w:trPr>
        <w:tc>
          <w:tcPr>
            <w:tcW w:w="696" w:type="dxa"/>
            <w:tcBorders>
              <w:bottom w:val="single" w:sz="4" w:space="0" w:color="000000"/>
            </w:tcBorders>
          </w:tcPr>
          <w:p>
            <w:pPr>
              <w:pStyle w:val="TableParagraph"/>
              <w:spacing w:before="0"/>
              <w:jc w:val="left"/>
              <w:rPr>
                <w:sz w:val="22"/>
              </w:rPr>
            </w:pPr>
          </w:p>
        </w:tc>
        <w:tc>
          <w:tcPr>
            <w:tcW w:w="1925" w:type="dxa"/>
            <w:tcBorders>
              <w:bottom w:val="single" w:sz="4" w:space="0" w:color="000000"/>
            </w:tcBorders>
          </w:tcPr>
          <w:p>
            <w:pPr>
              <w:pStyle w:val="TableParagraph"/>
              <w:spacing w:before="63"/>
              <w:ind w:right="947"/>
              <w:rPr>
                <w:b/>
                <w:sz w:val="24"/>
              </w:rPr>
            </w:pPr>
            <w:r>
              <w:rPr>
                <w:b/>
                <w:color w:val="0D0D0D"/>
                <w:spacing w:val="-2"/>
                <w:sz w:val="24"/>
              </w:rPr>
              <w:t>Total</w:t>
            </w:r>
          </w:p>
        </w:tc>
        <w:tc>
          <w:tcPr>
            <w:tcW w:w="3015" w:type="dxa"/>
            <w:tcBorders>
              <w:bottom w:val="single" w:sz="4" w:space="0" w:color="000000"/>
            </w:tcBorders>
          </w:tcPr>
          <w:p>
            <w:pPr>
              <w:pStyle w:val="TableParagraph"/>
              <w:spacing w:before="63"/>
              <w:ind w:left="220" w:right="7"/>
              <w:rPr>
                <w:b/>
                <w:sz w:val="24"/>
              </w:rPr>
            </w:pPr>
            <w:r>
              <w:rPr>
                <w:b/>
                <w:color w:val="0D0D0D"/>
                <w:spacing w:val="-5"/>
                <w:sz w:val="24"/>
              </w:rPr>
              <w:t>30</w:t>
            </w:r>
          </w:p>
        </w:tc>
        <w:tc>
          <w:tcPr>
            <w:tcW w:w="2307" w:type="dxa"/>
            <w:tcBorders>
              <w:bottom w:val="single" w:sz="4" w:space="0" w:color="000000"/>
            </w:tcBorders>
          </w:tcPr>
          <w:p>
            <w:pPr>
              <w:pStyle w:val="TableParagraph"/>
              <w:spacing w:before="63"/>
              <w:ind w:left="473"/>
              <w:rPr>
                <w:b/>
                <w:sz w:val="24"/>
              </w:rPr>
            </w:pPr>
            <w:r>
              <w:rPr>
                <w:b/>
                <w:color w:val="0D0D0D"/>
                <w:spacing w:val="-2"/>
                <w:sz w:val="24"/>
              </w:rPr>
              <w:t>100.00</w:t>
            </w:r>
          </w:p>
        </w:tc>
      </w:tr>
    </w:tbl>
    <w:p>
      <w:pPr>
        <w:pStyle w:val="BodyText"/>
        <w:rPr>
          <w:i/>
          <w:sz w:val="22"/>
        </w:rPr>
      </w:pPr>
    </w:p>
    <w:p>
      <w:pPr>
        <w:pStyle w:val="BodyText"/>
        <w:spacing w:before="105"/>
        <w:rPr>
          <w:i/>
          <w:sz w:val="22"/>
        </w:rPr>
      </w:pPr>
    </w:p>
    <w:p>
      <w:pPr>
        <w:spacing w:before="0"/>
        <w:ind w:left="568" w:right="0" w:firstLine="0"/>
        <w:jc w:val="left"/>
        <w:rPr>
          <w:b/>
          <w:sz w:val="22"/>
        </w:rPr>
      </w:pPr>
      <w:bookmarkStart w:name="_bookmark48" w:id="49"/>
      <w:bookmarkEnd w:id="49"/>
      <w:r>
        <w:rPr/>
      </w:r>
      <w:r>
        <w:rPr>
          <w:b/>
          <w:sz w:val="22"/>
        </w:rPr>
        <w:t>Figura</w:t>
      </w:r>
      <w:r>
        <w:rPr>
          <w:b/>
          <w:spacing w:val="-3"/>
          <w:sz w:val="22"/>
        </w:rPr>
        <w:t> </w:t>
      </w:r>
      <w:r>
        <w:rPr>
          <w:b/>
          <w:spacing w:val="-5"/>
          <w:sz w:val="22"/>
        </w:rPr>
        <w:t>3.</w:t>
      </w:r>
    </w:p>
    <w:p>
      <w:pPr>
        <w:spacing w:before="127"/>
        <w:ind w:left="568" w:right="0" w:firstLine="0"/>
        <w:jc w:val="left"/>
        <w:rPr>
          <w:i/>
          <w:sz w:val="22"/>
        </w:rPr>
      </w:pPr>
      <w:r>
        <w:rPr>
          <w:i/>
          <w:sz w:val="22"/>
        </w:rPr>
        <w:t>Sexo</w:t>
      </w:r>
      <w:r>
        <w:rPr>
          <w:i/>
          <w:spacing w:val="-2"/>
          <w:sz w:val="22"/>
        </w:rPr>
        <w:t> </w:t>
      </w:r>
      <w:r>
        <w:rPr>
          <w:i/>
          <w:sz w:val="22"/>
        </w:rPr>
        <w:t>de</w:t>
      </w:r>
      <w:r>
        <w:rPr>
          <w:i/>
          <w:spacing w:val="-4"/>
          <w:sz w:val="22"/>
        </w:rPr>
        <w:t> </w:t>
      </w:r>
      <w:r>
        <w:rPr>
          <w:i/>
          <w:sz w:val="22"/>
        </w:rPr>
        <w:t>los</w:t>
      </w:r>
      <w:r>
        <w:rPr>
          <w:i/>
          <w:spacing w:val="-4"/>
          <w:sz w:val="22"/>
        </w:rPr>
        <w:t> </w:t>
      </w:r>
      <w:r>
        <w:rPr>
          <w:i/>
          <w:sz w:val="22"/>
        </w:rPr>
        <w:t>pacientes</w:t>
      </w:r>
      <w:r>
        <w:rPr>
          <w:i/>
          <w:spacing w:val="-4"/>
          <w:sz w:val="22"/>
        </w:rPr>
        <w:t> </w:t>
      </w:r>
      <w:r>
        <w:rPr>
          <w:i/>
          <w:spacing w:val="-2"/>
          <w:sz w:val="22"/>
        </w:rPr>
        <w:t>caninos</w:t>
      </w:r>
    </w:p>
    <w:p>
      <w:pPr>
        <w:pStyle w:val="BodyText"/>
        <w:spacing w:before="110"/>
        <w:rPr>
          <w:i/>
          <w:sz w:val="20"/>
        </w:rPr>
      </w:pPr>
      <w:r>
        <w:rPr>
          <w:i/>
          <w:sz w:val="20"/>
        </w:rPr>
        <w:drawing>
          <wp:anchor distT="0" distB="0" distL="0" distR="0" allowOverlap="1" layoutInCell="1" locked="0" behindDoc="1" simplePos="0" relativeHeight="487593984">
            <wp:simplePos x="0" y="0"/>
            <wp:positionH relativeFrom="page">
              <wp:posOffset>1475182</wp:posOffset>
            </wp:positionH>
            <wp:positionV relativeFrom="paragraph">
              <wp:posOffset>231702</wp:posOffset>
            </wp:positionV>
            <wp:extent cx="4846133" cy="2299716"/>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4846133" cy="2299716"/>
                    </a:xfrm>
                    <a:prstGeom prst="rect">
                      <a:avLst/>
                    </a:prstGeom>
                  </pic:spPr>
                </pic:pic>
              </a:graphicData>
            </a:graphic>
          </wp:anchor>
        </w:drawing>
      </w:r>
    </w:p>
    <w:p>
      <w:pPr>
        <w:pStyle w:val="BodyText"/>
        <w:spacing w:after="0"/>
        <w:rPr>
          <w:i/>
          <w:sz w:val="20"/>
        </w:rPr>
        <w:sectPr>
          <w:pgSz w:w="11910" w:h="16840"/>
          <w:pgMar w:header="0" w:footer="1038" w:top="1620" w:bottom="1220" w:left="1700" w:right="1559"/>
        </w:sectPr>
      </w:pPr>
    </w:p>
    <w:p>
      <w:pPr>
        <w:pStyle w:val="BodyText"/>
        <w:spacing w:line="480" w:lineRule="auto" w:before="64"/>
        <w:ind w:left="568" w:right="138"/>
        <w:jc w:val="both"/>
      </w:pPr>
      <w:r>
        <w:rPr>
          <w:color w:val="0D0D0D"/>
        </w:rPr>
        <w:t>Existe</w:t>
      </w:r>
      <w:r>
        <w:rPr>
          <w:color w:val="0D0D0D"/>
          <w:spacing w:val="-2"/>
        </w:rPr>
        <w:t> </w:t>
      </w:r>
      <w:r>
        <w:rPr>
          <w:color w:val="0D0D0D"/>
        </w:rPr>
        <w:t>un</w:t>
      </w:r>
      <w:r>
        <w:rPr>
          <w:color w:val="0D0D0D"/>
          <w:spacing w:val="-5"/>
        </w:rPr>
        <w:t> </w:t>
      </w:r>
      <w:r>
        <w:rPr>
          <w:color w:val="0D0D0D"/>
        </w:rPr>
        <w:t>predominio</w:t>
      </w:r>
      <w:r>
        <w:rPr>
          <w:color w:val="0D0D0D"/>
          <w:spacing w:val="-5"/>
        </w:rPr>
        <w:t> </w:t>
      </w:r>
      <w:r>
        <w:rPr>
          <w:color w:val="0D0D0D"/>
        </w:rPr>
        <w:t>de</w:t>
      </w:r>
      <w:r>
        <w:rPr>
          <w:color w:val="0D0D0D"/>
          <w:spacing w:val="-3"/>
        </w:rPr>
        <w:t> </w:t>
      </w:r>
      <w:r>
        <w:rPr>
          <w:color w:val="0D0D0D"/>
        </w:rPr>
        <w:t>pacientes</w:t>
      </w:r>
      <w:r>
        <w:rPr>
          <w:color w:val="0D0D0D"/>
          <w:spacing w:val="-6"/>
        </w:rPr>
        <w:t> </w:t>
      </w:r>
      <w:r>
        <w:rPr>
          <w:color w:val="0D0D0D"/>
        </w:rPr>
        <w:t>machos</w:t>
      </w:r>
      <w:r>
        <w:rPr>
          <w:color w:val="0D0D0D"/>
          <w:spacing w:val="-10"/>
        </w:rPr>
        <w:t> </w:t>
      </w:r>
      <w:r>
        <w:rPr>
          <w:color w:val="0D0D0D"/>
        </w:rPr>
        <w:t>con</w:t>
      </w:r>
      <w:r>
        <w:rPr>
          <w:color w:val="0D0D0D"/>
          <w:spacing w:val="-5"/>
        </w:rPr>
        <w:t> </w:t>
      </w:r>
      <w:r>
        <w:rPr>
          <w:color w:val="0D0D0D"/>
        </w:rPr>
        <w:t>19</w:t>
      </w:r>
      <w:r>
        <w:rPr>
          <w:color w:val="0D0D0D"/>
          <w:spacing w:val="-5"/>
        </w:rPr>
        <w:t> </w:t>
      </w:r>
      <w:r>
        <w:rPr>
          <w:color w:val="0D0D0D"/>
        </w:rPr>
        <w:t>casos,</w:t>
      </w:r>
      <w:r>
        <w:rPr>
          <w:color w:val="0D0D0D"/>
          <w:spacing w:val="-5"/>
        </w:rPr>
        <w:t> </w:t>
      </w:r>
      <w:r>
        <w:rPr>
          <w:color w:val="0D0D0D"/>
        </w:rPr>
        <w:t>equivalentes</w:t>
      </w:r>
      <w:r>
        <w:rPr>
          <w:color w:val="0D0D0D"/>
          <w:spacing w:val="-6"/>
        </w:rPr>
        <w:t> </w:t>
      </w:r>
      <w:r>
        <w:rPr>
          <w:color w:val="0D0D0D"/>
        </w:rPr>
        <w:t>al</w:t>
      </w:r>
      <w:r>
        <w:rPr>
          <w:color w:val="0D0D0D"/>
          <w:spacing w:val="-4"/>
        </w:rPr>
        <w:t> </w:t>
      </w:r>
      <w:r>
        <w:rPr>
          <w:color w:val="0D0D0D"/>
        </w:rPr>
        <w:t>63,3</w:t>
      </w:r>
      <w:r>
        <w:rPr>
          <w:color w:val="0D0D0D"/>
          <w:spacing w:val="-5"/>
        </w:rPr>
        <w:t> </w:t>
      </w:r>
      <w:r>
        <w:rPr>
          <w:color w:val="0D0D0D"/>
        </w:rPr>
        <w:t>%</w:t>
      </w:r>
      <w:r>
        <w:rPr>
          <w:color w:val="0D0D0D"/>
          <w:spacing w:val="-4"/>
        </w:rPr>
        <w:t> </w:t>
      </w:r>
      <w:r>
        <w:rPr>
          <w:color w:val="0D0D0D"/>
        </w:rPr>
        <w:t>de la muestra, mientras que las hembras representaron 11 casos, correspondientes al 36,7</w:t>
      </w:r>
      <w:r>
        <w:rPr>
          <w:color w:val="0D0D0D"/>
          <w:spacing w:val="-15"/>
        </w:rPr>
        <w:t> </w:t>
      </w:r>
      <w:r>
        <w:rPr>
          <w:color w:val="0D0D0D"/>
        </w:rPr>
        <w:t>%.</w:t>
      </w:r>
      <w:r>
        <w:rPr>
          <w:color w:val="0D0D0D"/>
          <w:spacing w:val="-15"/>
        </w:rPr>
        <w:t> </w:t>
      </w:r>
      <w:r>
        <w:rPr>
          <w:color w:val="0D0D0D"/>
        </w:rPr>
        <w:t>La</w:t>
      </w:r>
      <w:r>
        <w:rPr>
          <w:color w:val="0D0D0D"/>
          <w:spacing w:val="-15"/>
        </w:rPr>
        <w:t> </w:t>
      </w:r>
      <w:r>
        <w:rPr>
          <w:color w:val="0D0D0D"/>
        </w:rPr>
        <w:t>diferencia</w:t>
      </w:r>
      <w:r>
        <w:rPr>
          <w:color w:val="0D0D0D"/>
          <w:spacing w:val="-15"/>
        </w:rPr>
        <w:t> </w:t>
      </w:r>
      <w:r>
        <w:rPr>
          <w:color w:val="0D0D0D"/>
        </w:rPr>
        <w:t>observada</w:t>
      </w:r>
      <w:r>
        <w:rPr>
          <w:color w:val="0D0D0D"/>
          <w:spacing w:val="-13"/>
        </w:rPr>
        <w:t> </w:t>
      </w:r>
      <w:r>
        <w:rPr>
          <w:color w:val="0D0D0D"/>
        </w:rPr>
        <w:t>responde</w:t>
      </w:r>
      <w:r>
        <w:rPr>
          <w:color w:val="0D0D0D"/>
          <w:spacing w:val="-15"/>
        </w:rPr>
        <w:t> </w:t>
      </w:r>
      <w:r>
        <w:rPr>
          <w:color w:val="0D0D0D"/>
        </w:rPr>
        <w:t>a</w:t>
      </w:r>
      <w:r>
        <w:rPr>
          <w:color w:val="0D0D0D"/>
          <w:spacing w:val="-14"/>
        </w:rPr>
        <w:t> </w:t>
      </w:r>
      <w:r>
        <w:rPr>
          <w:color w:val="0D0D0D"/>
        </w:rPr>
        <w:t>la</w:t>
      </w:r>
      <w:r>
        <w:rPr>
          <w:color w:val="0D0D0D"/>
          <w:spacing w:val="-14"/>
        </w:rPr>
        <w:t> </w:t>
      </w:r>
      <w:r>
        <w:rPr>
          <w:color w:val="0D0D0D"/>
        </w:rPr>
        <w:t>composición</w:t>
      </w:r>
      <w:r>
        <w:rPr>
          <w:color w:val="0D0D0D"/>
          <w:spacing w:val="-15"/>
        </w:rPr>
        <w:t> </w:t>
      </w:r>
      <w:r>
        <w:rPr>
          <w:color w:val="0D0D0D"/>
        </w:rPr>
        <w:t>de</w:t>
      </w:r>
      <w:r>
        <w:rPr>
          <w:color w:val="0D0D0D"/>
          <w:spacing w:val="-14"/>
        </w:rPr>
        <w:t> </w:t>
      </w:r>
      <w:r>
        <w:rPr>
          <w:color w:val="0D0D0D"/>
        </w:rPr>
        <w:t>la</w:t>
      </w:r>
      <w:r>
        <w:rPr>
          <w:color w:val="0D0D0D"/>
          <w:spacing w:val="-14"/>
        </w:rPr>
        <w:t> </w:t>
      </w:r>
      <w:r>
        <w:rPr>
          <w:color w:val="0D0D0D"/>
        </w:rPr>
        <w:t>población</w:t>
      </w:r>
      <w:r>
        <w:rPr>
          <w:color w:val="0D0D0D"/>
          <w:spacing w:val="-15"/>
        </w:rPr>
        <w:t> </w:t>
      </w:r>
      <w:r>
        <w:rPr>
          <w:color w:val="0D0D0D"/>
        </w:rPr>
        <w:t>incluida en</w:t>
      </w:r>
      <w:r>
        <w:rPr>
          <w:color w:val="0D0D0D"/>
          <w:spacing w:val="-3"/>
        </w:rPr>
        <w:t> </w:t>
      </w:r>
      <w:r>
        <w:rPr>
          <w:color w:val="0D0D0D"/>
        </w:rPr>
        <w:t>el</w:t>
      </w:r>
      <w:r>
        <w:rPr>
          <w:color w:val="0D0D0D"/>
          <w:spacing w:val="-6"/>
        </w:rPr>
        <w:t> </w:t>
      </w:r>
      <w:r>
        <w:rPr>
          <w:color w:val="0D0D0D"/>
        </w:rPr>
        <w:t>estudio</w:t>
      </w:r>
      <w:r>
        <w:rPr>
          <w:color w:val="0D0D0D"/>
          <w:spacing w:val="-3"/>
        </w:rPr>
        <w:t> </w:t>
      </w:r>
      <w:r>
        <w:rPr>
          <w:color w:val="0D0D0D"/>
        </w:rPr>
        <w:t>y</w:t>
      </w:r>
      <w:r>
        <w:rPr>
          <w:color w:val="0D0D0D"/>
          <w:spacing w:val="-1"/>
        </w:rPr>
        <w:t> </w:t>
      </w:r>
      <w:r>
        <w:rPr>
          <w:color w:val="0D0D0D"/>
        </w:rPr>
        <w:t>a</w:t>
      </w:r>
      <w:r>
        <w:rPr>
          <w:color w:val="0D0D0D"/>
          <w:spacing w:val="-5"/>
        </w:rPr>
        <w:t> </w:t>
      </w:r>
      <w:r>
        <w:rPr>
          <w:color w:val="0D0D0D"/>
        </w:rPr>
        <w:t>los</w:t>
      </w:r>
      <w:r>
        <w:rPr>
          <w:color w:val="0D0D0D"/>
          <w:spacing w:val="-4"/>
        </w:rPr>
        <w:t> </w:t>
      </w:r>
      <w:r>
        <w:rPr>
          <w:color w:val="0D0D0D"/>
        </w:rPr>
        <w:t>procedimientos</w:t>
      </w:r>
      <w:r>
        <w:rPr>
          <w:color w:val="0D0D0D"/>
          <w:spacing w:val="-4"/>
        </w:rPr>
        <w:t> </w:t>
      </w:r>
      <w:r>
        <w:rPr>
          <w:color w:val="0D0D0D"/>
        </w:rPr>
        <w:t>quirúrgicos</w:t>
      </w:r>
      <w:r>
        <w:rPr>
          <w:color w:val="0D0D0D"/>
          <w:spacing w:val="-4"/>
        </w:rPr>
        <w:t> </w:t>
      </w:r>
      <w:r>
        <w:rPr>
          <w:color w:val="0D0D0D"/>
        </w:rPr>
        <w:t>reproductivos</w:t>
      </w:r>
      <w:r>
        <w:rPr>
          <w:color w:val="0D0D0D"/>
          <w:spacing w:val="-4"/>
        </w:rPr>
        <w:t> </w:t>
      </w:r>
      <w:r>
        <w:rPr>
          <w:color w:val="0D0D0D"/>
        </w:rPr>
        <w:t>realizados,</w:t>
      </w:r>
      <w:r>
        <w:rPr>
          <w:color w:val="0D0D0D"/>
          <w:spacing w:val="-3"/>
        </w:rPr>
        <w:t> </w:t>
      </w:r>
      <w:r>
        <w:rPr>
          <w:color w:val="0D0D0D"/>
        </w:rPr>
        <w:t>debido</w:t>
      </w:r>
      <w:r>
        <w:rPr>
          <w:color w:val="0D0D0D"/>
          <w:spacing w:val="-7"/>
        </w:rPr>
        <w:t> </w:t>
      </w:r>
      <w:r>
        <w:rPr>
          <w:color w:val="0D0D0D"/>
        </w:rPr>
        <w:t>a que los pacientes machos fueron sometidos a orquiectomía mientras que las hembras a ovariohisterectomía.</w:t>
      </w:r>
    </w:p>
    <w:p>
      <w:pPr>
        <w:pStyle w:val="BodyText"/>
        <w:spacing w:line="480" w:lineRule="auto" w:before="241"/>
        <w:ind w:left="568" w:right="136"/>
        <w:jc w:val="both"/>
      </w:pPr>
      <w:r>
        <w:rPr>
          <w:color w:val="0D0D0D"/>
        </w:rPr>
        <w:t>Las guías</w:t>
      </w:r>
      <w:r>
        <w:rPr>
          <w:color w:val="0D0D0D"/>
          <w:spacing w:val="-1"/>
        </w:rPr>
        <w:t> </w:t>
      </w:r>
      <w:r>
        <w:rPr>
          <w:color w:val="0D0D0D"/>
        </w:rPr>
        <w:t>reproductivas</w:t>
      </w:r>
      <w:r>
        <w:rPr>
          <w:color w:val="0D0D0D"/>
          <w:spacing w:val="-1"/>
        </w:rPr>
        <w:t> </w:t>
      </w:r>
      <w:r>
        <w:rPr>
          <w:color w:val="0D0D0D"/>
        </w:rPr>
        <w:t>en perros</w:t>
      </w:r>
      <w:r>
        <w:rPr>
          <w:color w:val="0D0D0D"/>
          <w:spacing w:val="-1"/>
        </w:rPr>
        <w:t> </w:t>
      </w:r>
      <w:r>
        <w:rPr>
          <w:color w:val="0D0D0D"/>
        </w:rPr>
        <w:t>reconocen que la esterilización quirúrgica, tanto en machos como en hembras, es una práctica frecuente en medicina veterinaria, aunque cada procedimiento presenta ciertas diferencias ya sea en duración, manipulación quirúrgica o estímulo nociceptivo (Romagnoli et al., 2024). En esta investigación existió mayor representación de machos, aun así, los resultados se analizaron en relación con la vía de administración de la dexmedetomidina y no como una diferencia atribuible únicamente al sexo de los pacientes.</w:t>
      </w:r>
    </w:p>
    <w:p>
      <w:pPr>
        <w:pStyle w:val="Heading3"/>
        <w:numPr>
          <w:ilvl w:val="2"/>
          <w:numId w:val="8"/>
        </w:numPr>
        <w:tabs>
          <w:tab w:pos="1288" w:val="left" w:leader="none"/>
        </w:tabs>
        <w:spacing w:line="240" w:lineRule="auto" w:before="1" w:after="0"/>
        <w:ind w:left="1288" w:right="0" w:hanging="720"/>
        <w:jc w:val="both"/>
      </w:pPr>
      <w:bookmarkStart w:name="_bookmark49" w:id="50"/>
      <w:bookmarkEnd w:id="50"/>
      <w:r>
        <w:rPr>
          <w:b w:val="0"/>
        </w:rPr>
      </w:r>
      <w:r>
        <w:rPr>
          <w:color w:val="0D0D0D"/>
          <w:spacing w:val="-4"/>
        </w:rPr>
        <w:t>Peso</w:t>
      </w:r>
    </w:p>
    <w:p>
      <w:pPr>
        <w:spacing w:before="275"/>
        <w:ind w:left="568" w:right="0" w:firstLine="0"/>
        <w:jc w:val="both"/>
        <w:rPr>
          <w:b/>
          <w:sz w:val="22"/>
        </w:rPr>
      </w:pPr>
      <w:bookmarkStart w:name="_bookmark50" w:id="51"/>
      <w:bookmarkEnd w:id="51"/>
      <w:r>
        <w:rPr/>
      </w:r>
      <w:r>
        <w:rPr>
          <w:b/>
          <w:spacing w:val="-2"/>
          <w:sz w:val="22"/>
        </w:rPr>
        <w:t>Tabla</w:t>
      </w:r>
      <w:r>
        <w:rPr>
          <w:b/>
          <w:spacing w:val="-10"/>
          <w:sz w:val="22"/>
        </w:rPr>
        <w:t> </w:t>
      </w:r>
      <w:r>
        <w:rPr>
          <w:b/>
          <w:spacing w:val="-5"/>
          <w:sz w:val="22"/>
        </w:rPr>
        <w:t>5.</w:t>
      </w:r>
    </w:p>
    <w:p>
      <w:pPr>
        <w:spacing w:before="127"/>
        <w:ind w:left="568" w:right="0" w:firstLine="0"/>
        <w:jc w:val="both"/>
        <w:rPr>
          <w:i/>
          <w:sz w:val="22"/>
        </w:rPr>
      </w:pPr>
      <w:r>
        <w:rPr>
          <w:i/>
          <w:sz w:val="22"/>
        </w:rPr>
        <w:t>Comparativo</w:t>
      </w:r>
      <w:r>
        <w:rPr>
          <w:i/>
          <w:spacing w:val="-1"/>
          <w:sz w:val="22"/>
        </w:rPr>
        <w:t> </w:t>
      </w:r>
      <w:r>
        <w:rPr>
          <w:i/>
          <w:sz w:val="22"/>
        </w:rPr>
        <w:t>de</w:t>
      </w:r>
      <w:r>
        <w:rPr>
          <w:i/>
          <w:spacing w:val="-7"/>
          <w:sz w:val="22"/>
        </w:rPr>
        <w:t> </w:t>
      </w:r>
      <w:r>
        <w:rPr>
          <w:i/>
          <w:spacing w:val="-4"/>
          <w:sz w:val="22"/>
        </w:rPr>
        <w:t>peso</w:t>
      </w:r>
    </w:p>
    <w:p>
      <w:pPr>
        <w:pStyle w:val="BodyText"/>
        <w:spacing w:before="103"/>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7"/>
        <w:gridCol w:w="2871"/>
        <w:gridCol w:w="1980"/>
      </w:tblGrid>
      <w:tr>
        <w:trPr>
          <w:trHeight w:val="414" w:hRule="atLeast"/>
        </w:trPr>
        <w:tc>
          <w:tcPr>
            <w:tcW w:w="3087" w:type="dxa"/>
            <w:tcBorders>
              <w:top w:val="single" w:sz="4" w:space="0" w:color="000000"/>
              <w:bottom w:val="single" w:sz="4" w:space="0" w:color="000000"/>
            </w:tcBorders>
          </w:tcPr>
          <w:p>
            <w:pPr>
              <w:pStyle w:val="TableParagraph"/>
              <w:spacing w:line="275" w:lineRule="exact" w:before="0"/>
              <w:ind w:left="114"/>
              <w:jc w:val="left"/>
              <w:rPr>
                <w:b/>
                <w:sz w:val="24"/>
              </w:rPr>
            </w:pPr>
            <w:r>
              <w:rPr>
                <w:b/>
                <w:color w:val="0D0D0D"/>
                <w:sz w:val="24"/>
              </w:rPr>
              <w:t>Rango</w:t>
            </w:r>
            <w:r>
              <w:rPr>
                <w:b/>
                <w:color w:val="0D0D0D"/>
                <w:spacing w:val="-4"/>
                <w:sz w:val="24"/>
              </w:rPr>
              <w:t> </w:t>
            </w:r>
            <w:r>
              <w:rPr>
                <w:b/>
                <w:color w:val="0D0D0D"/>
                <w:sz w:val="24"/>
              </w:rPr>
              <w:t>de</w:t>
            </w:r>
            <w:r>
              <w:rPr>
                <w:b/>
                <w:color w:val="0D0D0D"/>
                <w:spacing w:val="-2"/>
                <w:sz w:val="24"/>
              </w:rPr>
              <w:t> </w:t>
            </w:r>
            <w:r>
              <w:rPr>
                <w:b/>
                <w:color w:val="0D0D0D"/>
                <w:sz w:val="24"/>
              </w:rPr>
              <w:t>peso</w:t>
            </w:r>
            <w:r>
              <w:rPr>
                <w:b/>
                <w:color w:val="0D0D0D"/>
                <w:spacing w:val="-3"/>
                <w:sz w:val="24"/>
              </w:rPr>
              <w:t> </w:t>
            </w:r>
            <w:r>
              <w:rPr>
                <w:b/>
                <w:color w:val="0D0D0D"/>
                <w:spacing w:val="-4"/>
                <w:sz w:val="24"/>
              </w:rPr>
              <w:t>(Kg)</w:t>
            </w:r>
          </w:p>
        </w:tc>
        <w:tc>
          <w:tcPr>
            <w:tcW w:w="2871" w:type="dxa"/>
            <w:tcBorders>
              <w:top w:val="single" w:sz="4" w:space="0" w:color="000000"/>
              <w:bottom w:val="single" w:sz="4" w:space="0" w:color="000000"/>
            </w:tcBorders>
          </w:tcPr>
          <w:p>
            <w:pPr>
              <w:pStyle w:val="TableParagraph"/>
              <w:spacing w:line="275" w:lineRule="exact" w:before="0"/>
              <w:ind w:right="769"/>
              <w:jc w:val="right"/>
              <w:rPr>
                <w:b/>
                <w:sz w:val="24"/>
              </w:rPr>
            </w:pPr>
            <w:r>
              <w:rPr>
                <w:b/>
                <w:color w:val="0D0D0D"/>
                <w:spacing w:val="-2"/>
                <w:sz w:val="24"/>
              </w:rPr>
              <w:t>Frecuencia</w:t>
            </w:r>
          </w:p>
        </w:tc>
        <w:tc>
          <w:tcPr>
            <w:tcW w:w="1980" w:type="dxa"/>
            <w:tcBorders>
              <w:top w:val="single" w:sz="4" w:space="0" w:color="000000"/>
              <w:bottom w:val="single" w:sz="4" w:space="0" w:color="000000"/>
            </w:tcBorders>
          </w:tcPr>
          <w:p>
            <w:pPr>
              <w:pStyle w:val="TableParagraph"/>
              <w:spacing w:line="275" w:lineRule="exact" w:before="0"/>
              <w:ind w:right="105"/>
              <w:jc w:val="right"/>
              <w:rPr>
                <w:b/>
                <w:sz w:val="24"/>
              </w:rPr>
            </w:pPr>
            <w:r>
              <w:rPr>
                <w:b/>
                <w:color w:val="0D0D0D"/>
                <w:spacing w:val="-2"/>
                <w:sz w:val="24"/>
              </w:rPr>
              <w:t>Porcentaje</w:t>
            </w:r>
          </w:p>
        </w:tc>
      </w:tr>
      <w:tr>
        <w:trPr>
          <w:trHeight w:val="350" w:hRule="atLeast"/>
        </w:trPr>
        <w:tc>
          <w:tcPr>
            <w:tcW w:w="3087" w:type="dxa"/>
            <w:tcBorders>
              <w:top w:val="single" w:sz="4" w:space="0" w:color="000000"/>
            </w:tcBorders>
          </w:tcPr>
          <w:p>
            <w:pPr>
              <w:pStyle w:val="TableParagraph"/>
              <w:spacing w:line="275" w:lineRule="exact" w:before="0"/>
              <w:ind w:left="114"/>
              <w:jc w:val="left"/>
              <w:rPr>
                <w:sz w:val="24"/>
              </w:rPr>
            </w:pPr>
            <w:r>
              <w:rPr>
                <w:sz w:val="24"/>
              </w:rPr>
              <w:t>≤ </w:t>
            </w:r>
            <w:r>
              <w:rPr>
                <w:spacing w:val="-5"/>
                <w:sz w:val="24"/>
              </w:rPr>
              <w:t>5,0</w:t>
            </w:r>
          </w:p>
        </w:tc>
        <w:tc>
          <w:tcPr>
            <w:tcW w:w="2871" w:type="dxa"/>
            <w:tcBorders>
              <w:top w:val="single" w:sz="4" w:space="0" w:color="000000"/>
            </w:tcBorders>
          </w:tcPr>
          <w:p>
            <w:pPr>
              <w:pStyle w:val="TableParagraph"/>
              <w:spacing w:line="275" w:lineRule="exact" w:before="0"/>
              <w:ind w:right="773"/>
              <w:jc w:val="right"/>
              <w:rPr>
                <w:sz w:val="24"/>
              </w:rPr>
            </w:pPr>
            <w:r>
              <w:rPr>
                <w:spacing w:val="-10"/>
                <w:sz w:val="24"/>
              </w:rPr>
              <w:t>5</w:t>
            </w:r>
          </w:p>
        </w:tc>
        <w:tc>
          <w:tcPr>
            <w:tcW w:w="1980" w:type="dxa"/>
            <w:tcBorders>
              <w:top w:val="single" w:sz="4" w:space="0" w:color="000000"/>
            </w:tcBorders>
          </w:tcPr>
          <w:p>
            <w:pPr>
              <w:pStyle w:val="TableParagraph"/>
              <w:spacing w:line="275" w:lineRule="exact" w:before="0"/>
              <w:ind w:right="107"/>
              <w:jc w:val="right"/>
              <w:rPr>
                <w:sz w:val="24"/>
              </w:rPr>
            </w:pPr>
            <w:r>
              <w:rPr>
                <w:spacing w:val="-4"/>
                <w:sz w:val="24"/>
              </w:rPr>
              <w:t>16,7</w:t>
            </w:r>
          </w:p>
        </w:tc>
      </w:tr>
      <w:tr>
        <w:trPr>
          <w:trHeight w:val="414" w:hRule="atLeast"/>
        </w:trPr>
        <w:tc>
          <w:tcPr>
            <w:tcW w:w="3087" w:type="dxa"/>
          </w:tcPr>
          <w:p>
            <w:pPr>
              <w:pStyle w:val="TableParagraph"/>
              <w:spacing w:before="65"/>
              <w:ind w:left="114"/>
              <w:jc w:val="left"/>
              <w:rPr>
                <w:sz w:val="24"/>
              </w:rPr>
            </w:pPr>
            <w:r>
              <w:rPr>
                <w:sz w:val="24"/>
              </w:rPr>
              <w:t>5,1 – </w:t>
            </w:r>
            <w:r>
              <w:rPr>
                <w:spacing w:val="-4"/>
                <w:sz w:val="24"/>
              </w:rPr>
              <w:t>15,0</w:t>
            </w:r>
          </w:p>
        </w:tc>
        <w:tc>
          <w:tcPr>
            <w:tcW w:w="2871" w:type="dxa"/>
          </w:tcPr>
          <w:p>
            <w:pPr>
              <w:pStyle w:val="TableParagraph"/>
              <w:spacing w:before="65"/>
              <w:ind w:right="772"/>
              <w:jc w:val="right"/>
              <w:rPr>
                <w:sz w:val="24"/>
              </w:rPr>
            </w:pPr>
            <w:r>
              <w:rPr>
                <w:spacing w:val="-5"/>
                <w:sz w:val="24"/>
              </w:rPr>
              <w:t>12</w:t>
            </w:r>
          </w:p>
        </w:tc>
        <w:tc>
          <w:tcPr>
            <w:tcW w:w="1980" w:type="dxa"/>
          </w:tcPr>
          <w:p>
            <w:pPr>
              <w:pStyle w:val="TableParagraph"/>
              <w:spacing w:before="65"/>
              <w:ind w:right="107"/>
              <w:jc w:val="right"/>
              <w:rPr>
                <w:sz w:val="24"/>
              </w:rPr>
            </w:pPr>
            <w:r>
              <w:rPr>
                <w:spacing w:val="-4"/>
                <w:sz w:val="24"/>
              </w:rPr>
              <w:t>40,0</w:t>
            </w:r>
          </w:p>
        </w:tc>
      </w:tr>
      <w:tr>
        <w:trPr>
          <w:trHeight w:val="414" w:hRule="atLeast"/>
        </w:trPr>
        <w:tc>
          <w:tcPr>
            <w:tcW w:w="3087" w:type="dxa"/>
          </w:tcPr>
          <w:p>
            <w:pPr>
              <w:pStyle w:val="TableParagraph"/>
              <w:spacing w:before="63"/>
              <w:ind w:left="114"/>
              <w:jc w:val="left"/>
              <w:rPr>
                <w:sz w:val="24"/>
              </w:rPr>
            </w:pPr>
            <w:r>
              <w:rPr>
                <w:sz w:val="24"/>
              </w:rPr>
              <w:t>&gt; </w:t>
            </w:r>
            <w:r>
              <w:rPr>
                <w:spacing w:val="-4"/>
                <w:sz w:val="24"/>
              </w:rPr>
              <w:t>15,0</w:t>
            </w:r>
          </w:p>
        </w:tc>
        <w:tc>
          <w:tcPr>
            <w:tcW w:w="2871" w:type="dxa"/>
          </w:tcPr>
          <w:p>
            <w:pPr>
              <w:pStyle w:val="TableParagraph"/>
              <w:spacing w:before="63"/>
              <w:ind w:right="772"/>
              <w:jc w:val="right"/>
              <w:rPr>
                <w:sz w:val="24"/>
              </w:rPr>
            </w:pPr>
            <w:r>
              <w:rPr>
                <w:spacing w:val="-5"/>
                <w:sz w:val="24"/>
              </w:rPr>
              <w:t>13</w:t>
            </w:r>
          </w:p>
        </w:tc>
        <w:tc>
          <w:tcPr>
            <w:tcW w:w="1980" w:type="dxa"/>
          </w:tcPr>
          <w:p>
            <w:pPr>
              <w:pStyle w:val="TableParagraph"/>
              <w:spacing w:before="63"/>
              <w:ind w:right="107"/>
              <w:jc w:val="right"/>
              <w:rPr>
                <w:sz w:val="24"/>
              </w:rPr>
            </w:pPr>
            <w:r>
              <w:rPr>
                <w:spacing w:val="-4"/>
                <w:sz w:val="24"/>
              </w:rPr>
              <w:t>43,3</w:t>
            </w:r>
          </w:p>
        </w:tc>
      </w:tr>
      <w:tr>
        <w:trPr>
          <w:trHeight w:val="480" w:hRule="atLeast"/>
        </w:trPr>
        <w:tc>
          <w:tcPr>
            <w:tcW w:w="3087" w:type="dxa"/>
            <w:tcBorders>
              <w:bottom w:val="single" w:sz="4" w:space="0" w:color="000000"/>
            </w:tcBorders>
          </w:tcPr>
          <w:p>
            <w:pPr>
              <w:pStyle w:val="TableParagraph"/>
              <w:spacing w:before="65"/>
              <w:ind w:left="114"/>
              <w:jc w:val="left"/>
              <w:rPr>
                <w:b/>
                <w:sz w:val="24"/>
              </w:rPr>
            </w:pPr>
            <w:r>
              <w:rPr>
                <w:b/>
                <w:spacing w:val="-2"/>
                <w:sz w:val="24"/>
              </w:rPr>
              <w:t>Total</w:t>
            </w:r>
          </w:p>
        </w:tc>
        <w:tc>
          <w:tcPr>
            <w:tcW w:w="2871" w:type="dxa"/>
            <w:tcBorders>
              <w:bottom w:val="single" w:sz="4" w:space="0" w:color="000000"/>
            </w:tcBorders>
          </w:tcPr>
          <w:p>
            <w:pPr>
              <w:pStyle w:val="TableParagraph"/>
              <w:spacing w:before="65"/>
              <w:ind w:right="772"/>
              <w:jc w:val="right"/>
              <w:rPr>
                <w:b/>
                <w:sz w:val="24"/>
              </w:rPr>
            </w:pPr>
            <w:r>
              <w:rPr>
                <w:b/>
                <w:spacing w:val="-5"/>
                <w:sz w:val="24"/>
              </w:rPr>
              <w:t>30</w:t>
            </w:r>
          </w:p>
        </w:tc>
        <w:tc>
          <w:tcPr>
            <w:tcW w:w="1980" w:type="dxa"/>
            <w:tcBorders>
              <w:bottom w:val="single" w:sz="4" w:space="0" w:color="000000"/>
            </w:tcBorders>
          </w:tcPr>
          <w:p>
            <w:pPr>
              <w:pStyle w:val="TableParagraph"/>
              <w:spacing w:before="65"/>
              <w:ind w:right="107"/>
              <w:jc w:val="right"/>
              <w:rPr>
                <w:b/>
                <w:sz w:val="24"/>
              </w:rPr>
            </w:pPr>
            <w:r>
              <w:rPr>
                <w:b/>
                <w:spacing w:val="-2"/>
                <w:sz w:val="24"/>
              </w:rPr>
              <w:t>100,0</w:t>
            </w:r>
          </w:p>
        </w:tc>
      </w:tr>
    </w:tbl>
    <w:p>
      <w:pPr>
        <w:pStyle w:val="TableParagraph"/>
        <w:spacing w:after="0"/>
        <w:jc w:val="right"/>
        <w:rPr>
          <w:b/>
          <w:sz w:val="24"/>
        </w:rPr>
        <w:sectPr>
          <w:pgSz w:w="11910" w:h="16840"/>
          <w:pgMar w:header="0" w:footer="1038" w:top="1620" w:bottom="1220" w:left="1700" w:right="1559"/>
        </w:sectPr>
      </w:pPr>
    </w:p>
    <w:p>
      <w:pPr>
        <w:spacing w:before="63"/>
        <w:ind w:left="568" w:right="0" w:firstLine="0"/>
        <w:jc w:val="left"/>
        <w:rPr>
          <w:b/>
          <w:sz w:val="22"/>
        </w:rPr>
      </w:pPr>
      <w:bookmarkStart w:name="_bookmark51" w:id="52"/>
      <w:bookmarkEnd w:id="52"/>
      <w:r>
        <w:rPr/>
      </w:r>
      <w:r>
        <w:rPr>
          <w:b/>
          <w:sz w:val="22"/>
        </w:rPr>
        <w:t>Figura</w:t>
      </w:r>
      <w:r>
        <w:rPr>
          <w:b/>
          <w:spacing w:val="-3"/>
          <w:sz w:val="22"/>
        </w:rPr>
        <w:t> </w:t>
      </w:r>
      <w:r>
        <w:rPr>
          <w:b/>
          <w:spacing w:val="-5"/>
          <w:sz w:val="22"/>
        </w:rPr>
        <w:t>4.</w:t>
      </w:r>
    </w:p>
    <w:p>
      <w:pPr>
        <w:spacing w:before="127"/>
        <w:ind w:left="568" w:right="0" w:firstLine="0"/>
        <w:jc w:val="left"/>
        <w:rPr>
          <w:i/>
          <w:sz w:val="22"/>
        </w:rPr>
      </w:pPr>
      <w:r>
        <w:rPr>
          <w:i/>
          <w:sz w:val="22"/>
        </w:rPr>
        <w:t>Distribución</w:t>
      </w:r>
      <w:r>
        <w:rPr>
          <w:i/>
          <w:spacing w:val="-2"/>
          <w:sz w:val="22"/>
        </w:rPr>
        <w:t> </w:t>
      </w:r>
      <w:r>
        <w:rPr>
          <w:i/>
          <w:sz w:val="22"/>
        </w:rPr>
        <w:t>de</w:t>
      </w:r>
      <w:r>
        <w:rPr>
          <w:i/>
          <w:spacing w:val="-4"/>
          <w:sz w:val="22"/>
        </w:rPr>
        <w:t> </w:t>
      </w:r>
      <w:r>
        <w:rPr>
          <w:i/>
          <w:sz w:val="22"/>
        </w:rPr>
        <w:t>peso</w:t>
      </w:r>
      <w:r>
        <w:rPr>
          <w:i/>
          <w:spacing w:val="-2"/>
          <w:sz w:val="22"/>
        </w:rPr>
        <w:t> </w:t>
      </w:r>
      <w:r>
        <w:rPr>
          <w:i/>
          <w:sz w:val="22"/>
        </w:rPr>
        <w:t>por</w:t>
      </w:r>
      <w:r>
        <w:rPr>
          <w:i/>
          <w:spacing w:val="-4"/>
          <w:sz w:val="22"/>
        </w:rPr>
        <w:t> </w:t>
      </w:r>
      <w:r>
        <w:rPr>
          <w:i/>
          <w:spacing w:val="-2"/>
          <w:sz w:val="22"/>
        </w:rPr>
        <w:t>rangos</w:t>
      </w:r>
    </w:p>
    <w:p>
      <w:pPr>
        <w:pStyle w:val="BodyText"/>
        <w:spacing w:before="114"/>
        <w:rPr>
          <w:i/>
          <w:sz w:val="20"/>
        </w:rPr>
      </w:pPr>
      <w:r>
        <w:rPr>
          <w:i/>
          <w:sz w:val="20"/>
        </w:rPr>
        <w:drawing>
          <wp:anchor distT="0" distB="0" distL="0" distR="0" allowOverlap="1" layoutInCell="1" locked="0" behindDoc="1" simplePos="0" relativeHeight="487594496">
            <wp:simplePos x="0" y="0"/>
            <wp:positionH relativeFrom="page">
              <wp:posOffset>1440180</wp:posOffset>
            </wp:positionH>
            <wp:positionV relativeFrom="paragraph">
              <wp:posOffset>233707</wp:posOffset>
            </wp:positionV>
            <wp:extent cx="4633026" cy="3090672"/>
            <wp:effectExtent l="0" t="0" r="0" b="0"/>
            <wp:wrapTopAndBottom/>
            <wp:docPr id="19" name="Image 19"/>
            <wp:cNvGraphicFramePr>
              <a:graphicFrameLocks/>
            </wp:cNvGraphicFramePr>
            <a:graphic>
              <a:graphicData uri="http://schemas.openxmlformats.org/drawingml/2006/picture">
                <pic:pic>
                  <pic:nvPicPr>
                    <pic:cNvPr id="19" name="Image 19"/>
                    <pic:cNvPicPr/>
                  </pic:nvPicPr>
                  <pic:blipFill>
                    <a:blip r:embed="rId15" cstate="print"/>
                    <a:stretch>
                      <a:fillRect/>
                    </a:stretch>
                  </pic:blipFill>
                  <pic:spPr>
                    <a:xfrm>
                      <a:off x="0" y="0"/>
                      <a:ext cx="4633026" cy="3090672"/>
                    </a:xfrm>
                    <a:prstGeom prst="rect">
                      <a:avLst/>
                    </a:prstGeom>
                  </pic:spPr>
                </pic:pic>
              </a:graphicData>
            </a:graphic>
          </wp:anchor>
        </w:drawing>
      </w:r>
    </w:p>
    <w:p>
      <w:pPr>
        <w:pStyle w:val="BodyText"/>
        <w:spacing w:before="129"/>
        <w:rPr>
          <w:i/>
          <w:sz w:val="22"/>
        </w:rPr>
      </w:pPr>
    </w:p>
    <w:p>
      <w:pPr>
        <w:pStyle w:val="BodyText"/>
        <w:spacing w:line="480" w:lineRule="auto"/>
        <w:ind w:left="568" w:right="137"/>
        <w:jc w:val="both"/>
      </w:pPr>
      <w:r>
        <w:rPr>
          <w:color w:val="0D0D0D"/>
        </w:rPr>
        <w:t>La distribución del peso evidenció que la mayor proporción de pacientes es decir 13 caninos correspondió al rango mayor a 15,0 kg equivalentes al 43,3 % de la muestra, seguido del grupo con 12 pacientes con 5,1 a 15,0 kg correspondiente al 40,0 %, mientras que 5 caninos presentaron peso menor o igual a 5,0 kg equivalentes</w:t>
      </w:r>
      <w:r>
        <w:rPr>
          <w:color w:val="0D0D0D"/>
          <w:spacing w:val="-9"/>
        </w:rPr>
        <w:t> </w:t>
      </w:r>
      <w:r>
        <w:rPr>
          <w:color w:val="0D0D0D"/>
        </w:rPr>
        <w:t>al</w:t>
      </w:r>
      <w:r>
        <w:rPr>
          <w:color w:val="0D0D0D"/>
          <w:spacing w:val="-7"/>
        </w:rPr>
        <w:t> </w:t>
      </w:r>
      <w:r>
        <w:rPr>
          <w:color w:val="0D0D0D"/>
        </w:rPr>
        <w:t>16,7</w:t>
      </w:r>
      <w:r>
        <w:rPr>
          <w:color w:val="0D0D0D"/>
          <w:spacing w:val="-8"/>
        </w:rPr>
        <w:t> </w:t>
      </w:r>
      <w:r>
        <w:rPr>
          <w:color w:val="0D0D0D"/>
        </w:rPr>
        <w:t>%.</w:t>
      </w:r>
      <w:r>
        <w:rPr>
          <w:color w:val="0D0D0D"/>
          <w:spacing w:val="-4"/>
        </w:rPr>
        <w:t> </w:t>
      </w:r>
      <w:r>
        <w:rPr>
          <w:color w:val="0D0D0D"/>
        </w:rPr>
        <w:t>Los</w:t>
      </w:r>
      <w:r>
        <w:rPr>
          <w:color w:val="0D0D0D"/>
          <w:spacing w:val="-9"/>
        </w:rPr>
        <w:t> </w:t>
      </w:r>
      <w:r>
        <w:rPr>
          <w:color w:val="0D0D0D"/>
        </w:rPr>
        <w:t>resultados</w:t>
      </w:r>
      <w:r>
        <w:rPr>
          <w:color w:val="0D0D0D"/>
          <w:spacing w:val="-9"/>
        </w:rPr>
        <w:t> </w:t>
      </w:r>
      <w:r>
        <w:rPr>
          <w:color w:val="0D0D0D"/>
        </w:rPr>
        <w:t>muestran</w:t>
      </w:r>
      <w:r>
        <w:rPr>
          <w:color w:val="0D0D0D"/>
          <w:spacing w:val="-8"/>
        </w:rPr>
        <w:t> </w:t>
      </w:r>
      <w:r>
        <w:rPr>
          <w:color w:val="0D0D0D"/>
        </w:rPr>
        <w:t>que</w:t>
      </w:r>
      <w:r>
        <w:rPr>
          <w:color w:val="0D0D0D"/>
          <w:spacing w:val="-6"/>
        </w:rPr>
        <w:t> </w:t>
      </w:r>
      <w:r>
        <w:rPr>
          <w:color w:val="0D0D0D"/>
        </w:rPr>
        <w:t>la</w:t>
      </w:r>
      <w:r>
        <w:rPr>
          <w:color w:val="0D0D0D"/>
          <w:spacing w:val="-6"/>
        </w:rPr>
        <w:t> </w:t>
      </w:r>
      <w:r>
        <w:rPr>
          <w:color w:val="0D0D0D"/>
        </w:rPr>
        <w:t>muestra</w:t>
      </w:r>
      <w:r>
        <w:rPr>
          <w:color w:val="0D0D0D"/>
          <w:spacing w:val="-6"/>
        </w:rPr>
        <w:t> </w:t>
      </w:r>
      <w:r>
        <w:rPr>
          <w:color w:val="0D0D0D"/>
        </w:rPr>
        <w:t>estuvo</w:t>
      </w:r>
      <w:r>
        <w:rPr>
          <w:color w:val="0D0D0D"/>
          <w:spacing w:val="-8"/>
        </w:rPr>
        <w:t> </w:t>
      </w:r>
      <w:r>
        <w:rPr>
          <w:color w:val="0D0D0D"/>
        </w:rPr>
        <w:t>conformada principalmente</w:t>
      </w:r>
      <w:r>
        <w:rPr>
          <w:color w:val="0D0D0D"/>
          <w:spacing w:val="-2"/>
        </w:rPr>
        <w:t> </w:t>
      </w:r>
      <w:r>
        <w:rPr>
          <w:color w:val="0D0D0D"/>
        </w:rPr>
        <w:t>por</w:t>
      </w:r>
      <w:r>
        <w:rPr>
          <w:color w:val="0D0D0D"/>
          <w:spacing w:val="-3"/>
        </w:rPr>
        <w:t> </w:t>
      </w:r>
      <w:r>
        <w:rPr>
          <w:color w:val="0D0D0D"/>
        </w:rPr>
        <w:t>pacientes</w:t>
      </w:r>
      <w:r>
        <w:rPr>
          <w:color w:val="0D0D0D"/>
          <w:spacing w:val="-5"/>
        </w:rPr>
        <w:t> </w:t>
      </w:r>
      <w:r>
        <w:rPr>
          <w:color w:val="0D0D0D"/>
        </w:rPr>
        <w:t>de</w:t>
      </w:r>
      <w:r>
        <w:rPr>
          <w:color w:val="0D0D0D"/>
          <w:spacing w:val="-2"/>
        </w:rPr>
        <w:t> </w:t>
      </w:r>
      <w:r>
        <w:rPr>
          <w:color w:val="0D0D0D"/>
        </w:rPr>
        <w:t>peso</w:t>
      </w:r>
      <w:r>
        <w:rPr>
          <w:color w:val="0D0D0D"/>
          <w:spacing w:val="-3"/>
        </w:rPr>
        <w:t> </w:t>
      </w:r>
      <w:r>
        <w:rPr>
          <w:color w:val="0D0D0D"/>
        </w:rPr>
        <w:t>medio</w:t>
      </w:r>
      <w:r>
        <w:rPr>
          <w:color w:val="0D0D0D"/>
          <w:spacing w:val="-3"/>
        </w:rPr>
        <w:t> </w:t>
      </w:r>
      <w:r>
        <w:rPr>
          <w:color w:val="0D0D0D"/>
        </w:rPr>
        <w:t>y</w:t>
      </w:r>
      <w:r>
        <w:rPr>
          <w:color w:val="0D0D0D"/>
          <w:spacing w:val="-3"/>
        </w:rPr>
        <w:t> </w:t>
      </w:r>
      <w:r>
        <w:rPr>
          <w:color w:val="0D0D0D"/>
        </w:rPr>
        <w:t>alto, un</w:t>
      </w:r>
      <w:r>
        <w:rPr>
          <w:color w:val="0D0D0D"/>
          <w:spacing w:val="-8"/>
        </w:rPr>
        <w:t> </w:t>
      </w:r>
      <w:r>
        <w:rPr>
          <w:color w:val="0D0D0D"/>
        </w:rPr>
        <w:t>aspecto</w:t>
      </w:r>
      <w:r>
        <w:rPr>
          <w:color w:val="0D0D0D"/>
          <w:spacing w:val="-2"/>
        </w:rPr>
        <w:t> </w:t>
      </w:r>
      <w:r>
        <w:rPr>
          <w:color w:val="0D0D0D"/>
        </w:rPr>
        <w:t>de</w:t>
      </w:r>
      <w:r>
        <w:rPr>
          <w:color w:val="0D0D0D"/>
          <w:spacing w:val="-2"/>
        </w:rPr>
        <w:t> </w:t>
      </w:r>
      <w:r>
        <w:rPr>
          <w:color w:val="0D0D0D"/>
        </w:rPr>
        <w:t>gran</w:t>
      </w:r>
      <w:r>
        <w:rPr>
          <w:color w:val="0D0D0D"/>
          <w:spacing w:val="-8"/>
        </w:rPr>
        <w:t> </w:t>
      </w:r>
      <w:r>
        <w:rPr>
          <w:color w:val="0D0D0D"/>
        </w:rPr>
        <w:t>importancia en anestesia veterinaria, debido a que el peso interviene en un correcto cálculo de la</w:t>
      </w:r>
      <w:r>
        <w:rPr>
          <w:color w:val="0D0D0D"/>
          <w:spacing w:val="-3"/>
        </w:rPr>
        <w:t> </w:t>
      </w:r>
      <w:r>
        <w:rPr>
          <w:color w:val="0D0D0D"/>
        </w:rPr>
        <w:t>dosis</w:t>
      </w:r>
      <w:r>
        <w:rPr>
          <w:color w:val="0D0D0D"/>
          <w:spacing w:val="-6"/>
        </w:rPr>
        <w:t> </w:t>
      </w:r>
      <w:r>
        <w:rPr>
          <w:color w:val="0D0D0D"/>
        </w:rPr>
        <w:t>adecuada,</w:t>
      </w:r>
      <w:r>
        <w:rPr>
          <w:color w:val="0D0D0D"/>
          <w:spacing w:val="-6"/>
        </w:rPr>
        <w:t> </w:t>
      </w:r>
      <w:r>
        <w:rPr>
          <w:color w:val="0D0D0D"/>
        </w:rPr>
        <w:t>de</w:t>
      </w:r>
      <w:r>
        <w:rPr>
          <w:color w:val="0D0D0D"/>
          <w:spacing w:val="-4"/>
        </w:rPr>
        <w:t> </w:t>
      </w:r>
      <w:r>
        <w:rPr>
          <w:color w:val="0D0D0D"/>
        </w:rPr>
        <w:t>la</w:t>
      </w:r>
      <w:r>
        <w:rPr>
          <w:color w:val="0D0D0D"/>
          <w:spacing w:val="-4"/>
        </w:rPr>
        <w:t> </w:t>
      </w:r>
      <w:r>
        <w:rPr>
          <w:color w:val="0D0D0D"/>
        </w:rPr>
        <w:t>misma</w:t>
      </w:r>
      <w:r>
        <w:rPr>
          <w:color w:val="0D0D0D"/>
          <w:spacing w:val="-4"/>
        </w:rPr>
        <w:t> </w:t>
      </w:r>
      <w:r>
        <w:rPr>
          <w:color w:val="0D0D0D"/>
        </w:rPr>
        <w:t>manera</w:t>
      </w:r>
      <w:r>
        <w:rPr>
          <w:color w:val="0D0D0D"/>
          <w:spacing w:val="-4"/>
        </w:rPr>
        <w:t> </w:t>
      </w:r>
      <w:r>
        <w:rPr>
          <w:color w:val="0D0D0D"/>
        </w:rPr>
        <w:t>en</w:t>
      </w:r>
      <w:r>
        <w:rPr>
          <w:color w:val="0D0D0D"/>
          <w:spacing w:val="-2"/>
        </w:rPr>
        <w:t> </w:t>
      </w:r>
      <w:r>
        <w:rPr>
          <w:color w:val="0D0D0D"/>
        </w:rPr>
        <w:t>la</w:t>
      </w:r>
      <w:r>
        <w:rPr>
          <w:color w:val="0D0D0D"/>
          <w:spacing w:val="-4"/>
        </w:rPr>
        <w:t> </w:t>
      </w:r>
      <w:r>
        <w:rPr>
          <w:color w:val="0D0D0D"/>
        </w:rPr>
        <w:t>selección</w:t>
      </w:r>
      <w:r>
        <w:rPr>
          <w:color w:val="0D0D0D"/>
          <w:spacing w:val="-6"/>
        </w:rPr>
        <w:t> </w:t>
      </w:r>
      <w:r>
        <w:rPr>
          <w:color w:val="0D0D0D"/>
        </w:rPr>
        <w:t>del</w:t>
      </w:r>
      <w:r>
        <w:rPr>
          <w:color w:val="0D0D0D"/>
          <w:spacing w:val="-5"/>
        </w:rPr>
        <w:t> </w:t>
      </w:r>
      <w:r>
        <w:rPr>
          <w:color w:val="0D0D0D"/>
        </w:rPr>
        <w:t>protocolo</w:t>
      </w:r>
      <w:r>
        <w:rPr>
          <w:color w:val="0D0D0D"/>
          <w:spacing w:val="-6"/>
        </w:rPr>
        <w:t> </w:t>
      </w:r>
      <w:r>
        <w:rPr>
          <w:color w:val="0D0D0D"/>
        </w:rPr>
        <w:t>anestésico,</w:t>
      </w:r>
      <w:r>
        <w:rPr>
          <w:color w:val="0D0D0D"/>
          <w:spacing w:val="-6"/>
        </w:rPr>
        <w:t> </w:t>
      </w:r>
      <w:r>
        <w:rPr>
          <w:color w:val="0D0D0D"/>
        </w:rPr>
        <w:t>así como en la valoración del riesgo perioperatorio.</w:t>
      </w:r>
    </w:p>
    <w:p>
      <w:pPr>
        <w:pStyle w:val="BodyText"/>
        <w:spacing w:line="480" w:lineRule="auto" w:before="242"/>
        <w:ind w:left="568" w:right="147"/>
        <w:jc w:val="both"/>
      </w:pPr>
      <w:r>
        <w:rPr>
          <w:color w:val="0D0D0D"/>
        </w:rPr>
        <w:t>La distribución del peso mostró predominio de pacientes medianos y grandes, que es importante porque el peso corporal condiciona el cálculo de dosis, la respuesta farmacológica,</w:t>
      </w:r>
      <w:r>
        <w:rPr>
          <w:color w:val="0D0D0D"/>
          <w:spacing w:val="-11"/>
        </w:rPr>
        <w:t> </w:t>
      </w:r>
      <w:r>
        <w:rPr>
          <w:color w:val="0D0D0D"/>
        </w:rPr>
        <w:t>así</w:t>
      </w:r>
      <w:r>
        <w:rPr>
          <w:color w:val="0D0D0D"/>
          <w:spacing w:val="-10"/>
        </w:rPr>
        <w:t> </w:t>
      </w:r>
      <w:r>
        <w:rPr>
          <w:color w:val="0D0D0D"/>
        </w:rPr>
        <w:t>como</w:t>
      </w:r>
      <w:r>
        <w:rPr>
          <w:color w:val="0D0D0D"/>
          <w:spacing w:val="-11"/>
        </w:rPr>
        <w:t> </w:t>
      </w:r>
      <w:r>
        <w:rPr>
          <w:color w:val="0D0D0D"/>
        </w:rPr>
        <w:t>la</w:t>
      </w:r>
      <w:r>
        <w:rPr>
          <w:color w:val="0D0D0D"/>
          <w:spacing w:val="-10"/>
        </w:rPr>
        <w:t> </w:t>
      </w:r>
      <w:r>
        <w:rPr>
          <w:color w:val="0D0D0D"/>
        </w:rPr>
        <w:t>vigilancia</w:t>
      </w:r>
      <w:r>
        <w:rPr>
          <w:color w:val="0D0D0D"/>
          <w:spacing w:val="-10"/>
        </w:rPr>
        <w:t> </w:t>
      </w:r>
      <w:r>
        <w:rPr>
          <w:color w:val="0D0D0D"/>
        </w:rPr>
        <w:t>intraoperatoria,</w:t>
      </w:r>
      <w:r>
        <w:rPr>
          <w:color w:val="0D0D0D"/>
          <w:spacing w:val="-11"/>
        </w:rPr>
        <w:t> </w:t>
      </w:r>
      <w:r>
        <w:rPr>
          <w:color w:val="0D0D0D"/>
        </w:rPr>
        <w:t>de</w:t>
      </w:r>
      <w:r>
        <w:rPr>
          <w:color w:val="0D0D0D"/>
          <w:spacing w:val="-10"/>
        </w:rPr>
        <w:t> </w:t>
      </w:r>
      <w:r>
        <w:rPr>
          <w:color w:val="0D0D0D"/>
        </w:rPr>
        <w:t>tal</w:t>
      </w:r>
      <w:r>
        <w:rPr>
          <w:color w:val="0D0D0D"/>
          <w:spacing w:val="-10"/>
        </w:rPr>
        <w:t> </w:t>
      </w:r>
      <w:r>
        <w:rPr>
          <w:color w:val="0D0D0D"/>
        </w:rPr>
        <w:t>modo,</w:t>
      </w:r>
      <w:r>
        <w:rPr>
          <w:color w:val="0D0D0D"/>
          <w:spacing w:val="-11"/>
        </w:rPr>
        <w:t> </w:t>
      </w:r>
      <w:r>
        <w:rPr>
          <w:color w:val="0D0D0D"/>
        </w:rPr>
        <w:t>este</w:t>
      </w:r>
      <w:r>
        <w:rPr>
          <w:color w:val="0D0D0D"/>
          <w:spacing w:val="-10"/>
        </w:rPr>
        <w:t> </w:t>
      </w:r>
      <w:r>
        <w:rPr>
          <w:color w:val="0D0D0D"/>
        </w:rPr>
        <w:t>resultado</w:t>
      </w:r>
      <w:r>
        <w:rPr>
          <w:color w:val="0D0D0D"/>
          <w:spacing w:val="-11"/>
        </w:rPr>
        <w:t> </w:t>
      </w:r>
      <w:r>
        <w:rPr>
          <w:color w:val="0D0D0D"/>
        </w:rPr>
        <w:t>se relaciona</w:t>
      </w:r>
      <w:r>
        <w:rPr>
          <w:color w:val="0D0D0D"/>
          <w:spacing w:val="8"/>
        </w:rPr>
        <w:t> </w:t>
      </w:r>
      <w:r>
        <w:rPr>
          <w:color w:val="0D0D0D"/>
        </w:rPr>
        <w:t>con</w:t>
      </w:r>
      <w:r>
        <w:rPr>
          <w:color w:val="0D0D0D"/>
          <w:spacing w:val="7"/>
        </w:rPr>
        <w:t> </w:t>
      </w:r>
      <w:r>
        <w:rPr>
          <w:color w:val="0D0D0D"/>
        </w:rPr>
        <w:t>lo</w:t>
      </w:r>
      <w:r>
        <w:rPr>
          <w:color w:val="0D0D0D"/>
          <w:spacing w:val="7"/>
        </w:rPr>
        <w:t> </w:t>
      </w:r>
      <w:r>
        <w:rPr>
          <w:color w:val="0D0D0D"/>
        </w:rPr>
        <w:t>expresado</w:t>
      </w:r>
      <w:r>
        <w:rPr>
          <w:color w:val="0D0D0D"/>
          <w:spacing w:val="7"/>
        </w:rPr>
        <w:t> </w:t>
      </w:r>
      <w:r>
        <w:rPr>
          <w:color w:val="0D0D0D"/>
        </w:rPr>
        <w:t>en</w:t>
      </w:r>
      <w:r>
        <w:rPr>
          <w:color w:val="0D0D0D"/>
          <w:spacing w:val="7"/>
        </w:rPr>
        <w:t> </w:t>
      </w:r>
      <w:r>
        <w:rPr>
          <w:color w:val="0D0D0D"/>
        </w:rPr>
        <w:t>las</w:t>
      </w:r>
      <w:r>
        <w:rPr>
          <w:color w:val="0D0D0D"/>
          <w:spacing w:val="6"/>
        </w:rPr>
        <w:t> </w:t>
      </w:r>
      <w:r>
        <w:rPr>
          <w:color w:val="0D0D0D"/>
        </w:rPr>
        <w:t>guías</w:t>
      </w:r>
      <w:r>
        <w:rPr>
          <w:color w:val="0D0D0D"/>
          <w:spacing w:val="6"/>
        </w:rPr>
        <w:t> </w:t>
      </w:r>
      <w:r>
        <w:rPr>
          <w:color w:val="0D0D0D"/>
        </w:rPr>
        <w:t>de</w:t>
      </w:r>
      <w:r>
        <w:rPr>
          <w:color w:val="0D0D0D"/>
          <w:spacing w:val="8"/>
        </w:rPr>
        <w:t> </w:t>
      </w:r>
      <w:r>
        <w:rPr>
          <w:color w:val="0D0D0D"/>
        </w:rPr>
        <w:t>anestesia</w:t>
      </w:r>
      <w:r>
        <w:rPr>
          <w:color w:val="0D0D0D"/>
          <w:spacing w:val="8"/>
        </w:rPr>
        <w:t> </w:t>
      </w:r>
      <w:r>
        <w:rPr>
          <w:color w:val="0D0D0D"/>
        </w:rPr>
        <w:t>para</w:t>
      </w:r>
      <w:r>
        <w:rPr>
          <w:color w:val="0D0D0D"/>
          <w:spacing w:val="8"/>
        </w:rPr>
        <w:t> </w:t>
      </w:r>
      <w:r>
        <w:rPr>
          <w:color w:val="0D0D0D"/>
        </w:rPr>
        <w:t>perros</w:t>
      </w:r>
      <w:r>
        <w:rPr>
          <w:color w:val="0D0D0D"/>
          <w:spacing w:val="6"/>
        </w:rPr>
        <w:t> </w:t>
      </w:r>
      <w:r>
        <w:rPr>
          <w:color w:val="0D0D0D"/>
        </w:rPr>
        <w:t>y</w:t>
      </w:r>
      <w:r>
        <w:rPr>
          <w:color w:val="0D0D0D"/>
          <w:spacing w:val="7"/>
        </w:rPr>
        <w:t> </w:t>
      </w:r>
      <w:r>
        <w:rPr>
          <w:color w:val="0D0D0D"/>
        </w:rPr>
        <w:t>gatos,</w:t>
      </w:r>
      <w:r>
        <w:rPr>
          <w:color w:val="0D0D0D"/>
          <w:spacing w:val="7"/>
        </w:rPr>
        <w:t> </w:t>
      </w:r>
      <w:r>
        <w:rPr>
          <w:color w:val="0D0D0D"/>
        </w:rPr>
        <w:t>donde</w:t>
      </w:r>
      <w:r>
        <w:rPr>
          <w:color w:val="0D0D0D"/>
          <w:spacing w:val="9"/>
        </w:rPr>
        <w:t> </w:t>
      </w:r>
      <w:r>
        <w:rPr>
          <w:color w:val="0D0D0D"/>
          <w:spacing w:val="-5"/>
        </w:rPr>
        <w:t>se</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6"/>
        <w:jc w:val="both"/>
      </w:pPr>
      <w:r>
        <w:rPr>
          <w:color w:val="0D0D0D"/>
        </w:rPr>
        <w:t>recomienda</w:t>
      </w:r>
      <w:r>
        <w:rPr>
          <w:color w:val="0D0D0D"/>
          <w:spacing w:val="-10"/>
        </w:rPr>
        <w:t> </w:t>
      </w:r>
      <w:r>
        <w:rPr>
          <w:color w:val="0D0D0D"/>
        </w:rPr>
        <w:t>ajustar</w:t>
      </w:r>
      <w:r>
        <w:rPr>
          <w:color w:val="0D0D0D"/>
          <w:spacing w:val="-11"/>
        </w:rPr>
        <w:t> </w:t>
      </w:r>
      <w:r>
        <w:rPr>
          <w:color w:val="0D0D0D"/>
        </w:rPr>
        <w:t>los</w:t>
      </w:r>
      <w:r>
        <w:rPr>
          <w:color w:val="0D0D0D"/>
          <w:spacing w:val="-9"/>
        </w:rPr>
        <w:t> </w:t>
      </w:r>
      <w:r>
        <w:rPr>
          <w:color w:val="0D0D0D"/>
        </w:rPr>
        <w:t>protocolos</w:t>
      </w:r>
      <w:r>
        <w:rPr>
          <w:color w:val="0D0D0D"/>
          <w:spacing w:val="-10"/>
        </w:rPr>
        <w:t> </w:t>
      </w:r>
      <w:r>
        <w:rPr>
          <w:color w:val="0D0D0D"/>
        </w:rPr>
        <w:t>anestésicos</w:t>
      </w:r>
      <w:r>
        <w:rPr>
          <w:color w:val="0D0D0D"/>
          <w:spacing w:val="-9"/>
        </w:rPr>
        <w:t> </w:t>
      </w:r>
      <w:r>
        <w:rPr>
          <w:color w:val="0D0D0D"/>
        </w:rPr>
        <w:t>según</w:t>
      </w:r>
      <w:r>
        <w:rPr>
          <w:color w:val="0D0D0D"/>
          <w:spacing w:val="-9"/>
        </w:rPr>
        <w:t> </w:t>
      </w:r>
      <w:r>
        <w:rPr>
          <w:color w:val="0D0D0D"/>
        </w:rPr>
        <w:t>las</w:t>
      </w:r>
      <w:r>
        <w:rPr>
          <w:color w:val="0D0D0D"/>
          <w:spacing w:val="-9"/>
        </w:rPr>
        <w:t> </w:t>
      </w:r>
      <w:r>
        <w:rPr>
          <w:color w:val="0D0D0D"/>
        </w:rPr>
        <w:t>características</w:t>
      </w:r>
      <w:r>
        <w:rPr>
          <w:color w:val="0D0D0D"/>
          <w:spacing w:val="-10"/>
        </w:rPr>
        <w:t> </w:t>
      </w:r>
      <w:r>
        <w:rPr>
          <w:color w:val="0D0D0D"/>
        </w:rPr>
        <w:t>individuales del</w:t>
      </w:r>
      <w:r>
        <w:rPr>
          <w:color w:val="0D0D0D"/>
          <w:spacing w:val="-2"/>
        </w:rPr>
        <w:t> </w:t>
      </w:r>
      <w:r>
        <w:rPr>
          <w:color w:val="0D0D0D"/>
        </w:rPr>
        <w:t>paciente,</w:t>
      </w:r>
      <w:r>
        <w:rPr>
          <w:color w:val="0D0D0D"/>
          <w:spacing w:val="-8"/>
        </w:rPr>
        <w:t> </w:t>
      </w:r>
      <w:r>
        <w:rPr>
          <w:color w:val="0D0D0D"/>
        </w:rPr>
        <w:t>incluyendo</w:t>
      </w:r>
      <w:r>
        <w:rPr>
          <w:color w:val="0D0D0D"/>
          <w:spacing w:val="-8"/>
        </w:rPr>
        <w:t> </w:t>
      </w:r>
      <w:r>
        <w:rPr>
          <w:color w:val="0D0D0D"/>
        </w:rPr>
        <w:t>peso,</w:t>
      </w:r>
      <w:r>
        <w:rPr>
          <w:color w:val="0D0D0D"/>
          <w:spacing w:val="-3"/>
        </w:rPr>
        <w:t> </w:t>
      </w:r>
      <w:r>
        <w:rPr>
          <w:color w:val="0D0D0D"/>
        </w:rPr>
        <w:t>condición</w:t>
      </w:r>
      <w:r>
        <w:rPr>
          <w:color w:val="0D0D0D"/>
          <w:spacing w:val="-3"/>
        </w:rPr>
        <w:t> </w:t>
      </w:r>
      <w:r>
        <w:rPr>
          <w:color w:val="0D0D0D"/>
        </w:rPr>
        <w:t>corporal</w:t>
      </w:r>
      <w:r>
        <w:rPr>
          <w:color w:val="0D0D0D"/>
          <w:spacing w:val="-7"/>
        </w:rPr>
        <w:t> </w:t>
      </w:r>
      <w:r>
        <w:rPr>
          <w:color w:val="0D0D0D"/>
        </w:rPr>
        <w:t>como</w:t>
      </w:r>
      <w:r>
        <w:rPr>
          <w:color w:val="0D0D0D"/>
          <w:spacing w:val="-8"/>
        </w:rPr>
        <w:t> </w:t>
      </w:r>
      <w:r>
        <w:rPr>
          <w:color w:val="0D0D0D"/>
        </w:rPr>
        <w:t>estado</w:t>
      </w:r>
      <w:r>
        <w:rPr>
          <w:color w:val="0D0D0D"/>
          <w:spacing w:val="-8"/>
        </w:rPr>
        <w:t> </w:t>
      </w:r>
      <w:r>
        <w:rPr>
          <w:color w:val="0D0D0D"/>
        </w:rPr>
        <w:t>clínico,</w:t>
      </w:r>
      <w:r>
        <w:rPr>
          <w:color w:val="0D0D0D"/>
          <w:spacing w:val="-8"/>
        </w:rPr>
        <w:t> </w:t>
      </w:r>
      <w:r>
        <w:rPr>
          <w:color w:val="0D0D0D"/>
        </w:rPr>
        <w:t>debido</w:t>
      </w:r>
      <w:r>
        <w:rPr>
          <w:color w:val="0D0D0D"/>
          <w:spacing w:val="-8"/>
        </w:rPr>
        <w:t> </w:t>
      </w:r>
      <w:r>
        <w:rPr>
          <w:color w:val="0D0D0D"/>
        </w:rPr>
        <w:t>a</w:t>
      </w:r>
      <w:r>
        <w:rPr>
          <w:color w:val="0D0D0D"/>
          <w:spacing w:val="-6"/>
        </w:rPr>
        <w:t> </w:t>
      </w:r>
      <w:r>
        <w:rPr>
          <w:color w:val="0D0D0D"/>
        </w:rPr>
        <w:t>su influencia en la seguridad anestésica (Grubb et al., 2020).</w:t>
      </w:r>
    </w:p>
    <w:p>
      <w:pPr>
        <w:pStyle w:val="Heading3"/>
        <w:numPr>
          <w:ilvl w:val="2"/>
          <w:numId w:val="8"/>
        </w:numPr>
        <w:tabs>
          <w:tab w:pos="1288" w:val="left" w:leader="none"/>
        </w:tabs>
        <w:spacing w:line="240" w:lineRule="auto" w:before="1" w:after="0"/>
        <w:ind w:left="1288" w:right="0" w:hanging="720"/>
        <w:jc w:val="both"/>
      </w:pPr>
      <w:bookmarkStart w:name="_bookmark52" w:id="53"/>
      <w:bookmarkEnd w:id="53"/>
      <w:r>
        <w:rPr>
          <w:b w:val="0"/>
        </w:rPr>
      </w:r>
      <w:r>
        <w:rPr>
          <w:color w:val="0D0D0D"/>
        </w:rPr>
        <w:t>Frecuencia</w:t>
      </w:r>
      <w:r>
        <w:rPr>
          <w:color w:val="0D0D0D"/>
          <w:spacing w:val="-4"/>
        </w:rPr>
        <w:t> </w:t>
      </w:r>
      <w:r>
        <w:rPr>
          <w:color w:val="0D0D0D"/>
        </w:rPr>
        <w:t>cardiaca</w:t>
      </w:r>
      <w:r>
        <w:rPr>
          <w:color w:val="0D0D0D"/>
          <w:spacing w:val="-1"/>
        </w:rPr>
        <w:t> </w:t>
      </w:r>
      <w:r>
        <w:rPr>
          <w:color w:val="0D0D0D"/>
          <w:spacing w:val="-4"/>
        </w:rPr>
        <w:t>(lpm)</w:t>
      </w:r>
    </w:p>
    <w:p>
      <w:pPr>
        <w:spacing w:before="274"/>
        <w:ind w:left="568" w:right="0" w:firstLine="0"/>
        <w:jc w:val="left"/>
        <w:rPr>
          <w:b/>
          <w:sz w:val="22"/>
        </w:rPr>
      </w:pPr>
      <w:bookmarkStart w:name="_bookmark53" w:id="54"/>
      <w:bookmarkEnd w:id="54"/>
      <w:r>
        <w:rPr/>
      </w:r>
      <w:r>
        <w:rPr>
          <w:b/>
          <w:spacing w:val="-2"/>
          <w:sz w:val="22"/>
        </w:rPr>
        <w:t>Tabla</w:t>
      </w:r>
      <w:r>
        <w:rPr>
          <w:b/>
          <w:spacing w:val="-10"/>
          <w:sz w:val="22"/>
        </w:rPr>
        <w:t> </w:t>
      </w:r>
      <w:r>
        <w:rPr>
          <w:b/>
          <w:spacing w:val="-5"/>
          <w:sz w:val="22"/>
        </w:rPr>
        <w:t>6.</w:t>
      </w:r>
    </w:p>
    <w:p>
      <w:pPr>
        <w:spacing w:before="127"/>
        <w:ind w:left="568" w:right="0" w:firstLine="0"/>
        <w:jc w:val="left"/>
        <w:rPr>
          <w:i/>
          <w:sz w:val="22"/>
        </w:rPr>
      </w:pPr>
      <w:r>
        <w:rPr>
          <w:i/>
          <w:sz w:val="22"/>
        </w:rPr>
        <w:t>Frecuencia</w:t>
      </w:r>
      <w:r>
        <w:rPr>
          <w:i/>
          <w:spacing w:val="-9"/>
          <w:sz w:val="22"/>
        </w:rPr>
        <w:t> </w:t>
      </w:r>
      <w:r>
        <w:rPr>
          <w:i/>
          <w:sz w:val="22"/>
        </w:rPr>
        <w:t>cardiaca</w:t>
      </w:r>
      <w:r>
        <w:rPr>
          <w:i/>
          <w:spacing w:val="-6"/>
          <w:sz w:val="22"/>
        </w:rPr>
        <w:t> </w:t>
      </w:r>
      <w:r>
        <w:rPr>
          <w:i/>
          <w:sz w:val="22"/>
        </w:rPr>
        <w:t>basal</w:t>
      </w:r>
      <w:r>
        <w:rPr>
          <w:i/>
          <w:spacing w:val="-9"/>
          <w:sz w:val="22"/>
        </w:rPr>
        <w:t> </w:t>
      </w:r>
      <w:r>
        <w:rPr>
          <w:i/>
          <w:sz w:val="22"/>
        </w:rPr>
        <w:t>promedio</w:t>
      </w:r>
      <w:r>
        <w:rPr>
          <w:i/>
          <w:spacing w:val="-6"/>
          <w:sz w:val="22"/>
        </w:rPr>
        <w:t> </w:t>
      </w:r>
      <w:r>
        <w:rPr>
          <w:i/>
          <w:sz w:val="22"/>
        </w:rPr>
        <w:t>intraoperatorio</w:t>
      </w:r>
      <w:r>
        <w:rPr>
          <w:i/>
          <w:spacing w:val="-6"/>
          <w:sz w:val="22"/>
        </w:rPr>
        <w:t> </w:t>
      </w:r>
      <w:r>
        <w:rPr>
          <w:i/>
          <w:sz w:val="22"/>
        </w:rPr>
        <w:t>por</w:t>
      </w:r>
      <w:r>
        <w:rPr>
          <w:i/>
          <w:spacing w:val="-9"/>
          <w:sz w:val="22"/>
        </w:rPr>
        <w:t> </w:t>
      </w:r>
      <w:r>
        <w:rPr>
          <w:i/>
          <w:sz w:val="22"/>
        </w:rPr>
        <w:t>vía</w:t>
      </w:r>
      <w:r>
        <w:rPr>
          <w:i/>
          <w:spacing w:val="-10"/>
          <w:sz w:val="22"/>
        </w:rPr>
        <w:t> </w:t>
      </w:r>
      <w:r>
        <w:rPr>
          <w:i/>
          <w:sz w:val="22"/>
        </w:rPr>
        <w:t>de</w:t>
      </w:r>
      <w:r>
        <w:rPr>
          <w:i/>
          <w:spacing w:val="-8"/>
          <w:sz w:val="22"/>
        </w:rPr>
        <w:t> </w:t>
      </w:r>
      <w:r>
        <w:rPr>
          <w:i/>
          <w:spacing w:val="-2"/>
          <w:sz w:val="22"/>
        </w:rPr>
        <w:t>dexmedetomidina</w:t>
      </w:r>
    </w:p>
    <w:p>
      <w:pPr>
        <w:pStyle w:val="BodyText"/>
        <w:spacing w:before="103"/>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60"/>
        <w:gridCol w:w="2250"/>
        <w:gridCol w:w="2367"/>
        <w:gridCol w:w="1965"/>
      </w:tblGrid>
      <w:tr>
        <w:trPr>
          <w:trHeight w:val="826" w:hRule="atLeast"/>
        </w:trPr>
        <w:tc>
          <w:tcPr>
            <w:tcW w:w="1360" w:type="dxa"/>
            <w:tcBorders>
              <w:top w:val="single" w:sz="4" w:space="0" w:color="000000"/>
              <w:bottom w:val="single" w:sz="4" w:space="0" w:color="000000"/>
            </w:tcBorders>
          </w:tcPr>
          <w:p>
            <w:pPr>
              <w:pStyle w:val="TableParagraph"/>
              <w:spacing w:line="275" w:lineRule="exact" w:before="0"/>
              <w:ind w:left="114"/>
              <w:jc w:val="left"/>
              <w:rPr>
                <w:b/>
                <w:sz w:val="24"/>
              </w:rPr>
            </w:pPr>
            <w:r>
              <w:rPr>
                <w:b/>
                <w:color w:val="0D0D0D"/>
                <w:spacing w:val="-2"/>
                <w:sz w:val="24"/>
              </w:rPr>
              <w:t>Grupo</w:t>
            </w:r>
          </w:p>
        </w:tc>
        <w:tc>
          <w:tcPr>
            <w:tcW w:w="2250" w:type="dxa"/>
            <w:tcBorders>
              <w:top w:val="single" w:sz="4" w:space="0" w:color="000000"/>
              <w:bottom w:val="single" w:sz="4" w:space="0" w:color="000000"/>
            </w:tcBorders>
          </w:tcPr>
          <w:p>
            <w:pPr>
              <w:pStyle w:val="TableParagraph"/>
              <w:spacing w:line="275" w:lineRule="exact" w:before="0"/>
              <w:ind w:left="566"/>
              <w:jc w:val="left"/>
              <w:rPr>
                <w:b/>
                <w:sz w:val="24"/>
              </w:rPr>
            </w:pPr>
            <w:r>
              <w:rPr>
                <w:b/>
                <w:color w:val="0D0D0D"/>
                <w:spacing w:val="-2"/>
                <w:sz w:val="24"/>
              </w:rPr>
              <w:t>Antes</w:t>
            </w:r>
          </w:p>
        </w:tc>
        <w:tc>
          <w:tcPr>
            <w:tcW w:w="2367" w:type="dxa"/>
            <w:tcBorders>
              <w:top w:val="single" w:sz="4" w:space="0" w:color="000000"/>
              <w:bottom w:val="single" w:sz="4" w:space="0" w:color="000000"/>
            </w:tcBorders>
          </w:tcPr>
          <w:p>
            <w:pPr>
              <w:pStyle w:val="TableParagraph"/>
              <w:spacing w:line="275" w:lineRule="exact" w:before="0"/>
              <w:ind w:left="473"/>
              <w:jc w:val="left"/>
              <w:rPr>
                <w:b/>
                <w:sz w:val="24"/>
              </w:rPr>
            </w:pPr>
            <w:r>
              <w:rPr>
                <w:b/>
                <w:color w:val="0D0D0D"/>
                <w:spacing w:val="-2"/>
                <w:sz w:val="24"/>
              </w:rPr>
              <w:t>Promedio</w:t>
            </w:r>
          </w:p>
          <w:p>
            <w:pPr>
              <w:pStyle w:val="TableParagraph"/>
              <w:spacing w:before="140"/>
              <w:ind w:left="473"/>
              <w:jc w:val="left"/>
              <w:rPr>
                <w:b/>
                <w:sz w:val="24"/>
              </w:rPr>
            </w:pPr>
            <w:r>
              <w:rPr>
                <w:b/>
                <w:color w:val="0D0D0D"/>
                <w:spacing w:val="-2"/>
                <w:sz w:val="24"/>
              </w:rPr>
              <w:t>intraoperatorio</w:t>
            </w:r>
          </w:p>
        </w:tc>
        <w:tc>
          <w:tcPr>
            <w:tcW w:w="1965" w:type="dxa"/>
            <w:tcBorders>
              <w:top w:val="single" w:sz="4" w:space="0" w:color="000000"/>
              <w:bottom w:val="single" w:sz="4" w:space="0" w:color="000000"/>
            </w:tcBorders>
          </w:tcPr>
          <w:p>
            <w:pPr>
              <w:pStyle w:val="TableParagraph"/>
              <w:spacing w:line="275" w:lineRule="exact" w:before="0"/>
              <w:ind w:left="306"/>
              <w:jc w:val="left"/>
              <w:rPr>
                <w:b/>
                <w:sz w:val="24"/>
              </w:rPr>
            </w:pPr>
            <w:r>
              <w:rPr>
                <w:b/>
                <w:color w:val="0D0D0D"/>
                <w:spacing w:val="-2"/>
                <w:sz w:val="24"/>
              </w:rPr>
              <w:t>Diferencias</w:t>
            </w:r>
          </w:p>
        </w:tc>
      </w:tr>
      <w:tr>
        <w:trPr>
          <w:trHeight w:val="352" w:hRule="atLeast"/>
        </w:trPr>
        <w:tc>
          <w:tcPr>
            <w:tcW w:w="1360" w:type="dxa"/>
            <w:tcBorders>
              <w:top w:val="single" w:sz="4" w:space="0" w:color="000000"/>
            </w:tcBorders>
          </w:tcPr>
          <w:p>
            <w:pPr>
              <w:pStyle w:val="TableParagraph"/>
              <w:spacing w:before="3"/>
              <w:ind w:left="114"/>
              <w:jc w:val="left"/>
              <w:rPr>
                <w:b/>
                <w:sz w:val="24"/>
              </w:rPr>
            </w:pPr>
            <w:r>
              <w:rPr>
                <w:b/>
                <w:color w:val="0D0D0D"/>
                <w:spacing w:val="-5"/>
                <w:sz w:val="24"/>
              </w:rPr>
              <w:t>IM</w:t>
            </w:r>
          </w:p>
        </w:tc>
        <w:tc>
          <w:tcPr>
            <w:tcW w:w="2250" w:type="dxa"/>
            <w:tcBorders>
              <w:top w:val="single" w:sz="4" w:space="0" w:color="000000"/>
            </w:tcBorders>
          </w:tcPr>
          <w:p>
            <w:pPr>
              <w:pStyle w:val="TableParagraph"/>
              <w:spacing w:before="3"/>
              <w:ind w:left="566"/>
              <w:jc w:val="left"/>
              <w:rPr>
                <w:sz w:val="24"/>
              </w:rPr>
            </w:pPr>
            <w:r>
              <w:rPr>
                <w:color w:val="0D0D0D"/>
                <w:sz w:val="24"/>
              </w:rPr>
              <w:t>131,3 ± </w:t>
            </w:r>
            <w:r>
              <w:rPr>
                <w:color w:val="0D0D0D"/>
                <w:spacing w:val="-4"/>
                <w:sz w:val="24"/>
              </w:rPr>
              <w:t>13,2</w:t>
            </w:r>
          </w:p>
        </w:tc>
        <w:tc>
          <w:tcPr>
            <w:tcW w:w="2367" w:type="dxa"/>
            <w:tcBorders>
              <w:top w:val="single" w:sz="4" w:space="0" w:color="000000"/>
            </w:tcBorders>
          </w:tcPr>
          <w:p>
            <w:pPr>
              <w:pStyle w:val="TableParagraph"/>
              <w:spacing w:before="3"/>
              <w:ind w:left="473"/>
              <w:jc w:val="left"/>
              <w:rPr>
                <w:sz w:val="24"/>
              </w:rPr>
            </w:pPr>
            <w:r>
              <w:rPr>
                <w:color w:val="0D0D0D"/>
                <w:sz w:val="24"/>
              </w:rPr>
              <w:t>116,2</w:t>
            </w:r>
            <w:r>
              <w:rPr>
                <w:color w:val="0D0D0D"/>
                <w:spacing w:val="-4"/>
                <w:sz w:val="24"/>
              </w:rPr>
              <w:t> </w:t>
            </w:r>
            <w:r>
              <w:rPr>
                <w:color w:val="0D0D0D"/>
                <w:sz w:val="24"/>
              </w:rPr>
              <w:t>±</w:t>
            </w:r>
            <w:r>
              <w:rPr>
                <w:color w:val="0D0D0D"/>
                <w:spacing w:val="-4"/>
                <w:sz w:val="24"/>
              </w:rPr>
              <w:t> 15,0</w:t>
            </w:r>
          </w:p>
        </w:tc>
        <w:tc>
          <w:tcPr>
            <w:tcW w:w="1965" w:type="dxa"/>
            <w:tcBorders>
              <w:top w:val="single" w:sz="4" w:space="0" w:color="000000"/>
            </w:tcBorders>
          </w:tcPr>
          <w:p>
            <w:pPr>
              <w:pStyle w:val="TableParagraph"/>
              <w:spacing w:before="3"/>
              <w:ind w:left="306"/>
              <w:jc w:val="left"/>
              <w:rPr>
                <w:sz w:val="24"/>
              </w:rPr>
            </w:pPr>
            <w:r>
              <w:rPr>
                <w:color w:val="0D0D0D"/>
                <w:sz w:val="24"/>
              </w:rPr>
              <w:t>-15,1</w:t>
            </w:r>
            <w:r>
              <w:rPr>
                <w:color w:val="0D0D0D"/>
                <w:spacing w:val="-1"/>
                <w:sz w:val="24"/>
              </w:rPr>
              <w:t> </w:t>
            </w:r>
            <w:r>
              <w:rPr>
                <w:color w:val="0D0D0D"/>
                <w:sz w:val="24"/>
              </w:rPr>
              <w:t>± </w:t>
            </w:r>
            <w:r>
              <w:rPr>
                <w:color w:val="0D0D0D"/>
                <w:spacing w:val="-5"/>
                <w:sz w:val="24"/>
              </w:rPr>
              <w:t>8,7</w:t>
            </w:r>
          </w:p>
        </w:tc>
      </w:tr>
      <w:tr>
        <w:trPr>
          <w:trHeight w:val="477" w:hRule="atLeast"/>
        </w:trPr>
        <w:tc>
          <w:tcPr>
            <w:tcW w:w="1360" w:type="dxa"/>
            <w:tcBorders>
              <w:bottom w:val="single" w:sz="4" w:space="0" w:color="000000"/>
            </w:tcBorders>
          </w:tcPr>
          <w:p>
            <w:pPr>
              <w:pStyle w:val="TableParagraph"/>
              <w:spacing w:before="63"/>
              <w:ind w:left="114"/>
              <w:jc w:val="left"/>
              <w:rPr>
                <w:b/>
                <w:sz w:val="24"/>
              </w:rPr>
            </w:pPr>
            <w:r>
              <w:rPr>
                <w:b/>
                <w:color w:val="0D0D0D"/>
                <w:spacing w:val="-5"/>
                <w:sz w:val="24"/>
              </w:rPr>
              <w:t>IV</w:t>
            </w:r>
          </w:p>
        </w:tc>
        <w:tc>
          <w:tcPr>
            <w:tcW w:w="2250" w:type="dxa"/>
            <w:tcBorders>
              <w:bottom w:val="single" w:sz="4" w:space="0" w:color="000000"/>
            </w:tcBorders>
          </w:tcPr>
          <w:p>
            <w:pPr>
              <w:pStyle w:val="TableParagraph"/>
              <w:spacing w:before="63"/>
              <w:ind w:left="566"/>
              <w:jc w:val="left"/>
              <w:rPr>
                <w:sz w:val="24"/>
              </w:rPr>
            </w:pPr>
            <w:r>
              <w:rPr>
                <w:color w:val="0D0D0D"/>
                <w:sz w:val="24"/>
              </w:rPr>
              <w:t>123,1 ± </w:t>
            </w:r>
            <w:r>
              <w:rPr>
                <w:color w:val="0D0D0D"/>
                <w:spacing w:val="-4"/>
                <w:sz w:val="24"/>
              </w:rPr>
              <w:t>12,3</w:t>
            </w:r>
          </w:p>
        </w:tc>
        <w:tc>
          <w:tcPr>
            <w:tcW w:w="2367" w:type="dxa"/>
            <w:tcBorders>
              <w:bottom w:val="single" w:sz="4" w:space="0" w:color="000000"/>
            </w:tcBorders>
          </w:tcPr>
          <w:p>
            <w:pPr>
              <w:pStyle w:val="TableParagraph"/>
              <w:spacing w:before="63"/>
              <w:ind w:left="473"/>
              <w:jc w:val="left"/>
              <w:rPr>
                <w:sz w:val="24"/>
              </w:rPr>
            </w:pPr>
            <w:r>
              <w:rPr>
                <w:color w:val="0D0D0D"/>
                <w:sz w:val="24"/>
              </w:rPr>
              <w:t>104,9 ± </w:t>
            </w:r>
            <w:r>
              <w:rPr>
                <w:color w:val="0D0D0D"/>
                <w:spacing w:val="-4"/>
                <w:sz w:val="24"/>
              </w:rPr>
              <w:t>13,4</w:t>
            </w:r>
          </w:p>
        </w:tc>
        <w:tc>
          <w:tcPr>
            <w:tcW w:w="1965" w:type="dxa"/>
            <w:tcBorders>
              <w:bottom w:val="single" w:sz="4" w:space="0" w:color="000000"/>
            </w:tcBorders>
          </w:tcPr>
          <w:p>
            <w:pPr>
              <w:pStyle w:val="TableParagraph"/>
              <w:spacing w:before="63"/>
              <w:ind w:left="306"/>
              <w:jc w:val="left"/>
              <w:rPr>
                <w:sz w:val="24"/>
              </w:rPr>
            </w:pPr>
            <w:r>
              <w:rPr>
                <w:color w:val="0D0D0D"/>
                <w:sz w:val="24"/>
              </w:rPr>
              <w:t>-18,3</w:t>
            </w:r>
            <w:r>
              <w:rPr>
                <w:color w:val="0D0D0D"/>
                <w:spacing w:val="-1"/>
                <w:sz w:val="24"/>
              </w:rPr>
              <w:t> </w:t>
            </w:r>
            <w:r>
              <w:rPr>
                <w:color w:val="0D0D0D"/>
                <w:sz w:val="24"/>
              </w:rPr>
              <w:t>± </w:t>
            </w:r>
            <w:r>
              <w:rPr>
                <w:color w:val="0D0D0D"/>
                <w:spacing w:val="-5"/>
                <w:sz w:val="24"/>
              </w:rPr>
              <w:t>8,0</w:t>
            </w:r>
          </w:p>
        </w:tc>
      </w:tr>
    </w:tbl>
    <w:p>
      <w:pPr>
        <w:pStyle w:val="BodyText"/>
        <w:rPr>
          <w:i/>
          <w:sz w:val="22"/>
        </w:rPr>
      </w:pPr>
    </w:p>
    <w:p>
      <w:pPr>
        <w:pStyle w:val="BodyText"/>
        <w:spacing w:before="104"/>
        <w:rPr>
          <w:i/>
          <w:sz w:val="22"/>
        </w:rPr>
      </w:pPr>
    </w:p>
    <w:p>
      <w:pPr>
        <w:spacing w:before="0"/>
        <w:ind w:left="568" w:right="0" w:firstLine="0"/>
        <w:jc w:val="left"/>
        <w:rPr>
          <w:b/>
          <w:sz w:val="22"/>
        </w:rPr>
      </w:pPr>
      <w:bookmarkStart w:name="_bookmark54" w:id="55"/>
      <w:bookmarkEnd w:id="55"/>
      <w:r>
        <w:rPr/>
      </w:r>
      <w:r>
        <w:rPr>
          <w:b/>
          <w:sz w:val="22"/>
        </w:rPr>
        <w:t>Figura</w:t>
      </w:r>
      <w:r>
        <w:rPr>
          <w:b/>
          <w:spacing w:val="-3"/>
          <w:sz w:val="22"/>
        </w:rPr>
        <w:t> </w:t>
      </w:r>
      <w:r>
        <w:rPr>
          <w:b/>
          <w:spacing w:val="-5"/>
          <w:sz w:val="22"/>
        </w:rPr>
        <w:t>5.</w:t>
      </w:r>
    </w:p>
    <w:p>
      <w:pPr>
        <w:spacing w:line="360" w:lineRule="auto" w:before="127"/>
        <w:ind w:left="568" w:right="0" w:firstLine="0"/>
        <w:jc w:val="left"/>
        <w:rPr>
          <w:i/>
          <w:sz w:val="22"/>
        </w:rPr>
      </w:pPr>
      <w:r>
        <w:rPr>
          <w:i/>
          <w:sz w:val="22"/>
        </w:rPr>
        <w:t>Comparación</w:t>
      </w:r>
      <w:r>
        <w:rPr>
          <w:i/>
          <w:spacing w:val="-8"/>
          <w:sz w:val="22"/>
        </w:rPr>
        <w:t> </w:t>
      </w:r>
      <w:r>
        <w:rPr>
          <w:i/>
          <w:sz w:val="22"/>
        </w:rPr>
        <w:t>de</w:t>
      </w:r>
      <w:r>
        <w:rPr>
          <w:i/>
          <w:spacing w:val="-7"/>
          <w:sz w:val="22"/>
        </w:rPr>
        <w:t> </w:t>
      </w:r>
      <w:r>
        <w:rPr>
          <w:i/>
          <w:sz w:val="22"/>
        </w:rPr>
        <w:t>la</w:t>
      </w:r>
      <w:r>
        <w:rPr>
          <w:i/>
          <w:spacing w:val="-8"/>
          <w:sz w:val="22"/>
        </w:rPr>
        <w:t> </w:t>
      </w:r>
      <w:r>
        <w:rPr>
          <w:i/>
          <w:sz w:val="22"/>
        </w:rPr>
        <w:t>frecuencia</w:t>
      </w:r>
      <w:r>
        <w:rPr>
          <w:i/>
          <w:spacing w:val="-5"/>
          <w:sz w:val="22"/>
        </w:rPr>
        <w:t> </w:t>
      </w:r>
      <w:r>
        <w:rPr>
          <w:i/>
          <w:sz w:val="22"/>
        </w:rPr>
        <w:t>cardiaca</w:t>
      </w:r>
      <w:r>
        <w:rPr>
          <w:i/>
          <w:spacing w:val="-5"/>
          <w:sz w:val="22"/>
        </w:rPr>
        <w:t> </w:t>
      </w:r>
      <w:r>
        <w:rPr>
          <w:i/>
          <w:sz w:val="22"/>
        </w:rPr>
        <w:t>basal</w:t>
      </w:r>
      <w:r>
        <w:rPr>
          <w:i/>
          <w:spacing w:val="-11"/>
          <w:sz w:val="22"/>
        </w:rPr>
        <w:t> </w:t>
      </w:r>
      <w:r>
        <w:rPr>
          <w:i/>
          <w:sz w:val="22"/>
        </w:rPr>
        <w:t>y</w:t>
      </w:r>
      <w:r>
        <w:rPr>
          <w:i/>
          <w:spacing w:val="-7"/>
          <w:sz w:val="22"/>
        </w:rPr>
        <w:t> </w:t>
      </w:r>
      <w:r>
        <w:rPr>
          <w:i/>
          <w:sz w:val="22"/>
        </w:rPr>
        <w:t>promedio</w:t>
      </w:r>
      <w:r>
        <w:rPr>
          <w:i/>
          <w:spacing w:val="-5"/>
          <w:sz w:val="22"/>
        </w:rPr>
        <w:t> </w:t>
      </w:r>
      <w:r>
        <w:rPr>
          <w:i/>
          <w:sz w:val="22"/>
        </w:rPr>
        <w:t>intraoperatorio</w:t>
      </w:r>
      <w:r>
        <w:rPr>
          <w:i/>
          <w:spacing w:val="-5"/>
          <w:sz w:val="22"/>
        </w:rPr>
        <w:t> </w:t>
      </w:r>
      <w:r>
        <w:rPr>
          <w:i/>
          <w:sz w:val="22"/>
        </w:rPr>
        <w:t>según</w:t>
      </w:r>
      <w:r>
        <w:rPr>
          <w:i/>
          <w:spacing w:val="-5"/>
          <w:sz w:val="22"/>
        </w:rPr>
        <w:t> </w:t>
      </w:r>
      <w:r>
        <w:rPr>
          <w:i/>
          <w:sz w:val="22"/>
        </w:rPr>
        <w:t>vía</w:t>
      </w:r>
      <w:r>
        <w:rPr>
          <w:i/>
          <w:spacing w:val="-8"/>
          <w:sz w:val="22"/>
        </w:rPr>
        <w:t> </w:t>
      </w:r>
      <w:r>
        <w:rPr>
          <w:i/>
          <w:sz w:val="22"/>
        </w:rPr>
        <w:t>de administración de dexmedetomidina</w:t>
      </w:r>
    </w:p>
    <w:p>
      <w:pPr>
        <w:pStyle w:val="BodyText"/>
        <w:spacing w:before="8"/>
        <w:rPr>
          <w:i/>
          <w:sz w:val="18"/>
        </w:rPr>
      </w:pPr>
      <w:r>
        <w:rPr>
          <w:i/>
          <w:sz w:val="18"/>
        </w:rPr>
        <w:drawing>
          <wp:anchor distT="0" distB="0" distL="0" distR="0" allowOverlap="1" layoutInCell="1" locked="0" behindDoc="1" simplePos="0" relativeHeight="487595008">
            <wp:simplePos x="0" y="0"/>
            <wp:positionH relativeFrom="page">
              <wp:posOffset>1458614</wp:posOffset>
            </wp:positionH>
            <wp:positionV relativeFrom="paragraph">
              <wp:posOffset>151846</wp:posOffset>
            </wp:positionV>
            <wp:extent cx="4020074" cy="2578893"/>
            <wp:effectExtent l="0" t="0" r="0" b="0"/>
            <wp:wrapTopAndBottom/>
            <wp:docPr id="20" name="Image 20"/>
            <wp:cNvGraphicFramePr>
              <a:graphicFrameLocks/>
            </wp:cNvGraphicFramePr>
            <a:graphic>
              <a:graphicData uri="http://schemas.openxmlformats.org/drawingml/2006/picture">
                <pic:pic>
                  <pic:nvPicPr>
                    <pic:cNvPr id="20" name="Image 20"/>
                    <pic:cNvPicPr/>
                  </pic:nvPicPr>
                  <pic:blipFill>
                    <a:blip r:embed="rId16" cstate="print"/>
                    <a:stretch>
                      <a:fillRect/>
                    </a:stretch>
                  </pic:blipFill>
                  <pic:spPr>
                    <a:xfrm>
                      <a:off x="0" y="0"/>
                      <a:ext cx="4020074" cy="2578893"/>
                    </a:xfrm>
                    <a:prstGeom prst="rect">
                      <a:avLst/>
                    </a:prstGeom>
                  </pic:spPr>
                </pic:pic>
              </a:graphicData>
            </a:graphic>
          </wp:anchor>
        </w:drawing>
      </w:r>
    </w:p>
    <w:p>
      <w:pPr>
        <w:pStyle w:val="BodyText"/>
        <w:spacing w:before="126"/>
        <w:rPr>
          <w:i/>
          <w:sz w:val="22"/>
        </w:rPr>
      </w:pPr>
    </w:p>
    <w:p>
      <w:pPr>
        <w:pStyle w:val="BodyText"/>
        <w:spacing w:line="480" w:lineRule="auto"/>
        <w:ind w:left="568" w:right="138"/>
        <w:jc w:val="both"/>
      </w:pPr>
      <w:r>
        <w:rPr>
          <w:color w:val="0D0D0D"/>
        </w:rPr>
        <w:t>La frecuencia cardíaca presentó una disminución en ambos grupos durante el periodo</w:t>
      </w:r>
      <w:r>
        <w:rPr>
          <w:color w:val="0D0D0D"/>
          <w:spacing w:val="-12"/>
        </w:rPr>
        <w:t> </w:t>
      </w:r>
      <w:r>
        <w:rPr>
          <w:color w:val="0D0D0D"/>
        </w:rPr>
        <w:t>intraoperatorio,</w:t>
      </w:r>
      <w:r>
        <w:rPr>
          <w:color w:val="0D0D0D"/>
          <w:spacing w:val="-12"/>
        </w:rPr>
        <w:t> </w:t>
      </w:r>
      <w:r>
        <w:rPr>
          <w:color w:val="0D0D0D"/>
        </w:rPr>
        <w:t>en</w:t>
      </w:r>
      <w:r>
        <w:rPr>
          <w:color w:val="0D0D0D"/>
          <w:spacing w:val="-15"/>
        </w:rPr>
        <w:t> </w:t>
      </w:r>
      <w:r>
        <w:rPr>
          <w:color w:val="0D0D0D"/>
        </w:rPr>
        <w:t>el</w:t>
      </w:r>
      <w:r>
        <w:rPr>
          <w:color w:val="0D0D0D"/>
          <w:spacing w:val="-11"/>
        </w:rPr>
        <w:t> </w:t>
      </w:r>
      <w:r>
        <w:rPr>
          <w:color w:val="0D0D0D"/>
        </w:rPr>
        <w:t>grupo</w:t>
      </w:r>
      <w:r>
        <w:rPr>
          <w:color w:val="0D0D0D"/>
          <w:spacing w:val="-15"/>
        </w:rPr>
        <w:t> </w:t>
      </w:r>
      <w:r>
        <w:rPr>
          <w:color w:val="0D0D0D"/>
        </w:rPr>
        <w:t>intramuscular</w:t>
      </w:r>
      <w:r>
        <w:rPr>
          <w:color w:val="0D0D0D"/>
          <w:spacing w:val="-14"/>
        </w:rPr>
        <w:t> </w:t>
      </w:r>
      <w:r>
        <w:rPr>
          <w:color w:val="0D0D0D"/>
        </w:rPr>
        <w:t>el</w:t>
      </w:r>
      <w:r>
        <w:rPr>
          <w:color w:val="0D0D0D"/>
          <w:spacing w:val="-11"/>
        </w:rPr>
        <w:t> </w:t>
      </w:r>
      <w:r>
        <w:rPr>
          <w:color w:val="0D0D0D"/>
        </w:rPr>
        <w:t>valor</w:t>
      </w:r>
      <w:r>
        <w:rPr>
          <w:color w:val="0D0D0D"/>
          <w:spacing w:val="-12"/>
        </w:rPr>
        <w:t> </w:t>
      </w:r>
      <w:r>
        <w:rPr>
          <w:color w:val="0D0D0D"/>
        </w:rPr>
        <w:t>basal</w:t>
      </w:r>
      <w:r>
        <w:rPr>
          <w:color w:val="0D0D0D"/>
          <w:spacing w:val="-14"/>
        </w:rPr>
        <w:t> </w:t>
      </w:r>
      <w:r>
        <w:rPr>
          <w:color w:val="0D0D0D"/>
        </w:rPr>
        <w:t>fue</w:t>
      </w:r>
      <w:r>
        <w:rPr>
          <w:color w:val="0D0D0D"/>
          <w:spacing w:val="-11"/>
        </w:rPr>
        <w:t> </w:t>
      </w:r>
      <w:r>
        <w:rPr>
          <w:color w:val="0D0D0D"/>
        </w:rPr>
        <w:t>de</w:t>
      </w:r>
      <w:r>
        <w:rPr>
          <w:color w:val="0D0D0D"/>
          <w:spacing w:val="-11"/>
        </w:rPr>
        <w:t> </w:t>
      </w:r>
      <w:r>
        <w:rPr>
          <w:color w:val="0D0D0D"/>
        </w:rPr>
        <w:t>131,3</w:t>
      </w:r>
      <w:r>
        <w:rPr>
          <w:color w:val="0D0D0D"/>
          <w:spacing w:val="-15"/>
        </w:rPr>
        <w:t> </w:t>
      </w:r>
      <w:r>
        <w:rPr>
          <w:color w:val="0D0D0D"/>
        </w:rPr>
        <w:t>±</w:t>
      </w:r>
      <w:r>
        <w:rPr>
          <w:color w:val="0D0D0D"/>
          <w:spacing w:val="-12"/>
        </w:rPr>
        <w:t> </w:t>
      </w:r>
      <w:r>
        <w:rPr>
          <w:color w:val="0D0D0D"/>
        </w:rPr>
        <w:t>13,2 lpm, mientras que el promedio intraoperatorio fue de 116,2 ± 15,0 lpm, con una diferencia</w:t>
      </w:r>
      <w:r>
        <w:rPr>
          <w:color w:val="0D0D0D"/>
          <w:spacing w:val="-4"/>
        </w:rPr>
        <w:t> </w:t>
      </w:r>
      <w:r>
        <w:rPr>
          <w:color w:val="0D0D0D"/>
        </w:rPr>
        <w:t>de</w:t>
      </w:r>
      <w:r>
        <w:rPr>
          <w:color w:val="0D0D0D"/>
          <w:spacing w:val="-2"/>
        </w:rPr>
        <w:t> </w:t>
      </w:r>
      <w:r>
        <w:rPr>
          <w:color w:val="0D0D0D"/>
        </w:rPr>
        <w:t>-15,1</w:t>
      </w:r>
      <w:r>
        <w:rPr>
          <w:color w:val="0D0D0D"/>
          <w:spacing w:val="-5"/>
        </w:rPr>
        <w:t> </w:t>
      </w:r>
      <w:r>
        <w:rPr>
          <w:color w:val="0D0D0D"/>
        </w:rPr>
        <w:t>±</w:t>
      </w:r>
      <w:r>
        <w:rPr>
          <w:color w:val="0D0D0D"/>
          <w:spacing w:val="-5"/>
        </w:rPr>
        <w:t> </w:t>
      </w:r>
      <w:r>
        <w:rPr>
          <w:color w:val="0D0D0D"/>
        </w:rPr>
        <w:t>8,7</w:t>
      </w:r>
      <w:r>
        <w:rPr>
          <w:color w:val="0D0D0D"/>
          <w:spacing w:val="-6"/>
        </w:rPr>
        <w:t> </w:t>
      </w:r>
      <w:r>
        <w:rPr>
          <w:color w:val="0D0D0D"/>
        </w:rPr>
        <w:t>lpm.</w:t>
      </w:r>
      <w:r>
        <w:rPr>
          <w:color w:val="0D0D0D"/>
          <w:spacing w:val="-5"/>
        </w:rPr>
        <w:t> </w:t>
      </w:r>
      <w:r>
        <w:rPr>
          <w:color w:val="0D0D0D"/>
        </w:rPr>
        <w:t>En</w:t>
      </w:r>
      <w:r>
        <w:rPr>
          <w:color w:val="0D0D0D"/>
          <w:spacing w:val="-6"/>
        </w:rPr>
        <w:t> </w:t>
      </w:r>
      <w:r>
        <w:rPr>
          <w:color w:val="0D0D0D"/>
        </w:rPr>
        <w:t>el</w:t>
      </w:r>
      <w:r>
        <w:rPr>
          <w:color w:val="0D0D0D"/>
          <w:spacing w:val="-4"/>
        </w:rPr>
        <w:t> </w:t>
      </w:r>
      <w:r>
        <w:rPr>
          <w:color w:val="0D0D0D"/>
        </w:rPr>
        <w:t>grupo</w:t>
      </w:r>
      <w:r>
        <w:rPr>
          <w:color w:val="0D0D0D"/>
          <w:spacing w:val="-5"/>
        </w:rPr>
        <w:t> </w:t>
      </w:r>
      <w:r>
        <w:rPr>
          <w:color w:val="0D0D0D"/>
        </w:rPr>
        <w:t>intravenoso</w:t>
      </w:r>
      <w:r>
        <w:rPr>
          <w:color w:val="0D0D0D"/>
          <w:spacing w:val="-1"/>
        </w:rPr>
        <w:t> </w:t>
      </w:r>
      <w:r>
        <w:rPr>
          <w:color w:val="0D0D0D"/>
        </w:rPr>
        <w:t>el</w:t>
      </w:r>
      <w:r>
        <w:rPr>
          <w:color w:val="0D0D0D"/>
          <w:spacing w:val="-4"/>
        </w:rPr>
        <w:t> </w:t>
      </w:r>
      <w:r>
        <w:rPr>
          <w:color w:val="0D0D0D"/>
        </w:rPr>
        <w:t>valor</w:t>
      </w:r>
      <w:r>
        <w:rPr>
          <w:color w:val="0D0D0D"/>
          <w:spacing w:val="-5"/>
        </w:rPr>
        <w:t> </w:t>
      </w:r>
      <w:r>
        <w:rPr>
          <w:color w:val="0D0D0D"/>
        </w:rPr>
        <w:t>basal</w:t>
      </w:r>
      <w:r>
        <w:rPr>
          <w:color w:val="0D0D0D"/>
          <w:spacing w:val="-5"/>
        </w:rPr>
        <w:t> </w:t>
      </w:r>
      <w:r>
        <w:rPr>
          <w:color w:val="0D0D0D"/>
        </w:rPr>
        <w:t>fue</w:t>
      </w:r>
      <w:r>
        <w:rPr>
          <w:color w:val="0D0D0D"/>
          <w:spacing w:val="-3"/>
        </w:rPr>
        <w:t> </w:t>
      </w:r>
      <w:r>
        <w:rPr>
          <w:color w:val="0D0D0D"/>
        </w:rPr>
        <w:t>de</w:t>
      </w:r>
      <w:r>
        <w:rPr>
          <w:color w:val="0D0D0D"/>
          <w:spacing w:val="-4"/>
        </w:rPr>
        <w:t> </w:t>
      </w:r>
      <w:r>
        <w:rPr>
          <w:color w:val="0D0D0D"/>
        </w:rPr>
        <w:t>123,1</w:t>
      </w:r>
      <w:r>
        <w:rPr>
          <w:color w:val="0D0D0D"/>
          <w:spacing w:val="-8"/>
        </w:rPr>
        <w:t> </w:t>
      </w:r>
      <w:r>
        <w:rPr>
          <w:color w:val="0D0D0D"/>
          <w:spacing w:val="-10"/>
        </w:rPr>
        <w:t>±</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2"/>
        <w:jc w:val="both"/>
      </w:pPr>
      <w:r>
        <w:rPr>
          <w:color w:val="0D0D0D"/>
        </w:rPr>
        <w:t>12,3 lpm, mientras que el promedio intraoperatorio fue de 104,9 ± 13,4 lpm, con una diferencia de -18,3 ± 8,0 lpm.</w:t>
      </w:r>
    </w:p>
    <w:p>
      <w:pPr>
        <w:pStyle w:val="BodyText"/>
        <w:spacing w:line="480" w:lineRule="auto" w:before="240"/>
        <w:ind w:left="568" w:right="137"/>
        <w:jc w:val="both"/>
      </w:pPr>
      <w:r>
        <w:rPr>
          <w:color w:val="0D0D0D"/>
        </w:rPr>
        <w:t>Pan et</w:t>
      </w:r>
      <w:r>
        <w:rPr>
          <w:color w:val="0D0D0D"/>
          <w:spacing w:val="-2"/>
        </w:rPr>
        <w:t> </w:t>
      </w:r>
      <w:r>
        <w:rPr>
          <w:color w:val="0D0D0D"/>
        </w:rPr>
        <w:t>al., 2021</w:t>
      </w:r>
      <w:r>
        <w:rPr>
          <w:color w:val="0D0D0D"/>
          <w:spacing w:val="-1"/>
        </w:rPr>
        <w:t> </w:t>
      </w:r>
      <w:r>
        <w:rPr>
          <w:color w:val="0D0D0D"/>
        </w:rPr>
        <w:t>y Di Franco et al. (2023) reportan que la dexmedetomidina</w:t>
      </w:r>
      <w:r>
        <w:rPr>
          <w:color w:val="0D0D0D"/>
          <w:spacing w:val="-2"/>
        </w:rPr>
        <w:t> </w:t>
      </w:r>
      <w:r>
        <w:rPr>
          <w:color w:val="0D0D0D"/>
        </w:rPr>
        <w:t>induce una disminución sistémica y dosis-dependiente de la frecuencia cardíaca debida a la reducción del flujo simpático central, esto coincide plenamente con nuestro estudio, donde se registró un marcado descenso cronotrópico en ambos grupos (116,2 ± 15,0 LP</w:t>
      </w:r>
      <w:r>
        <w:rPr>
          <w:color w:val="0D0D0D"/>
          <w:spacing w:val="-8"/>
        </w:rPr>
        <w:t> </w:t>
      </w:r>
      <w:r>
        <w:rPr>
          <w:color w:val="0D0D0D"/>
        </w:rPr>
        <w:t>en IM y 104,9 ± 13,4 LPM en IV). La mayor</w:t>
      </w:r>
      <w:r>
        <w:rPr>
          <w:color w:val="0D0D0D"/>
          <w:spacing w:val="-2"/>
        </w:rPr>
        <w:t> </w:t>
      </w:r>
      <w:r>
        <w:rPr>
          <w:color w:val="0D0D0D"/>
        </w:rPr>
        <w:t>caída observada en la vía IV (reducción neta de -18,3 ± 8,0 LPM en IV frente a -15,1 ± 8,7 LPM en IM) se alinea con de Sant’Ana et al. (2024) quienes asocian la inyección endovenosa rápida con un pico plasmático inmediato que desencadena una vasoconstricción periférica aguda, por consecuencia, una bradicardia refleja que potencia la depresión sinusal central, por el contrario, la absorción tisular gradual de la vía IM amortigua este impacto inicial, ofreciendo una transición hemodinámica más suave.</w:t>
      </w:r>
    </w:p>
    <w:p>
      <w:pPr>
        <w:pStyle w:val="Heading3"/>
        <w:numPr>
          <w:ilvl w:val="2"/>
          <w:numId w:val="8"/>
        </w:numPr>
        <w:tabs>
          <w:tab w:pos="1288" w:val="left" w:leader="none"/>
        </w:tabs>
        <w:spacing w:line="240" w:lineRule="auto" w:before="2" w:after="0"/>
        <w:ind w:left="1288" w:right="0" w:hanging="720"/>
        <w:jc w:val="both"/>
      </w:pPr>
      <w:bookmarkStart w:name="_bookmark55" w:id="56"/>
      <w:bookmarkEnd w:id="56"/>
      <w:r>
        <w:rPr>
          <w:b w:val="0"/>
        </w:rPr>
      </w:r>
      <w:r>
        <w:rPr>
          <w:color w:val="0D0D0D"/>
        </w:rPr>
        <w:t>Presión</w:t>
      </w:r>
      <w:r>
        <w:rPr>
          <w:color w:val="0D0D0D"/>
          <w:spacing w:val="-5"/>
        </w:rPr>
        <w:t> </w:t>
      </w:r>
      <w:r>
        <w:rPr>
          <w:color w:val="0D0D0D"/>
        </w:rPr>
        <w:t>arterial</w:t>
      </w:r>
      <w:r>
        <w:rPr>
          <w:color w:val="0D0D0D"/>
          <w:spacing w:val="-2"/>
        </w:rPr>
        <w:t> </w:t>
      </w:r>
      <w:r>
        <w:rPr>
          <w:color w:val="0D0D0D"/>
        </w:rPr>
        <w:t>sistólica,</w:t>
      </w:r>
      <w:r>
        <w:rPr>
          <w:color w:val="0D0D0D"/>
          <w:spacing w:val="-3"/>
        </w:rPr>
        <w:t> </w:t>
      </w:r>
      <w:r>
        <w:rPr>
          <w:color w:val="0D0D0D"/>
        </w:rPr>
        <w:t>diastólica</w:t>
      </w:r>
      <w:r>
        <w:rPr>
          <w:color w:val="0D0D0D"/>
          <w:spacing w:val="-3"/>
        </w:rPr>
        <w:t> </w:t>
      </w:r>
      <w:r>
        <w:rPr>
          <w:color w:val="0D0D0D"/>
        </w:rPr>
        <w:t>y</w:t>
      </w:r>
      <w:r>
        <w:rPr>
          <w:color w:val="0D0D0D"/>
          <w:spacing w:val="-3"/>
        </w:rPr>
        <w:t> </w:t>
      </w:r>
      <w:r>
        <w:rPr>
          <w:color w:val="0D0D0D"/>
        </w:rPr>
        <w:t>media</w:t>
      </w:r>
      <w:r>
        <w:rPr>
          <w:color w:val="0D0D0D"/>
          <w:spacing w:val="-2"/>
        </w:rPr>
        <w:t> (mmHg)</w:t>
      </w:r>
    </w:p>
    <w:p>
      <w:pPr>
        <w:spacing w:before="276"/>
        <w:ind w:left="568" w:right="0" w:firstLine="0"/>
        <w:jc w:val="both"/>
        <w:rPr>
          <w:b/>
          <w:sz w:val="22"/>
        </w:rPr>
      </w:pPr>
      <w:bookmarkStart w:name="_bookmark56" w:id="57"/>
      <w:bookmarkEnd w:id="57"/>
      <w:r>
        <w:rPr/>
      </w:r>
      <w:r>
        <w:rPr>
          <w:b/>
          <w:spacing w:val="-2"/>
          <w:sz w:val="22"/>
        </w:rPr>
        <w:t>Tabla</w:t>
      </w:r>
      <w:r>
        <w:rPr>
          <w:b/>
          <w:spacing w:val="-10"/>
          <w:sz w:val="22"/>
        </w:rPr>
        <w:t> </w:t>
      </w:r>
      <w:r>
        <w:rPr>
          <w:b/>
          <w:spacing w:val="-5"/>
          <w:sz w:val="22"/>
        </w:rPr>
        <w:t>7.</w:t>
      </w:r>
    </w:p>
    <w:p>
      <w:pPr>
        <w:spacing w:line="360" w:lineRule="auto" w:before="127"/>
        <w:ind w:left="568" w:right="170" w:firstLine="0"/>
        <w:jc w:val="left"/>
        <w:rPr>
          <w:i/>
          <w:sz w:val="22"/>
        </w:rPr>
      </w:pPr>
      <w:r>
        <w:rPr>
          <w:i/>
          <w:sz w:val="22"/>
        </w:rPr>
        <w:t>Presión</w:t>
      </w:r>
      <w:r>
        <w:rPr>
          <w:i/>
          <w:spacing w:val="-5"/>
          <w:sz w:val="22"/>
        </w:rPr>
        <w:t> </w:t>
      </w:r>
      <w:r>
        <w:rPr>
          <w:i/>
          <w:sz w:val="22"/>
        </w:rPr>
        <w:t>arterial</w:t>
      </w:r>
      <w:r>
        <w:rPr>
          <w:i/>
          <w:spacing w:val="-7"/>
          <w:sz w:val="22"/>
        </w:rPr>
        <w:t> </w:t>
      </w:r>
      <w:r>
        <w:rPr>
          <w:i/>
          <w:sz w:val="22"/>
        </w:rPr>
        <w:t>sistólica,</w:t>
      </w:r>
      <w:r>
        <w:rPr>
          <w:i/>
          <w:spacing w:val="-5"/>
          <w:sz w:val="22"/>
        </w:rPr>
        <w:t> </w:t>
      </w:r>
      <w:r>
        <w:rPr>
          <w:i/>
          <w:sz w:val="22"/>
        </w:rPr>
        <w:t>diastólica</w:t>
      </w:r>
      <w:r>
        <w:rPr>
          <w:i/>
          <w:spacing w:val="-5"/>
          <w:sz w:val="22"/>
        </w:rPr>
        <w:t> </w:t>
      </w:r>
      <w:r>
        <w:rPr>
          <w:i/>
          <w:sz w:val="22"/>
        </w:rPr>
        <w:t>y</w:t>
      </w:r>
      <w:r>
        <w:rPr>
          <w:i/>
          <w:spacing w:val="-7"/>
          <w:sz w:val="22"/>
        </w:rPr>
        <w:t> </w:t>
      </w:r>
      <w:r>
        <w:rPr>
          <w:i/>
          <w:sz w:val="22"/>
        </w:rPr>
        <w:t>media</w:t>
      </w:r>
      <w:r>
        <w:rPr>
          <w:i/>
          <w:spacing w:val="-5"/>
          <w:sz w:val="22"/>
        </w:rPr>
        <w:t> </w:t>
      </w:r>
      <w:r>
        <w:rPr>
          <w:i/>
          <w:sz w:val="22"/>
        </w:rPr>
        <w:t>según</w:t>
      </w:r>
      <w:r>
        <w:rPr>
          <w:i/>
          <w:spacing w:val="-5"/>
          <w:sz w:val="22"/>
        </w:rPr>
        <w:t> </w:t>
      </w:r>
      <w:r>
        <w:rPr>
          <w:i/>
          <w:sz w:val="22"/>
        </w:rPr>
        <w:t>vía</w:t>
      </w:r>
      <w:r>
        <w:rPr>
          <w:i/>
          <w:spacing w:val="-8"/>
          <w:sz w:val="22"/>
        </w:rPr>
        <w:t> </w:t>
      </w:r>
      <w:r>
        <w:rPr>
          <w:i/>
          <w:sz w:val="22"/>
        </w:rPr>
        <w:t>de</w:t>
      </w:r>
      <w:r>
        <w:rPr>
          <w:i/>
          <w:spacing w:val="-7"/>
          <w:sz w:val="22"/>
        </w:rPr>
        <w:t> </w:t>
      </w:r>
      <w:r>
        <w:rPr>
          <w:i/>
          <w:sz w:val="22"/>
        </w:rPr>
        <w:t>administración </w:t>
      </w:r>
      <w:r>
        <w:rPr>
          <w:i/>
          <w:spacing w:val="-2"/>
          <w:sz w:val="22"/>
        </w:rPr>
        <w:t>dexmedetomidina</w:t>
      </w:r>
    </w:p>
    <w:p>
      <w:pPr>
        <w:pStyle w:val="BodyText"/>
        <w:spacing w:before="10" w:after="1"/>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87"/>
        <w:gridCol w:w="1443"/>
        <w:gridCol w:w="1954"/>
        <w:gridCol w:w="1734"/>
        <w:gridCol w:w="1496"/>
      </w:tblGrid>
      <w:tr>
        <w:trPr>
          <w:trHeight w:val="317" w:hRule="atLeast"/>
        </w:trPr>
        <w:tc>
          <w:tcPr>
            <w:tcW w:w="1387" w:type="dxa"/>
            <w:tcBorders>
              <w:top w:val="single" w:sz="4" w:space="0" w:color="000000"/>
              <w:bottom w:val="single" w:sz="4" w:space="0" w:color="000000"/>
            </w:tcBorders>
          </w:tcPr>
          <w:p>
            <w:pPr>
              <w:pStyle w:val="TableParagraph"/>
              <w:spacing w:line="275" w:lineRule="exact" w:before="0"/>
              <w:ind w:left="294"/>
              <w:jc w:val="left"/>
              <w:rPr>
                <w:b/>
                <w:sz w:val="24"/>
              </w:rPr>
            </w:pPr>
            <w:r>
              <w:rPr>
                <w:b/>
                <w:color w:val="0D0D0D"/>
                <w:spacing w:val="-2"/>
                <w:sz w:val="24"/>
              </w:rPr>
              <w:t>Variable</w:t>
            </w:r>
          </w:p>
        </w:tc>
        <w:tc>
          <w:tcPr>
            <w:tcW w:w="1443" w:type="dxa"/>
            <w:tcBorders>
              <w:top w:val="single" w:sz="4" w:space="0" w:color="000000"/>
              <w:bottom w:val="single" w:sz="4" w:space="0" w:color="000000"/>
            </w:tcBorders>
          </w:tcPr>
          <w:p>
            <w:pPr>
              <w:pStyle w:val="TableParagraph"/>
              <w:spacing w:line="275" w:lineRule="exact" w:before="0"/>
              <w:ind w:left="348"/>
              <w:jc w:val="left"/>
              <w:rPr>
                <w:b/>
                <w:sz w:val="24"/>
              </w:rPr>
            </w:pPr>
            <w:r>
              <w:rPr>
                <w:b/>
                <w:color w:val="0D0D0D"/>
                <w:spacing w:val="-2"/>
                <w:sz w:val="24"/>
              </w:rPr>
              <w:t>Grupo</w:t>
            </w:r>
          </w:p>
        </w:tc>
        <w:tc>
          <w:tcPr>
            <w:tcW w:w="1954" w:type="dxa"/>
            <w:tcBorders>
              <w:top w:val="single" w:sz="4" w:space="0" w:color="000000"/>
              <w:bottom w:val="single" w:sz="4" w:space="0" w:color="000000"/>
            </w:tcBorders>
          </w:tcPr>
          <w:p>
            <w:pPr>
              <w:pStyle w:val="TableParagraph"/>
              <w:spacing w:line="275" w:lineRule="exact" w:before="0"/>
              <w:ind w:right="325"/>
              <w:jc w:val="right"/>
              <w:rPr>
                <w:b/>
                <w:sz w:val="24"/>
              </w:rPr>
            </w:pPr>
            <w:r>
              <w:rPr>
                <w:b/>
                <w:color w:val="0D0D0D"/>
                <w:spacing w:val="-2"/>
                <w:sz w:val="24"/>
              </w:rPr>
              <w:t>Antes</w:t>
            </w:r>
          </w:p>
        </w:tc>
        <w:tc>
          <w:tcPr>
            <w:tcW w:w="1734" w:type="dxa"/>
            <w:tcBorders>
              <w:top w:val="single" w:sz="4" w:space="0" w:color="000000"/>
              <w:bottom w:val="single" w:sz="4" w:space="0" w:color="000000"/>
            </w:tcBorders>
          </w:tcPr>
          <w:p>
            <w:pPr>
              <w:pStyle w:val="TableParagraph"/>
              <w:spacing w:line="275" w:lineRule="exact" w:before="0"/>
              <w:ind w:right="315"/>
              <w:jc w:val="right"/>
              <w:rPr>
                <w:b/>
                <w:sz w:val="24"/>
              </w:rPr>
            </w:pPr>
            <w:r>
              <w:rPr>
                <w:b/>
                <w:color w:val="0D0D0D"/>
                <w:spacing w:val="-2"/>
                <w:sz w:val="24"/>
              </w:rPr>
              <w:t>Después</w:t>
            </w:r>
          </w:p>
        </w:tc>
        <w:tc>
          <w:tcPr>
            <w:tcW w:w="1496" w:type="dxa"/>
            <w:tcBorders>
              <w:top w:val="single" w:sz="4" w:space="0" w:color="000000"/>
              <w:bottom w:val="single" w:sz="4" w:space="0" w:color="000000"/>
            </w:tcBorders>
          </w:tcPr>
          <w:p>
            <w:pPr>
              <w:pStyle w:val="TableParagraph"/>
              <w:spacing w:line="275" w:lineRule="exact" w:before="0"/>
              <w:ind w:right="105"/>
              <w:jc w:val="right"/>
              <w:rPr>
                <w:b/>
                <w:sz w:val="24"/>
              </w:rPr>
            </w:pPr>
            <w:r>
              <w:rPr>
                <w:b/>
                <w:color w:val="0D0D0D"/>
                <w:spacing w:val="-2"/>
                <w:sz w:val="24"/>
              </w:rPr>
              <w:t>Diferencia</w:t>
            </w:r>
          </w:p>
        </w:tc>
      </w:tr>
      <w:tr>
        <w:trPr>
          <w:trHeight w:val="306" w:hRule="atLeast"/>
        </w:trPr>
        <w:tc>
          <w:tcPr>
            <w:tcW w:w="1387" w:type="dxa"/>
            <w:tcBorders>
              <w:top w:val="single" w:sz="4" w:space="0" w:color="000000"/>
            </w:tcBorders>
          </w:tcPr>
          <w:p>
            <w:pPr>
              <w:pStyle w:val="TableParagraph"/>
              <w:spacing w:line="275" w:lineRule="exact" w:before="0"/>
              <w:ind w:left="114"/>
              <w:jc w:val="left"/>
              <w:rPr>
                <w:b/>
                <w:sz w:val="24"/>
              </w:rPr>
            </w:pPr>
            <w:r>
              <w:rPr>
                <w:b/>
                <w:color w:val="0D0D0D"/>
                <w:spacing w:val="-5"/>
                <w:sz w:val="24"/>
              </w:rPr>
              <w:t>PAS</w:t>
            </w:r>
          </w:p>
        </w:tc>
        <w:tc>
          <w:tcPr>
            <w:tcW w:w="1443" w:type="dxa"/>
            <w:tcBorders>
              <w:top w:val="single" w:sz="4" w:space="0" w:color="000000"/>
            </w:tcBorders>
          </w:tcPr>
          <w:p>
            <w:pPr>
              <w:pStyle w:val="TableParagraph"/>
              <w:spacing w:line="275" w:lineRule="exact" w:before="0"/>
              <w:ind w:left="199"/>
              <w:jc w:val="left"/>
              <w:rPr>
                <w:sz w:val="24"/>
              </w:rPr>
            </w:pPr>
            <w:r>
              <w:rPr>
                <w:color w:val="0D0D0D"/>
                <w:spacing w:val="-5"/>
                <w:sz w:val="24"/>
              </w:rPr>
              <w:t>IM</w:t>
            </w:r>
          </w:p>
        </w:tc>
        <w:tc>
          <w:tcPr>
            <w:tcW w:w="1954" w:type="dxa"/>
            <w:tcBorders>
              <w:top w:val="single" w:sz="4" w:space="0" w:color="000000"/>
            </w:tcBorders>
          </w:tcPr>
          <w:p>
            <w:pPr>
              <w:pStyle w:val="TableParagraph"/>
              <w:spacing w:line="275" w:lineRule="exact" w:before="0"/>
              <w:ind w:right="323"/>
              <w:jc w:val="right"/>
              <w:rPr>
                <w:sz w:val="24"/>
              </w:rPr>
            </w:pPr>
            <w:r>
              <w:rPr>
                <w:color w:val="0D0D0D"/>
                <w:sz w:val="24"/>
              </w:rPr>
              <w:t>135,6 ± </w:t>
            </w:r>
            <w:r>
              <w:rPr>
                <w:color w:val="0D0D0D"/>
                <w:spacing w:val="-4"/>
                <w:sz w:val="24"/>
              </w:rPr>
              <w:t>10,4</w:t>
            </w:r>
          </w:p>
        </w:tc>
        <w:tc>
          <w:tcPr>
            <w:tcW w:w="1734" w:type="dxa"/>
            <w:tcBorders>
              <w:top w:val="single" w:sz="4" w:space="0" w:color="000000"/>
            </w:tcBorders>
          </w:tcPr>
          <w:p>
            <w:pPr>
              <w:pStyle w:val="TableParagraph"/>
              <w:spacing w:line="275" w:lineRule="exact" w:before="0"/>
              <w:ind w:right="312"/>
              <w:jc w:val="right"/>
              <w:rPr>
                <w:sz w:val="24"/>
              </w:rPr>
            </w:pPr>
            <w:r>
              <w:rPr>
                <w:color w:val="0D0D0D"/>
                <w:sz w:val="24"/>
              </w:rPr>
              <w:t>142,5 ± </w:t>
            </w:r>
            <w:r>
              <w:rPr>
                <w:color w:val="0D0D0D"/>
                <w:spacing w:val="-5"/>
                <w:sz w:val="24"/>
              </w:rPr>
              <w:t>9,6</w:t>
            </w:r>
          </w:p>
        </w:tc>
        <w:tc>
          <w:tcPr>
            <w:tcW w:w="1496" w:type="dxa"/>
            <w:tcBorders>
              <w:top w:val="single" w:sz="4" w:space="0" w:color="000000"/>
            </w:tcBorders>
          </w:tcPr>
          <w:p>
            <w:pPr>
              <w:pStyle w:val="TableParagraph"/>
              <w:spacing w:line="275" w:lineRule="exact" w:before="0"/>
              <w:ind w:right="107"/>
              <w:jc w:val="right"/>
              <w:rPr>
                <w:sz w:val="24"/>
              </w:rPr>
            </w:pPr>
            <w:r>
              <w:rPr>
                <w:color w:val="0D0D0D"/>
                <w:sz w:val="24"/>
              </w:rPr>
              <w:t>6,9 ± </w:t>
            </w:r>
            <w:r>
              <w:rPr>
                <w:color w:val="0D0D0D"/>
                <w:spacing w:val="-4"/>
                <w:sz w:val="24"/>
              </w:rPr>
              <w:t>11,8</w:t>
            </w:r>
          </w:p>
        </w:tc>
      </w:tr>
      <w:tr>
        <w:trPr>
          <w:trHeight w:val="324" w:hRule="atLeast"/>
        </w:trPr>
        <w:tc>
          <w:tcPr>
            <w:tcW w:w="1387" w:type="dxa"/>
          </w:tcPr>
          <w:p>
            <w:pPr>
              <w:pStyle w:val="TableParagraph"/>
              <w:spacing w:before="0"/>
              <w:jc w:val="left"/>
              <w:rPr>
                <w:sz w:val="22"/>
              </w:rPr>
            </w:pPr>
          </w:p>
        </w:tc>
        <w:tc>
          <w:tcPr>
            <w:tcW w:w="1443" w:type="dxa"/>
          </w:tcPr>
          <w:p>
            <w:pPr>
              <w:pStyle w:val="TableParagraph"/>
              <w:spacing w:before="21"/>
              <w:ind w:left="199"/>
              <w:jc w:val="left"/>
              <w:rPr>
                <w:sz w:val="24"/>
              </w:rPr>
            </w:pPr>
            <w:r>
              <w:rPr>
                <w:color w:val="0D0D0D"/>
                <w:spacing w:val="-5"/>
                <w:sz w:val="24"/>
              </w:rPr>
              <w:t>IV</w:t>
            </w:r>
          </w:p>
        </w:tc>
        <w:tc>
          <w:tcPr>
            <w:tcW w:w="1954" w:type="dxa"/>
          </w:tcPr>
          <w:p>
            <w:pPr>
              <w:pStyle w:val="TableParagraph"/>
              <w:spacing w:before="21"/>
              <w:ind w:right="323"/>
              <w:jc w:val="right"/>
              <w:rPr>
                <w:sz w:val="24"/>
              </w:rPr>
            </w:pPr>
            <w:r>
              <w:rPr>
                <w:color w:val="0D0D0D"/>
                <w:sz w:val="24"/>
              </w:rPr>
              <w:t>139,1 ± </w:t>
            </w:r>
            <w:r>
              <w:rPr>
                <w:color w:val="0D0D0D"/>
                <w:spacing w:val="-4"/>
                <w:sz w:val="24"/>
              </w:rPr>
              <w:t>13,4</w:t>
            </w:r>
          </w:p>
        </w:tc>
        <w:tc>
          <w:tcPr>
            <w:tcW w:w="1734" w:type="dxa"/>
          </w:tcPr>
          <w:p>
            <w:pPr>
              <w:pStyle w:val="TableParagraph"/>
              <w:spacing w:before="21"/>
              <w:ind w:right="312"/>
              <w:jc w:val="right"/>
              <w:rPr>
                <w:sz w:val="24"/>
              </w:rPr>
            </w:pPr>
            <w:r>
              <w:rPr>
                <w:color w:val="0D0D0D"/>
                <w:sz w:val="24"/>
              </w:rPr>
              <w:t>145,7 ± </w:t>
            </w:r>
            <w:r>
              <w:rPr>
                <w:color w:val="0D0D0D"/>
                <w:spacing w:val="-5"/>
                <w:sz w:val="24"/>
              </w:rPr>
              <w:t>8,6</w:t>
            </w:r>
          </w:p>
        </w:tc>
        <w:tc>
          <w:tcPr>
            <w:tcW w:w="1496" w:type="dxa"/>
          </w:tcPr>
          <w:p>
            <w:pPr>
              <w:pStyle w:val="TableParagraph"/>
              <w:spacing w:before="21"/>
              <w:ind w:right="107"/>
              <w:jc w:val="right"/>
              <w:rPr>
                <w:sz w:val="24"/>
              </w:rPr>
            </w:pPr>
            <w:r>
              <w:rPr>
                <w:color w:val="0D0D0D"/>
                <w:sz w:val="24"/>
              </w:rPr>
              <w:t>6,5 ± </w:t>
            </w:r>
            <w:r>
              <w:rPr>
                <w:color w:val="0D0D0D"/>
                <w:spacing w:val="-5"/>
                <w:sz w:val="24"/>
              </w:rPr>
              <w:t>5,3</w:t>
            </w:r>
          </w:p>
        </w:tc>
      </w:tr>
      <w:tr>
        <w:trPr>
          <w:trHeight w:val="323" w:hRule="atLeast"/>
        </w:trPr>
        <w:tc>
          <w:tcPr>
            <w:tcW w:w="1387" w:type="dxa"/>
          </w:tcPr>
          <w:p>
            <w:pPr>
              <w:pStyle w:val="TableParagraph"/>
              <w:spacing w:before="17"/>
              <w:ind w:left="114"/>
              <w:jc w:val="left"/>
              <w:rPr>
                <w:b/>
                <w:sz w:val="24"/>
              </w:rPr>
            </w:pPr>
            <w:r>
              <w:rPr>
                <w:b/>
                <w:color w:val="0D0D0D"/>
                <w:spacing w:val="-5"/>
                <w:sz w:val="24"/>
              </w:rPr>
              <w:t>PAD</w:t>
            </w:r>
          </w:p>
        </w:tc>
        <w:tc>
          <w:tcPr>
            <w:tcW w:w="1443" w:type="dxa"/>
          </w:tcPr>
          <w:p>
            <w:pPr>
              <w:pStyle w:val="TableParagraph"/>
              <w:spacing w:before="17"/>
              <w:ind w:left="199"/>
              <w:jc w:val="left"/>
              <w:rPr>
                <w:sz w:val="24"/>
              </w:rPr>
            </w:pPr>
            <w:r>
              <w:rPr>
                <w:color w:val="0D0D0D"/>
                <w:spacing w:val="-5"/>
                <w:sz w:val="24"/>
              </w:rPr>
              <w:t>IM</w:t>
            </w:r>
          </w:p>
        </w:tc>
        <w:tc>
          <w:tcPr>
            <w:tcW w:w="1954" w:type="dxa"/>
          </w:tcPr>
          <w:p>
            <w:pPr>
              <w:pStyle w:val="TableParagraph"/>
              <w:spacing w:before="17"/>
              <w:ind w:right="322"/>
              <w:jc w:val="right"/>
              <w:rPr>
                <w:sz w:val="24"/>
              </w:rPr>
            </w:pPr>
            <w:r>
              <w:rPr>
                <w:color w:val="0D0D0D"/>
                <w:sz w:val="24"/>
              </w:rPr>
              <w:t>84,0 ± </w:t>
            </w:r>
            <w:r>
              <w:rPr>
                <w:color w:val="0D0D0D"/>
                <w:spacing w:val="-5"/>
                <w:sz w:val="24"/>
              </w:rPr>
              <w:t>6,5</w:t>
            </w:r>
          </w:p>
        </w:tc>
        <w:tc>
          <w:tcPr>
            <w:tcW w:w="1734" w:type="dxa"/>
          </w:tcPr>
          <w:p>
            <w:pPr>
              <w:pStyle w:val="TableParagraph"/>
              <w:spacing w:before="17"/>
              <w:ind w:right="312"/>
              <w:jc w:val="right"/>
              <w:rPr>
                <w:sz w:val="24"/>
              </w:rPr>
            </w:pPr>
            <w:r>
              <w:rPr>
                <w:color w:val="0D0D0D"/>
                <w:sz w:val="24"/>
              </w:rPr>
              <w:t>88,3 ± </w:t>
            </w:r>
            <w:r>
              <w:rPr>
                <w:color w:val="0D0D0D"/>
                <w:spacing w:val="-5"/>
                <w:sz w:val="24"/>
              </w:rPr>
              <w:t>5,7</w:t>
            </w:r>
          </w:p>
        </w:tc>
        <w:tc>
          <w:tcPr>
            <w:tcW w:w="1496" w:type="dxa"/>
          </w:tcPr>
          <w:p>
            <w:pPr>
              <w:pStyle w:val="TableParagraph"/>
              <w:spacing w:before="17"/>
              <w:ind w:right="107"/>
              <w:jc w:val="right"/>
              <w:rPr>
                <w:sz w:val="24"/>
              </w:rPr>
            </w:pPr>
            <w:r>
              <w:rPr>
                <w:color w:val="0D0D0D"/>
                <w:sz w:val="24"/>
              </w:rPr>
              <w:t>4,3 ± </w:t>
            </w:r>
            <w:r>
              <w:rPr>
                <w:color w:val="0D0D0D"/>
                <w:spacing w:val="-5"/>
                <w:sz w:val="24"/>
              </w:rPr>
              <w:t>8,2</w:t>
            </w:r>
          </w:p>
        </w:tc>
      </w:tr>
      <w:tr>
        <w:trPr>
          <w:trHeight w:val="322" w:hRule="atLeast"/>
        </w:trPr>
        <w:tc>
          <w:tcPr>
            <w:tcW w:w="1387" w:type="dxa"/>
          </w:tcPr>
          <w:p>
            <w:pPr>
              <w:pStyle w:val="TableParagraph"/>
              <w:spacing w:before="0"/>
              <w:jc w:val="left"/>
              <w:rPr>
                <w:sz w:val="22"/>
              </w:rPr>
            </w:pPr>
          </w:p>
        </w:tc>
        <w:tc>
          <w:tcPr>
            <w:tcW w:w="1443" w:type="dxa"/>
          </w:tcPr>
          <w:p>
            <w:pPr>
              <w:pStyle w:val="TableParagraph"/>
              <w:spacing w:before="21"/>
              <w:ind w:left="199"/>
              <w:jc w:val="left"/>
              <w:rPr>
                <w:sz w:val="24"/>
              </w:rPr>
            </w:pPr>
            <w:r>
              <w:rPr>
                <w:color w:val="0D0D0D"/>
                <w:spacing w:val="-5"/>
                <w:sz w:val="24"/>
              </w:rPr>
              <w:t>IV</w:t>
            </w:r>
          </w:p>
        </w:tc>
        <w:tc>
          <w:tcPr>
            <w:tcW w:w="1954" w:type="dxa"/>
          </w:tcPr>
          <w:p>
            <w:pPr>
              <w:pStyle w:val="TableParagraph"/>
              <w:spacing w:before="21"/>
              <w:ind w:right="322"/>
              <w:jc w:val="right"/>
              <w:rPr>
                <w:sz w:val="24"/>
              </w:rPr>
            </w:pPr>
            <w:r>
              <w:rPr>
                <w:color w:val="0D0D0D"/>
                <w:sz w:val="24"/>
              </w:rPr>
              <w:t>84,3 ± </w:t>
            </w:r>
            <w:r>
              <w:rPr>
                <w:color w:val="0D0D0D"/>
                <w:spacing w:val="-5"/>
                <w:sz w:val="24"/>
              </w:rPr>
              <w:t>8,2</w:t>
            </w:r>
          </w:p>
        </w:tc>
        <w:tc>
          <w:tcPr>
            <w:tcW w:w="1734" w:type="dxa"/>
          </w:tcPr>
          <w:p>
            <w:pPr>
              <w:pStyle w:val="TableParagraph"/>
              <w:spacing w:before="21"/>
              <w:ind w:right="312"/>
              <w:jc w:val="right"/>
              <w:rPr>
                <w:sz w:val="24"/>
              </w:rPr>
            </w:pPr>
            <w:r>
              <w:rPr>
                <w:color w:val="0D0D0D"/>
                <w:sz w:val="24"/>
              </w:rPr>
              <w:t>87,5 ± </w:t>
            </w:r>
            <w:r>
              <w:rPr>
                <w:color w:val="0D0D0D"/>
                <w:spacing w:val="-5"/>
                <w:sz w:val="24"/>
              </w:rPr>
              <w:t>4,9</w:t>
            </w:r>
          </w:p>
        </w:tc>
        <w:tc>
          <w:tcPr>
            <w:tcW w:w="1496" w:type="dxa"/>
          </w:tcPr>
          <w:p>
            <w:pPr>
              <w:pStyle w:val="TableParagraph"/>
              <w:spacing w:before="21"/>
              <w:ind w:right="107"/>
              <w:jc w:val="right"/>
              <w:rPr>
                <w:sz w:val="24"/>
              </w:rPr>
            </w:pPr>
            <w:r>
              <w:rPr>
                <w:color w:val="0D0D0D"/>
                <w:sz w:val="24"/>
              </w:rPr>
              <w:t>3,2 ± </w:t>
            </w:r>
            <w:r>
              <w:rPr>
                <w:color w:val="0D0D0D"/>
                <w:spacing w:val="-5"/>
                <w:sz w:val="24"/>
              </w:rPr>
              <w:t>4,1</w:t>
            </w:r>
          </w:p>
        </w:tc>
      </w:tr>
      <w:tr>
        <w:trPr>
          <w:trHeight w:val="317" w:hRule="atLeast"/>
        </w:trPr>
        <w:tc>
          <w:tcPr>
            <w:tcW w:w="1387" w:type="dxa"/>
          </w:tcPr>
          <w:p>
            <w:pPr>
              <w:pStyle w:val="TableParagraph"/>
              <w:spacing w:before="15"/>
              <w:ind w:left="114"/>
              <w:jc w:val="left"/>
              <w:rPr>
                <w:b/>
                <w:sz w:val="24"/>
              </w:rPr>
            </w:pPr>
            <w:r>
              <w:rPr>
                <w:b/>
                <w:color w:val="0D0D0D"/>
                <w:spacing w:val="-5"/>
                <w:sz w:val="24"/>
              </w:rPr>
              <w:t>PAM</w:t>
            </w:r>
          </w:p>
        </w:tc>
        <w:tc>
          <w:tcPr>
            <w:tcW w:w="1443" w:type="dxa"/>
          </w:tcPr>
          <w:p>
            <w:pPr>
              <w:pStyle w:val="TableParagraph"/>
              <w:spacing w:before="15"/>
              <w:ind w:left="199"/>
              <w:jc w:val="left"/>
              <w:rPr>
                <w:sz w:val="24"/>
              </w:rPr>
            </w:pPr>
            <w:r>
              <w:rPr>
                <w:color w:val="0D0D0D"/>
                <w:spacing w:val="-5"/>
                <w:sz w:val="24"/>
              </w:rPr>
              <w:t>IM</w:t>
            </w:r>
          </w:p>
        </w:tc>
        <w:tc>
          <w:tcPr>
            <w:tcW w:w="1954" w:type="dxa"/>
          </w:tcPr>
          <w:p>
            <w:pPr>
              <w:pStyle w:val="TableParagraph"/>
              <w:spacing w:before="15"/>
              <w:ind w:right="323"/>
              <w:jc w:val="right"/>
              <w:rPr>
                <w:sz w:val="24"/>
              </w:rPr>
            </w:pPr>
            <w:r>
              <w:rPr>
                <w:color w:val="0D0D0D"/>
                <w:sz w:val="24"/>
              </w:rPr>
              <w:t>102,7 ± </w:t>
            </w:r>
            <w:r>
              <w:rPr>
                <w:color w:val="0D0D0D"/>
                <w:spacing w:val="-4"/>
                <w:sz w:val="24"/>
              </w:rPr>
              <w:t>10,8</w:t>
            </w:r>
          </w:p>
        </w:tc>
        <w:tc>
          <w:tcPr>
            <w:tcW w:w="1734" w:type="dxa"/>
          </w:tcPr>
          <w:p>
            <w:pPr>
              <w:pStyle w:val="TableParagraph"/>
              <w:spacing w:before="15"/>
              <w:ind w:right="312"/>
              <w:jc w:val="right"/>
              <w:rPr>
                <w:sz w:val="24"/>
              </w:rPr>
            </w:pPr>
            <w:r>
              <w:rPr>
                <w:color w:val="0D0D0D"/>
                <w:sz w:val="24"/>
              </w:rPr>
              <w:t>107,6 ± </w:t>
            </w:r>
            <w:r>
              <w:rPr>
                <w:color w:val="0D0D0D"/>
                <w:spacing w:val="-5"/>
                <w:sz w:val="24"/>
              </w:rPr>
              <w:t>4,6</w:t>
            </w:r>
          </w:p>
        </w:tc>
        <w:tc>
          <w:tcPr>
            <w:tcW w:w="1496" w:type="dxa"/>
          </w:tcPr>
          <w:p>
            <w:pPr>
              <w:pStyle w:val="TableParagraph"/>
              <w:spacing w:before="15"/>
              <w:ind w:right="107"/>
              <w:jc w:val="right"/>
              <w:rPr>
                <w:sz w:val="24"/>
              </w:rPr>
            </w:pPr>
            <w:r>
              <w:rPr>
                <w:color w:val="0D0D0D"/>
                <w:sz w:val="24"/>
              </w:rPr>
              <w:t>4,9 ± </w:t>
            </w:r>
            <w:r>
              <w:rPr>
                <w:color w:val="0D0D0D"/>
                <w:spacing w:val="-4"/>
                <w:sz w:val="24"/>
              </w:rPr>
              <w:t>11,0</w:t>
            </w:r>
          </w:p>
        </w:tc>
      </w:tr>
      <w:tr>
        <w:trPr>
          <w:trHeight w:val="331" w:hRule="atLeast"/>
        </w:trPr>
        <w:tc>
          <w:tcPr>
            <w:tcW w:w="1387" w:type="dxa"/>
            <w:tcBorders>
              <w:bottom w:val="single" w:sz="4" w:space="0" w:color="000000"/>
            </w:tcBorders>
          </w:tcPr>
          <w:p>
            <w:pPr>
              <w:pStyle w:val="TableParagraph"/>
              <w:spacing w:before="0"/>
              <w:jc w:val="left"/>
              <w:rPr>
                <w:sz w:val="22"/>
              </w:rPr>
            </w:pPr>
          </w:p>
        </w:tc>
        <w:tc>
          <w:tcPr>
            <w:tcW w:w="1443" w:type="dxa"/>
            <w:tcBorders>
              <w:bottom w:val="single" w:sz="4" w:space="0" w:color="000000"/>
            </w:tcBorders>
          </w:tcPr>
          <w:p>
            <w:pPr>
              <w:pStyle w:val="TableParagraph"/>
              <w:spacing w:before="17"/>
              <w:ind w:left="199"/>
              <w:jc w:val="left"/>
              <w:rPr>
                <w:sz w:val="24"/>
              </w:rPr>
            </w:pPr>
            <w:r>
              <w:rPr>
                <w:color w:val="0D0D0D"/>
                <w:spacing w:val="-5"/>
                <w:sz w:val="24"/>
              </w:rPr>
              <w:t>IV</w:t>
            </w:r>
          </w:p>
        </w:tc>
        <w:tc>
          <w:tcPr>
            <w:tcW w:w="1954" w:type="dxa"/>
            <w:tcBorders>
              <w:bottom w:val="single" w:sz="4" w:space="0" w:color="000000"/>
            </w:tcBorders>
          </w:tcPr>
          <w:p>
            <w:pPr>
              <w:pStyle w:val="TableParagraph"/>
              <w:spacing w:before="17"/>
              <w:ind w:right="323"/>
              <w:jc w:val="right"/>
              <w:rPr>
                <w:sz w:val="24"/>
              </w:rPr>
            </w:pPr>
            <w:r>
              <w:rPr>
                <w:color w:val="0D0D0D"/>
                <w:sz w:val="24"/>
              </w:rPr>
              <w:t>103,0 ± </w:t>
            </w:r>
            <w:r>
              <w:rPr>
                <w:color w:val="0D0D0D"/>
                <w:spacing w:val="-4"/>
                <w:sz w:val="24"/>
              </w:rPr>
              <w:t>11,1</w:t>
            </w:r>
          </w:p>
        </w:tc>
        <w:tc>
          <w:tcPr>
            <w:tcW w:w="1734" w:type="dxa"/>
            <w:tcBorders>
              <w:bottom w:val="single" w:sz="4" w:space="0" w:color="000000"/>
            </w:tcBorders>
          </w:tcPr>
          <w:p>
            <w:pPr>
              <w:pStyle w:val="TableParagraph"/>
              <w:spacing w:before="17"/>
              <w:ind w:right="312"/>
              <w:jc w:val="right"/>
              <w:rPr>
                <w:sz w:val="24"/>
              </w:rPr>
            </w:pPr>
            <w:r>
              <w:rPr>
                <w:color w:val="0D0D0D"/>
                <w:sz w:val="24"/>
              </w:rPr>
              <w:t>107,8 ± </w:t>
            </w:r>
            <w:r>
              <w:rPr>
                <w:color w:val="0D0D0D"/>
                <w:spacing w:val="-5"/>
                <w:sz w:val="24"/>
              </w:rPr>
              <w:t>6,6</w:t>
            </w:r>
          </w:p>
        </w:tc>
        <w:tc>
          <w:tcPr>
            <w:tcW w:w="1496" w:type="dxa"/>
            <w:tcBorders>
              <w:bottom w:val="single" w:sz="4" w:space="0" w:color="000000"/>
            </w:tcBorders>
          </w:tcPr>
          <w:p>
            <w:pPr>
              <w:pStyle w:val="TableParagraph"/>
              <w:spacing w:before="17"/>
              <w:ind w:right="107"/>
              <w:jc w:val="right"/>
              <w:rPr>
                <w:sz w:val="24"/>
              </w:rPr>
            </w:pPr>
            <w:r>
              <w:rPr>
                <w:color w:val="0D0D0D"/>
                <w:sz w:val="24"/>
              </w:rPr>
              <w:t>4,8 ± </w:t>
            </w:r>
            <w:r>
              <w:rPr>
                <w:color w:val="0D0D0D"/>
                <w:spacing w:val="-5"/>
                <w:sz w:val="24"/>
              </w:rPr>
              <w:t>5,0</w:t>
            </w:r>
          </w:p>
        </w:tc>
      </w:tr>
    </w:tbl>
    <w:p>
      <w:pPr>
        <w:pStyle w:val="TableParagraph"/>
        <w:spacing w:after="0"/>
        <w:jc w:val="right"/>
        <w:rPr>
          <w:sz w:val="24"/>
        </w:rPr>
        <w:sectPr>
          <w:pgSz w:w="11910" w:h="16840"/>
          <w:pgMar w:header="0" w:footer="1038" w:top="1620" w:bottom="1220" w:left="1700" w:right="1559"/>
        </w:sectPr>
      </w:pPr>
    </w:p>
    <w:p>
      <w:pPr>
        <w:spacing w:before="63"/>
        <w:ind w:left="568" w:right="0" w:firstLine="0"/>
        <w:jc w:val="left"/>
        <w:rPr>
          <w:b/>
          <w:sz w:val="22"/>
        </w:rPr>
      </w:pPr>
      <w:bookmarkStart w:name="_bookmark57" w:id="58"/>
      <w:bookmarkEnd w:id="58"/>
      <w:r>
        <w:rPr/>
      </w:r>
      <w:r>
        <w:rPr>
          <w:b/>
          <w:sz w:val="22"/>
        </w:rPr>
        <w:t>Figura</w:t>
      </w:r>
      <w:r>
        <w:rPr>
          <w:b/>
          <w:spacing w:val="-3"/>
          <w:sz w:val="22"/>
        </w:rPr>
        <w:t> </w:t>
      </w:r>
      <w:r>
        <w:rPr>
          <w:b/>
          <w:spacing w:val="-5"/>
          <w:sz w:val="22"/>
        </w:rPr>
        <w:t>6.</w:t>
      </w:r>
    </w:p>
    <w:p>
      <w:pPr>
        <w:spacing w:line="360" w:lineRule="auto" w:before="127"/>
        <w:ind w:left="568" w:right="170" w:firstLine="0"/>
        <w:jc w:val="left"/>
        <w:rPr>
          <w:i/>
          <w:sz w:val="22"/>
        </w:rPr>
      </w:pPr>
      <w:r>
        <w:rPr>
          <w:i/>
          <w:sz w:val="22"/>
        </w:rPr>
        <w:t>Comparación</w:t>
      </w:r>
      <w:r>
        <w:rPr>
          <w:i/>
          <w:spacing w:val="-8"/>
          <w:sz w:val="22"/>
        </w:rPr>
        <w:t> </w:t>
      </w:r>
      <w:r>
        <w:rPr>
          <w:i/>
          <w:sz w:val="22"/>
        </w:rPr>
        <w:t>de</w:t>
      </w:r>
      <w:r>
        <w:rPr>
          <w:i/>
          <w:spacing w:val="-7"/>
          <w:sz w:val="22"/>
        </w:rPr>
        <w:t> </w:t>
      </w:r>
      <w:r>
        <w:rPr>
          <w:i/>
          <w:sz w:val="22"/>
        </w:rPr>
        <w:t>la</w:t>
      </w:r>
      <w:r>
        <w:rPr>
          <w:i/>
          <w:spacing w:val="-8"/>
          <w:sz w:val="22"/>
        </w:rPr>
        <w:t> </w:t>
      </w:r>
      <w:r>
        <w:rPr>
          <w:i/>
          <w:sz w:val="22"/>
        </w:rPr>
        <w:t>presión</w:t>
      </w:r>
      <w:r>
        <w:rPr>
          <w:i/>
          <w:spacing w:val="-4"/>
          <w:sz w:val="22"/>
        </w:rPr>
        <w:t> </w:t>
      </w:r>
      <w:r>
        <w:rPr>
          <w:i/>
          <w:sz w:val="22"/>
        </w:rPr>
        <w:t>arterial</w:t>
      </w:r>
      <w:r>
        <w:rPr>
          <w:i/>
          <w:spacing w:val="-7"/>
          <w:sz w:val="22"/>
        </w:rPr>
        <w:t> </w:t>
      </w:r>
      <w:r>
        <w:rPr>
          <w:i/>
          <w:sz w:val="22"/>
        </w:rPr>
        <w:t>sistólica</w:t>
      </w:r>
      <w:r>
        <w:rPr>
          <w:i/>
          <w:spacing w:val="-4"/>
          <w:sz w:val="22"/>
        </w:rPr>
        <w:t> </w:t>
      </w:r>
      <w:r>
        <w:rPr>
          <w:i/>
          <w:sz w:val="22"/>
        </w:rPr>
        <w:t>basal</w:t>
      </w:r>
      <w:r>
        <w:rPr>
          <w:i/>
          <w:spacing w:val="-7"/>
          <w:sz w:val="22"/>
        </w:rPr>
        <w:t> </w:t>
      </w:r>
      <w:r>
        <w:rPr>
          <w:i/>
          <w:sz w:val="22"/>
        </w:rPr>
        <w:t>y</w:t>
      </w:r>
      <w:r>
        <w:rPr>
          <w:i/>
          <w:spacing w:val="-7"/>
          <w:sz w:val="22"/>
        </w:rPr>
        <w:t> </w:t>
      </w:r>
      <w:r>
        <w:rPr>
          <w:i/>
          <w:sz w:val="22"/>
        </w:rPr>
        <w:t>promedio</w:t>
      </w:r>
      <w:r>
        <w:rPr>
          <w:i/>
          <w:spacing w:val="-4"/>
          <w:sz w:val="22"/>
        </w:rPr>
        <w:t> </w:t>
      </w:r>
      <w:r>
        <w:rPr>
          <w:i/>
          <w:sz w:val="22"/>
        </w:rPr>
        <w:t>intraoperatorio</w:t>
      </w:r>
      <w:r>
        <w:rPr>
          <w:i/>
          <w:spacing w:val="-4"/>
          <w:sz w:val="22"/>
        </w:rPr>
        <w:t> </w:t>
      </w:r>
      <w:r>
        <w:rPr>
          <w:i/>
          <w:sz w:val="22"/>
        </w:rPr>
        <w:t>según</w:t>
      </w:r>
      <w:r>
        <w:rPr>
          <w:i/>
          <w:spacing w:val="-4"/>
          <w:sz w:val="22"/>
        </w:rPr>
        <w:t> </w:t>
      </w:r>
      <w:r>
        <w:rPr>
          <w:i/>
          <w:sz w:val="22"/>
        </w:rPr>
        <w:t>vía de administración de dexmedetomidina</w:t>
      </w:r>
    </w:p>
    <w:p>
      <w:pPr>
        <w:pStyle w:val="BodyText"/>
        <w:spacing w:before="10"/>
        <w:rPr>
          <w:i/>
          <w:sz w:val="18"/>
        </w:rPr>
      </w:pPr>
      <w:r>
        <w:rPr>
          <w:i/>
          <w:sz w:val="18"/>
        </w:rPr>
        <w:drawing>
          <wp:anchor distT="0" distB="0" distL="0" distR="0" allowOverlap="1" layoutInCell="1" locked="0" behindDoc="1" simplePos="0" relativeHeight="487595520">
            <wp:simplePos x="0" y="0"/>
            <wp:positionH relativeFrom="page">
              <wp:posOffset>1450404</wp:posOffset>
            </wp:positionH>
            <wp:positionV relativeFrom="paragraph">
              <wp:posOffset>153343</wp:posOffset>
            </wp:positionV>
            <wp:extent cx="4407573" cy="2635186"/>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17" cstate="print"/>
                    <a:stretch>
                      <a:fillRect/>
                    </a:stretch>
                  </pic:blipFill>
                  <pic:spPr>
                    <a:xfrm>
                      <a:off x="0" y="0"/>
                      <a:ext cx="4407573" cy="2635186"/>
                    </a:xfrm>
                    <a:prstGeom prst="rect">
                      <a:avLst/>
                    </a:prstGeom>
                  </pic:spPr>
                </pic:pic>
              </a:graphicData>
            </a:graphic>
          </wp:anchor>
        </w:drawing>
      </w:r>
    </w:p>
    <w:p>
      <w:pPr>
        <w:spacing w:before="195"/>
        <w:ind w:left="568" w:right="0" w:firstLine="0"/>
        <w:jc w:val="left"/>
        <w:rPr>
          <w:b/>
          <w:sz w:val="22"/>
        </w:rPr>
      </w:pPr>
      <w:bookmarkStart w:name="_bookmark58" w:id="59"/>
      <w:bookmarkEnd w:id="59"/>
      <w:r>
        <w:rPr/>
      </w:r>
      <w:r>
        <w:rPr>
          <w:b/>
          <w:sz w:val="22"/>
        </w:rPr>
        <w:t>Figura</w:t>
      </w:r>
      <w:r>
        <w:rPr>
          <w:b/>
          <w:spacing w:val="-3"/>
          <w:sz w:val="22"/>
        </w:rPr>
        <w:t> </w:t>
      </w:r>
      <w:r>
        <w:rPr>
          <w:b/>
          <w:spacing w:val="-5"/>
          <w:sz w:val="22"/>
        </w:rPr>
        <w:t>7.</w:t>
      </w:r>
    </w:p>
    <w:p>
      <w:pPr>
        <w:spacing w:line="360" w:lineRule="auto" w:before="127"/>
        <w:ind w:left="568" w:right="256" w:firstLine="0"/>
        <w:jc w:val="left"/>
        <w:rPr>
          <w:i/>
          <w:sz w:val="22"/>
        </w:rPr>
      </w:pPr>
      <w:r>
        <w:rPr>
          <w:i/>
          <w:sz w:val="22"/>
        </w:rPr>
        <w:t>Comparación</w:t>
      </w:r>
      <w:r>
        <w:rPr>
          <w:i/>
          <w:spacing w:val="-7"/>
          <w:sz w:val="22"/>
        </w:rPr>
        <w:t> </w:t>
      </w:r>
      <w:r>
        <w:rPr>
          <w:i/>
          <w:sz w:val="22"/>
        </w:rPr>
        <w:t>de</w:t>
      </w:r>
      <w:r>
        <w:rPr>
          <w:i/>
          <w:spacing w:val="-6"/>
          <w:sz w:val="22"/>
        </w:rPr>
        <w:t> </w:t>
      </w:r>
      <w:r>
        <w:rPr>
          <w:i/>
          <w:sz w:val="22"/>
        </w:rPr>
        <w:t>la</w:t>
      </w:r>
      <w:r>
        <w:rPr>
          <w:i/>
          <w:spacing w:val="-7"/>
          <w:sz w:val="22"/>
        </w:rPr>
        <w:t> </w:t>
      </w:r>
      <w:r>
        <w:rPr>
          <w:i/>
          <w:sz w:val="22"/>
        </w:rPr>
        <w:t>presión</w:t>
      </w:r>
      <w:r>
        <w:rPr>
          <w:i/>
          <w:spacing w:val="-4"/>
          <w:sz w:val="22"/>
        </w:rPr>
        <w:t> </w:t>
      </w:r>
      <w:r>
        <w:rPr>
          <w:i/>
          <w:sz w:val="22"/>
        </w:rPr>
        <w:t>arterial</w:t>
      </w:r>
      <w:r>
        <w:rPr>
          <w:i/>
          <w:spacing w:val="-6"/>
          <w:sz w:val="22"/>
        </w:rPr>
        <w:t> </w:t>
      </w:r>
      <w:r>
        <w:rPr>
          <w:i/>
          <w:sz w:val="22"/>
        </w:rPr>
        <w:t>diastólica</w:t>
      </w:r>
      <w:r>
        <w:rPr>
          <w:i/>
          <w:spacing w:val="-4"/>
          <w:sz w:val="22"/>
        </w:rPr>
        <w:t> </w:t>
      </w:r>
      <w:r>
        <w:rPr>
          <w:i/>
          <w:sz w:val="22"/>
        </w:rPr>
        <w:t>basal</w:t>
      </w:r>
      <w:r>
        <w:rPr>
          <w:i/>
          <w:spacing w:val="-6"/>
          <w:sz w:val="22"/>
        </w:rPr>
        <w:t> </w:t>
      </w:r>
      <w:r>
        <w:rPr>
          <w:i/>
          <w:sz w:val="22"/>
        </w:rPr>
        <w:t>y</w:t>
      </w:r>
      <w:r>
        <w:rPr>
          <w:i/>
          <w:spacing w:val="-10"/>
          <w:sz w:val="22"/>
        </w:rPr>
        <w:t> </w:t>
      </w:r>
      <w:r>
        <w:rPr>
          <w:i/>
          <w:sz w:val="22"/>
        </w:rPr>
        <w:t>promedio</w:t>
      </w:r>
      <w:r>
        <w:rPr>
          <w:i/>
          <w:spacing w:val="-7"/>
          <w:sz w:val="22"/>
        </w:rPr>
        <w:t> </w:t>
      </w:r>
      <w:r>
        <w:rPr>
          <w:i/>
          <w:sz w:val="22"/>
        </w:rPr>
        <w:t>intraoperatorio</w:t>
      </w:r>
      <w:r>
        <w:rPr>
          <w:i/>
          <w:spacing w:val="-4"/>
          <w:sz w:val="22"/>
        </w:rPr>
        <w:t> </w:t>
      </w:r>
      <w:r>
        <w:rPr>
          <w:i/>
          <w:sz w:val="22"/>
        </w:rPr>
        <w:t>según vía de administración de dexmedetomidina</w:t>
      </w:r>
    </w:p>
    <w:p>
      <w:pPr>
        <w:pStyle w:val="BodyText"/>
        <w:spacing w:before="9"/>
        <w:rPr>
          <w:i/>
          <w:sz w:val="18"/>
        </w:rPr>
      </w:pPr>
      <w:r>
        <w:rPr>
          <w:i/>
          <w:sz w:val="18"/>
        </w:rPr>
        <w:drawing>
          <wp:anchor distT="0" distB="0" distL="0" distR="0" allowOverlap="1" layoutInCell="1" locked="0" behindDoc="1" simplePos="0" relativeHeight="487596032">
            <wp:simplePos x="0" y="0"/>
            <wp:positionH relativeFrom="page">
              <wp:posOffset>1479580</wp:posOffset>
            </wp:positionH>
            <wp:positionV relativeFrom="paragraph">
              <wp:posOffset>152899</wp:posOffset>
            </wp:positionV>
            <wp:extent cx="4195188" cy="2413063"/>
            <wp:effectExtent l="0" t="0" r="0" b="0"/>
            <wp:wrapTopAndBottom/>
            <wp:docPr id="22" name="Image 22"/>
            <wp:cNvGraphicFramePr>
              <a:graphicFrameLocks/>
            </wp:cNvGraphicFramePr>
            <a:graphic>
              <a:graphicData uri="http://schemas.openxmlformats.org/drawingml/2006/picture">
                <pic:pic>
                  <pic:nvPicPr>
                    <pic:cNvPr id="22" name="Image 22"/>
                    <pic:cNvPicPr/>
                  </pic:nvPicPr>
                  <pic:blipFill>
                    <a:blip r:embed="rId18" cstate="print"/>
                    <a:stretch>
                      <a:fillRect/>
                    </a:stretch>
                  </pic:blipFill>
                  <pic:spPr>
                    <a:xfrm>
                      <a:off x="0" y="0"/>
                      <a:ext cx="4195188" cy="2413063"/>
                    </a:xfrm>
                    <a:prstGeom prst="rect">
                      <a:avLst/>
                    </a:prstGeom>
                  </pic:spPr>
                </pic:pic>
              </a:graphicData>
            </a:graphic>
          </wp:anchor>
        </w:drawing>
      </w:r>
    </w:p>
    <w:p>
      <w:pPr>
        <w:pStyle w:val="BodyText"/>
        <w:spacing w:after="0"/>
        <w:rPr>
          <w:i/>
          <w:sz w:val="18"/>
        </w:rPr>
        <w:sectPr>
          <w:pgSz w:w="11910" w:h="16840"/>
          <w:pgMar w:header="0" w:footer="1038" w:top="1620" w:bottom="1220" w:left="1700" w:right="1559"/>
        </w:sectPr>
      </w:pPr>
    </w:p>
    <w:p>
      <w:pPr>
        <w:spacing w:before="63"/>
        <w:ind w:left="568" w:right="0" w:firstLine="0"/>
        <w:jc w:val="both"/>
        <w:rPr>
          <w:b/>
          <w:sz w:val="22"/>
        </w:rPr>
      </w:pPr>
      <w:bookmarkStart w:name="_bookmark59" w:id="60"/>
      <w:bookmarkEnd w:id="60"/>
      <w:r>
        <w:rPr/>
      </w:r>
      <w:r>
        <w:rPr>
          <w:b/>
          <w:sz w:val="22"/>
        </w:rPr>
        <w:t>Figura</w:t>
      </w:r>
      <w:r>
        <w:rPr>
          <w:b/>
          <w:spacing w:val="-3"/>
          <w:sz w:val="22"/>
        </w:rPr>
        <w:t> </w:t>
      </w:r>
      <w:r>
        <w:rPr>
          <w:b/>
          <w:spacing w:val="-5"/>
          <w:sz w:val="22"/>
        </w:rPr>
        <w:t>8.</w:t>
      </w:r>
    </w:p>
    <w:p>
      <w:pPr>
        <w:spacing w:line="360" w:lineRule="auto" w:before="127"/>
        <w:ind w:left="568" w:right="201" w:firstLine="0"/>
        <w:jc w:val="both"/>
        <w:rPr>
          <w:i/>
          <w:sz w:val="22"/>
        </w:rPr>
      </w:pPr>
      <w:r>
        <w:rPr>
          <w:i/>
          <w:sz w:val="22"/>
        </w:rPr>
        <w:t>Comparación</w:t>
      </w:r>
      <w:r>
        <w:rPr>
          <w:i/>
          <w:spacing w:val="-7"/>
          <w:sz w:val="22"/>
        </w:rPr>
        <w:t> </w:t>
      </w:r>
      <w:r>
        <w:rPr>
          <w:i/>
          <w:sz w:val="22"/>
        </w:rPr>
        <w:t>de</w:t>
      </w:r>
      <w:r>
        <w:rPr>
          <w:i/>
          <w:spacing w:val="-6"/>
          <w:sz w:val="22"/>
        </w:rPr>
        <w:t> </w:t>
      </w:r>
      <w:r>
        <w:rPr>
          <w:i/>
          <w:sz w:val="22"/>
        </w:rPr>
        <w:t>la</w:t>
      </w:r>
      <w:r>
        <w:rPr>
          <w:i/>
          <w:spacing w:val="-7"/>
          <w:sz w:val="22"/>
        </w:rPr>
        <w:t> </w:t>
      </w:r>
      <w:r>
        <w:rPr>
          <w:i/>
          <w:sz w:val="22"/>
        </w:rPr>
        <w:t>presión</w:t>
      </w:r>
      <w:r>
        <w:rPr>
          <w:i/>
          <w:spacing w:val="-3"/>
          <w:sz w:val="22"/>
        </w:rPr>
        <w:t> </w:t>
      </w:r>
      <w:r>
        <w:rPr>
          <w:i/>
          <w:sz w:val="22"/>
        </w:rPr>
        <w:t>arterial</w:t>
      </w:r>
      <w:r>
        <w:rPr>
          <w:i/>
          <w:spacing w:val="-6"/>
          <w:sz w:val="22"/>
        </w:rPr>
        <w:t> </w:t>
      </w:r>
      <w:r>
        <w:rPr>
          <w:i/>
          <w:sz w:val="22"/>
        </w:rPr>
        <w:t>media</w:t>
      </w:r>
      <w:r>
        <w:rPr>
          <w:i/>
          <w:spacing w:val="-3"/>
          <w:sz w:val="22"/>
        </w:rPr>
        <w:t> </w:t>
      </w:r>
      <w:r>
        <w:rPr>
          <w:i/>
          <w:sz w:val="22"/>
        </w:rPr>
        <w:t>basal</w:t>
      </w:r>
      <w:r>
        <w:rPr>
          <w:i/>
          <w:spacing w:val="-6"/>
          <w:sz w:val="22"/>
        </w:rPr>
        <w:t> </w:t>
      </w:r>
      <w:r>
        <w:rPr>
          <w:i/>
          <w:sz w:val="22"/>
        </w:rPr>
        <w:t>y</w:t>
      </w:r>
      <w:r>
        <w:rPr>
          <w:i/>
          <w:spacing w:val="-6"/>
          <w:sz w:val="22"/>
        </w:rPr>
        <w:t> </w:t>
      </w:r>
      <w:r>
        <w:rPr>
          <w:i/>
          <w:sz w:val="22"/>
        </w:rPr>
        <w:t>promedio</w:t>
      </w:r>
      <w:r>
        <w:rPr>
          <w:i/>
          <w:spacing w:val="-3"/>
          <w:sz w:val="22"/>
        </w:rPr>
        <w:t> </w:t>
      </w:r>
      <w:r>
        <w:rPr>
          <w:i/>
          <w:sz w:val="22"/>
        </w:rPr>
        <w:t>intraoperatorio</w:t>
      </w:r>
      <w:r>
        <w:rPr>
          <w:i/>
          <w:spacing w:val="-3"/>
          <w:sz w:val="22"/>
        </w:rPr>
        <w:t> </w:t>
      </w:r>
      <w:r>
        <w:rPr>
          <w:i/>
          <w:sz w:val="22"/>
        </w:rPr>
        <w:t>según</w:t>
      </w:r>
      <w:r>
        <w:rPr>
          <w:i/>
          <w:spacing w:val="-7"/>
          <w:sz w:val="22"/>
        </w:rPr>
        <w:t> </w:t>
      </w:r>
      <w:r>
        <w:rPr>
          <w:i/>
          <w:sz w:val="22"/>
        </w:rPr>
        <w:t>vía</w:t>
      </w:r>
      <w:r>
        <w:rPr>
          <w:i/>
          <w:spacing w:val="-3"/>
          <w:sz w:val="22"/>
        </w:rPr>
        <w:t> </w:t>
      </w:r>
      <w:r>
        <w:rPr>
          <w:i/>
          <w:sz w:val="22"/>
        </w:rPr>
        <w:t>de administración de dexmedetomidina</w:t>
      </w:r>
    </w:p>
    <w:p>
      <w:pPr>
        <w:pStyle w:val="BodyText"/>
        <w:spacing w:before="10"/>
        <w:rPr>
          <w:i/>
          <w:sz w:val="18"/>
        </w:rPr>
      </w:pPr>
      <w:r>
        <w:rPr>
          <w:i/>
          <w:sz w:val="18"/>
        </w:rPr>
        <w:drawing>
          <wp:anchor distT="0" distB="0" distL="0" distR="0" allowOverlap="1" layoutInCell="1" locked="0" behindDoc="1" simplePos="0" relativeHeight="487596544">
            <wp:simplePos x="0" y="0"/>
            <wp:positionH relativeFrom="page">
              <wp:posOffset>1450131</wp:posOffset>
            </wp:positionH>
            <wp:positionV relativeFrom="paragraph">
              <wp:posOffset>153343</wp:posOffset>
            </wp:positionV>
            <wp:extent cx="4284310" cy="2635186"/>
            <wp:effectExtent l="0" t="0" r="0" b="0"/>
            <wp:wrapTopAndBottom/>
            <wp:docPr id="23" name="Image 23"/>
            <wp:cNvGraphicFramePr>
              <a:graphicFrameLocks/>
            </wp:cNvGraphicFramePr>
            <a:graphic>
              <a:graphicData uri="http://schemas.openxmlformats.org/drawingml/2006/picture">
                <pic:pic>
                  <pic:nvPicPr>
                    <pic:cNvPr id="23" name="Image 23"/>
                    <pic:cNvPicPr/>
                  </pic:nvPicPr>
                  <pic:blipFill>
                    <a:blip r:embed="rId19" cstate="print"/>
                    <a:stretch>
                      <a:fillRect/>
                    </a:stretch>
                  </pic:blipFill>
                  <pic:spPr>
                    <a:xfrm>
                      <a:off x="0" y="0"/>
                      <a:ext cx="4284310" cy="2635186"/>
                    </a:xfrm>
                    <a:prstGeom prst="rect">
                      <a:avLst/>
                    </a:prstGeom>
                  </pic:spPr>
                </pic:pic>
              </a:graphicData>
            </a:graphic>
          </wp:anchor>
        </w:drawing>
      </w:r>
    </w:p>
    <w:p>
      <w:pPr>
        <w:pStyle w:val="BodyText"/>
        <w:spacing w:before="147"/>
        <w:rPr>
          <w:i/>
          <w:sz w:val="22"/>
        </w:rPr>
      </w:pPr>
    </w:p>
    <w:p>
      <w:pPr>
        <w:pStyle w:val="BodyText"/>
        <w:spacing w:line="480" w:lineRule="auto"/>
        <w:ind w:left="568" w:right="136"/>
        <w:jc w:val="both"/>
      </w:pPr>
      <w:r>
        <w:rPr>
          <w:color w:val="0D0D0D"/>
        </w:rPr>
        <w:t>En el análisis de la presión arterial sistólica, diastólica y media se evidenció incrementos</w:t>
      </w:r>
      <w:r>
        <w:rPr>
          <w:color w:val="0D0D0D"/>
          <w:spacing w:val="-15"/>
        </w:rPr>
        <w:t> </w:t>
      </w:r>
      <w:r>
        <w:rPr>
          <w:color w:val="0D0D0D"/>
        </w:rPr>
        <w:t>leves</w:t>
      </w:r>
      <w:r>
        <w:rPr>
          <w:color w:val="0D0D0D"/>
          <w:spacing w:val="-15"/>
        </w:rPr>
        <w:t> </w:t>
      </w:r>
      <w:r>
        <w:rPr>
          <w:color w:val="0D0D0D"/>
        </w:rPr>
        <w:t>en</w:t>
      </w:r>
      <w:r>
        <w:rPr>
          <w:color w:val="0D0D0D"/>
          <w:spacing w:val="-15"/>
        </w:rPr>
        <w:t> </w:t>
      </w:r>
      <w:r>
        <w:rPr>
          <w:color w:val="0D0D0D"/>
        </w:rPr>
        <w:t>ambos</w:t>
      </w:r>
      <w:r>
        <w:rPr>
          <w:color w:val="0D0D0D"/>
          <w:spacing w:val="-15"/>
        </w:rPr>
        <w:t> </w:t>
      </w:r>
      <w:r>
        <w:rPr>
          <w:color w:val="0D0D0D"/>
        </w:rPr>
        <w:t>grupos</w:t>
      </w:r>
      <w:r>
        <w:rPr>
          <w:color w:val="0D0D0D"/>
          <w:spacing w:val="-15"/>
        </w:rPr>
        <w:t> </w:t>
      </w:r>
      <w:r>
        <w:rPr>
          <w:color w:val="0D0D0D"/>
        </w:rPr>
        <w:t>durante</w:t>
      </w:r>
      <w:r>
        <w:rPr>
          <w:color w:val="0D0D0D"/>
          <w:spacing w:val="-15"/>
        </w:rPr>
        <w:t> </w:t>
      </w:r>
      <w:r>
        <w:rPr>
          <w:color w:val="0D0D0D"/>
        </w:rPr>
        <w:t>el</w:t>
      </w:r>
      <w:r>
        <w:rPr>
          <w:color w:val="0D0D0D"/>
          <w:spacing w:val="-15"/>
        </w:rPr>
        <w:t> </w:t>
      </w:r>
      <w:r>
        <w:rPr>
          <w:color w:val="0D0D0D"/>
        </w:rPr>
        <w:t>periodo</w:t>
      </w:r>
      <w:r>
        <w:rPr>
          <w:color w:val="0D0D0D"/>
          <w:spacing w:val="-15"/>
        </w:rPr>
        <w:t> </w:t>
      </w:r>
      <w:r>
        <w:rPr>
          <w:color w:val="0D0D0D"/>
        </w:rPr>
        <w:t>intraoperatorio.</w:t>
      </w:r>
      <w:r>
        <w:rPr>
          <w:color w:val="0D0D0D"/>
          <w:spacing w:val="-15"/>
        </w:rPr>
        <w:t> </w:t>
      </w:r>
      <w:r>
        <w:rPr>
          <w:color w:val="0D0D0D"/>
        </w:rPr>
        <w:t>En</w:t>
      </w:r>
      <w:r>
        <w:rPr>
          <w:color w:val="0D0D0D"/>
          <w:spacing w:val="-15"/>
        </w:rPr>
        <w:t> </w:t>
      </w:r>
      <w:r>
        <w:rPr>
          <w:color w:val="0D0D0D"/>
        </w:rPr>
        <w:t>la</w:t>
      </w:r>
      <w:r>
        <w:rPr>
          <w:color w:val="0D0D0D"/>
          <w:spacing w:val="-15"/>
        </w:rPr>
        <w:t> </w:t>
      </w:r>
      <w:r>
        <w:rPr>
          <w:color w:val="0D0D0D"/>
        </w:rPr>
        <w:t>presión arterial</w:t>
      </w:r>
      <w:r>
        <w:rPr>
          <w:color w:val="0D0D0D"/>
          <w:spacing w:val="-6"/>
        </w:rPr>
        <w:t> </w:t>
      </w:r>
      <w:r>
        <w:rPr>
          <w:color w:val="0D0D0D"/>
        </w:rPr>
        <w:t>sistólica,</w:t>
      </w:r>
      <w:r>
        <w:rPr>
          <w:color w:val="0D0D0D"/>
          <w:spacing w:val="-7"/>
        </w:rPr>
        <w:t> </w:t>
      </w:r>
      <w:r>
        <w:rPr>
          <w:color w:val="0D0D0D"/>
        </w:rPr>
        <w:t>el</w:t>
      </w:r>
      <w:r>
        <w:rPr>
          <w:color w:val="0D0D0D"/>
          <w:spacing w:val="-6"/>
        </w:rPr>
        <w:t> </w:t>
      </w:r>
      <w:r>
        <w:rPr>
          <w:color w:val="0D0D0D"/>
        </w:rPr>
        <w:t>grupo</w:t>
      </w:r>
      <w:r>
        <w:rPr>
          <w:color w:val="0D0D0D"/>
          <w:spacing w:val="-6"/>
        </w:rPr>
        <w:t> </w:t>
      </w:r>
      <w:r>
        <w:rPr>
          <w:color w:val="0D0D0D"/>
        </w:rPr>
        <w:t>intramuscular</w:t>
      </w:r>
      <w:r>
        <w:rPr>
          <w:color w:val="0D0D0D"/>
          <w:spacing w:val="-6"/>
        </w:rPr>
        <w:t> </w:t>
      </w:r>
      <w:r>
        <w:rPr>
          <w:color w:val="0D0D0D"/>
        </w:rPr>
        <w:t>pasó</w:t>
      </w:r>
      <w:r>
        <w:rPr>
          <w:color w:val="0D0D0D"/>
          <w:spacing w:val="-7"/>
        </w:rPr>
        <w:t> </w:t>
      </w:r>
      <w:r>
        <w:rPr>
          <w:color w:val="0D0D0D"/>
        </w:rPr>
        <w:t>de</w:t>
      </w:r>
      <w:r>
        <w:rPr>
          <w:color w:val="0D0D0D"/>
          <w:spacing w:val="-5"/>
        </w:rPr>
        <w:t> </w:t>
      </w:r>
      <w:r>
        <w:rPr>
          <w:color w:val="0D0D0D"/>
        </w:rPr>
        <w:t>135,6</w:t>
      </w:r>
      <w:r>
        <w:rPr>
          <w:color w:val="0D0D0D"/>
          <w:spacing w:val="-7"/>
        </w:rPr>
        <w:t> </w:t>
      </w:r>
      <w:r>
        <w:rPr>
          <w:color w:val="0D0D0D"/>
        </w:rPr>
        <w:t>±</w:t>
      </w:r>
      <w:r>
        <w:rPr>
          <w:color w:val="0D0D0D"/>
          <w:spacing w:val="-6"/>
        </w:rPr>
        <w:t> </w:t>
      </w:r>
      <w:r>
        <w:rPr>
          <w:color w:val="0D0D0D"/>
        </w:rPr>
        <w:t>10,4</w:t>
      </w:r>
      <w:r>
        <w:rPr>
          <w:color w:val="0D0D0D"/>
          <w:spacing w:val="-7"/>
        </w:rPr>
        <w:t> </w:t>
      </w:r>
      <w:r>
        <w:rPr>
          <w:color w:val="0D0D0D"/>
        </w:rPr>
        <w:t>a</w:t>
      </w:r>
      <w:r>
        <w:rPr>
          <w:color w:val="0D0D0D"/>
          <w:spacing w:val="-5"/>
        </w:rPr>
        <w:t> </w:t>
      </w:r>
      <w:r>
        <w:rPr>
          <w:color w:val="0D0D0D"/>
        </w:rPr>
        <w:t>142,5</w:t>
      </w:r>
      <w:r>
        <w:rPr>
          <w:color w:val="0D0D0D"/>
          <w:spacing w:val="-7"/>
        </w:rPr>
        <w:t> </w:t>
      </w:r>
      <w:r>
        <w:rPr>
          <w:color w:val="0D0D0D"/>
        </w:rPr>
        <w:t>±</w:t>
      </w:r>
      <w:r>
        <w:rPr>
          <w:color w:val="0D0D0D"/>
          <w:spacing w:val="-6"/>
        </w:rPr>
        <w:t> </w:t>
      </w:r>
      <w:r>
        <w:rPr>
          <w:color w:val="0D0D0D"/>
        </w:rPr>
        <w:t>9,6</w:t>
      </w:r>
      <w:r>
        <w:rPr>
          <w:color w:val="0D0D0D"/>
          <w:spacing w:val="-7"/>
        </w:rPr>
        <w:t> </w:t>
      </w:r>
      <w:r>
        <w:rPr>
          <w:color w:val="0D0D0D"/>
        </w:rPr>
        <w:t>mmHg, con</w:t>
      </w:r>
      <w:r>
        <w:rPr>
          <w:color w:val="0D0D0D"/>
          <w:spacing w:val="-8"/>
        </w:rPr>
        <w:t> </w:t>
      </w:r>
      <w:r>
        <w:rPr>
          <w:color w:val="0D0D0D"/>
        </w:rPr>
        <w:t>una</w:t>
      </w:r>
      <w:r>
        <w:rPr>
          <w:color w:val="0D0D0D"/>
          <w:spacing w:val="-6"/>
        </w:rPr>
        <w:t> </w:t>
      </w:r>
      <w:r>
        <w:rPr>
          <w:color w:val="0D0D0D"/>
        </w:rPr>
        <w:t>diferencia</w:t>
      </w:r>
      <w:r>
        <w:rPr>
          <w:color w:val="0D0D0D"/>
          <w:spacing w:val="-6"/>
        </w:rPr>
        <w:t> </w:t>
      </w:r>
      <w:r>
        <w:rPr>
          <w:color w:val="0D0D0D"/>
        </w:rPr>
        <w:t>de</w:t>
      </w:r>
      <w:r>
        <w:rPr>
          <w:color w:val="0D0D0D"/>
          <w:spacing w:val="-6"/>
        </w:rPr>
        <w:t> </w:t>
      </w:r>
      <w:r>
        <w:rPr>
          <w:color w:val="0D0D0D"/>
        </w:rPr>
        <w:t>6,9</w:t>
      </w:r>
      <w:r>
        <w:rPr>
          <w:color w:val="0D0D0D"/>
          <w:spacing w:val="-8"/>
        </w:rPr>
        <w:t> </w:t>
      </w:r>
      <w:r>
        <w:rPr>
          <w:color w:val="0D0D0D"/>
        </w:rPr>
        <w:t>±</w:t>
      </w:r>
      <w:r>
        <w:rPr>
          <w:color w:val="0D0D0D"/>
          <w:spacing w:val="-7"/>
        </w:rPr>
        <w:t> </w:t>
      </w:r>
      <w:r>
        <w:rPr>
          <w:color w:val="0D0D0D"/>
        </w:rPr>
        <w:t>11,8</w:t>
      </w:r>
      <w:r>
        <w:rPr>
          <w:color w:val="0D0D0D"/>
          <w:spacing w:val="-8"/>
        </w:rPr>
        <w:t> </w:t>
      </w:r>
      <w:r>
        <w:rPr>
          <w:color w:val="0D0D0D"/>
        </w:rPr>
        <w:t>mmHg,</w:t>
      </w:r>
      <w:r>
        <w:rPr>
          <w:color w:val="0D0D0D"/>
          <w:spacing w:val="-8"/>
        </w:rPr>
        <w:t> </w:t>
      </w:r>
      <w:r>
        <w:rPr>
          <w:color w:val="0D0D0D"/>
        </w:rPr>
        <w:t>mientras</w:t>
      </w:r>
      <w:r>
        <w:rPr>
          <w:color w:val="0D0D0D"/>
          <w:spacing w:val="-9"/>
        </w:rPr>
        <w:t> </w:t>
      </w:r>
      <w:r>
        <w:rPr>
          <w:color w:val="0D0D0D"/>
        </w:rPr>
        <w:t>que</w:t>
      </w:r>
      <w:r>
        <w:rPr>
          <w:color w:val="0D0D0D"/>
          <w:spacing w:val="-6"/>
        </w:rPr>
        <w:t> </w:t>
      </w:r>
      <w:r>
        <w:rPr>
          <w:color w:val="0D0D0D"/>
        </w:rPr>
        <w:t>el</w:t>
      </w:r>
      <w:r>
        <w:rPr>
          <w:color w:val="0D0D0D"/>
          <w:spacing w:val="-7"/>
        </w:rPr>
        <w:t> </w:t>
      </w:r>
      <w:r>
        <w:rPr>
          <w:color w:val="0D0D0D"/>
        </w:rPr>
        <w:t>grupo</w:t>
      </w:r>
      <w:r>
        <w:rPr>
          <w:color w:val="0D0D0D"/>
          <w:spacing w:val="-7"/>
        </w:rPr>
        <w:t> </w:t>
      </w:r>
      <w:r>
        <w:rPr>
          <w:color w:val="0D0D0D"/>
        </w:rPr>
        <w:t>intravenoso</w:t>
      </w:r>
      <w:r>
        <w:rPr>
          <w:color w:val="0D0D0D"/>
          <w:spacing w:val="-8"/>
        </w:rPr>
        <w:t> </w:t>
      </w:r>
      <w:r>
        <w:rPr>
          <w:color w:val="0D0D0D"/>
        </w:rPr>
        <w:t>pasó de 139,1 ± 13,4 a 145,7 ± 8,6 mmHg, con una diferencia de 6,5 ± 5,3 mmHg. En la presión arterial diastólica, el grupo intramuscular aumentó de 84,0 ± 6,5 a 88,3 ± 5,7 mmHg, con una diferencia de 4,3 ± 8,2 mmHg, mientras que el grupo intravenoso</w:t>
      </w:r>
      <w:r>
        <w:rPr>
          <w:color w:val="0D0D0D"/>
          <w:spacing w:val="-3"/>
        </w:rPr>
        <w:t> </w:t>
      </w:r>
      <w:r>
        <w:rPr>
          <w:color w:val="0D0D0D"/>
        </w:rPr>
        <w:t>pasó</w:t>
      </w:r>
      <w:r>
        <w:rPr>
          <w:color w:val="0D0D0D"/>
          <w:spacing w:val="-3"/>
        </w:rPr>
        <w:t> </w:t>
      </w:r>
      <w:r>
        <w:rPr>
          <w:color w:val="0D0D0D"/>
        </w:rPr>
        <w:t>de</w:t>
      </w:r>
      <w:r>
        <w:rPr>
          <w:color w:val="0D0D0D"/>
          <w:spacing w:val="-2"/>
        </w:rPr>
        <w:t> </w:t>
      </w:r>
      <w:r>
        <w:rPr>
          <w:color w:val="0D0D0D"/>
        </w:rPr>
        <w:t>84,3</w:t>
      </w:r>
      <w:r>
        <w:rPr>
          <w:color w:val="0D0D0D"/>
          <w:spacing w:val="-3"/>
        </w:rPr>
        <w:t> </w:t>
      </w:r>
      <w:r>
        <w:rPr>
          <w:color w:val="0D0D0D"/>
        </w:rPr>
        <w:t>±</w:t>
      </w:r>
      <w:r>
        <w:rPr>
          <w:color w:val="0D0D0D"/>
          <w:spacing w:val="-7"/>
        </w:rPr>
        <w:t> </w:t>
      </w:r>
      <w:r>
        <w:rPr>
          <w:color w:val="0D0D0D"/>
        </w:rPr>
        <w:t>8,2</w:t>
      </w:r>
      <w:r>
        <w:rPr>
          <w:color w:val="0D0D0D"/>
          <w:spacing w:val="-3"/>
        </w:rPr>
        <w:t> </w:t>
      </w:r>
      <w:r>
        <w:rPr>
          <w:color w:val="0D0D0D"/>
        </w:rPr>
        <w:t>a</w:t>
      </w:r>
      <w:r>
        <w:rPr>
          <w:color w:val="0D0D0D"/>
          <w:spacing w:val="-6"/>
        </w:rPr>
        <w:t> </w:t>
      </w:r>
      <w:r>
        <w:rPr>
          <w:color w:val="0D0D0D"/>
        </w:rPr>
        <w:t>87,5</w:t>
      </w:r>
      <w:r>
        <w:rPr>
          <w:color w:val="0D0D0D"/>
          <w:spacing w:val="-3"/>
        </w:rPr>
        <w:t> </w:t>
      </w:r>
      <w:r>
        <w:rPr>
          <w:color w:val="0D0D0D"/>
        </w:rPr>
        <w:t>±</w:t>
      </w:r>
      <w:r>
        <w:rPr>
          <w:color w:val="0D0D0D"/>
          <w:spacing w:val="-3"/>
        </w:rPr>
        <w:t> </w:t>
      </w:r>
      <w:r>
        <w:rPr>
          <w:color w:val="0D0D0D"/>
        </w:rPr>
        <w:t>4,9</w:t>
      </w:r>
      <w:r>
        <w:rPr>
          <w:color w:val="0D0D0D"/>
          <w:spacing w:val="-3"/>
        </w:rPr>
        <w:t> </w:t>
      </w:r>
      <w:r>
        <w:rPr>
          <w:color w:val="0D0D0D"/>
        </w:rPr>
        <w:t>mmHg,</w:t>
      </w:r>
      <w:r>
        <w:rPr>
          <w:color w:val="0D0D0D"/>
          <w:spacing w:val="-3"/>
        </w:rPr>
        <w:t> </w:t>
      </w:r>
      <w:r>
        <w:rPr>
          <w:color w:val="0D0D0D"/>
        </w:rPr>
        <w:t>con</w:t>
      </w:r>
      <w:r>
        <w:rPr>
          <w:color w:val="0D0D0D"/>
          <w:spacing w:val="-3"/>
        </w:rPr>
        <w:t> </w:t>
      </w:r>
      <w:r>
        <w:rPr>
          <w:color w:val="0D0D0D"/>
        </w:rPr>
        <w:t>una</w:t>
      </w:r>
      <w:r>
        <w:rPr>
          <w:color w:val="0D0D0D"/>
          <w:spacing w:val="-2"/>
        </w:rPr>
        <w:t> </w:t>
      </w:r>
      <w:r>
        <w:rPr>
          <w:color w:val="0D0D0D"/>
        </w:rPr>
        <w:t>diferencia</w:t>
      </w:r>
      <w:r>
        <w:rPr>
          <w:color w:val="0D0D0D"/>
          <w:spacing w:val="-2"/>
        </w:rPr>
        <w:t> </w:t>
      </w:r>
      <w:r>
        <w:rPr>
          <w:color w:val="0D0D0D"/>
        </w:rPr>
        <w:t>de</w:t>
      </w:r>
      <w:r>
        <w:rPr>
          <w:color w:val="0D0D0D"/>
          <w:spacing w:val="-2"/>
        </w:rPr>
        <w:t> </w:t>
      </w:r>
      <w:r>
        <w:rPr>
          <w:color w:val="0D0D0D"/>
        </w:rPr>
        <w:t>3,2</w:t>
      </w:r>
      <w:r>
        <w:rPr>
          <w:color w:val="0D0D0D"/>
          <w:spacing w:val="-3"/>
        </w:rPr>
        <w:t> </w:t>
      </w:r>
      <w:r>
        <w:rPr>
          <w:color w:val="0D0D0D"/>
        </w:rPr>
        <w:t>±</w:t>
      </w:r>
      <w:r>
        <w:rPr>
          <w:color w:val="0D0D0D"/>
          <w:spacing w:val="-7"/>
        </w:rPr>
        <w:t> </w:t>
      </w:r>
      <w:r>
        <w:rPr>
          <w:color w:val="0D0D0D"/>
        </w:rPr>
        <w:t>4,1 mmHg. De igual manera, la presión arterial media mostró un comportamiento similar</w:t>
      </w:r>
      <w:r>
        <w:rPr>
          <w:color w:val="0D0D0D"/>
          <w:spacing w:val="-2"/>
        </w:rPr>
        <w:t> </w:t>
      </w:r>
      <w:r>
        <w:rPr>
          <w:color w:val="0D0D0D"/>
        </w:rPr>
        <w:t>entre</w:t>
      </w:r>
      <w:r>
        <w:rPr>
          <w:color w:val="0D0D0D"/>
          <w:spacing w:val="-1"/>
        </w:rPr>
        <w:t> </w:t>
      </w:r>
      <w:r>
        <w:rPr>
          <w:color w:val="0D0D0D"/>
        </w:rPr>
        <w:t>grupos,</w:t>
      </w:r>
      <w:r>
        <w:rPr>
          <w:color w:val="0D0D0D"/>
          <w:spacing w:val="-2"/>
        </w:rPr>
        <w:t> </w:t>
      </w:r>
      <w:r>
        <w:rPr>
          <w:color w:val="0D0D0D"/>
        </w:rPr>
        <w:t>ya</w:t>
      </w:r>
      <w:r>
        <w:rPr>
          <w:color w:val="0D0D0D"/>
          <w:spacing w:val="-1"/>
        </w:rPr>
        <w:t> </w:t>
      </w:r>
      <w:r>
        <w:rPr>
          <w:color w:val="0D0D0D"/>
        </w:rPr>
        <w:t>que</w:t>
      </w:r>
      <w:r>
        <w:rPr>
          <w:color w:val="0D0D0D"/>
          <w:spacing w:val="-1"/>
        </w:rPr>
        <w:t> </w:t>
      </w:r>
      <w:r>
        <w:rPr>
          <w:color w:val="0D0D0D"/>
        </w:rPr>
        <w:t>el</w:t>
      </w:r>
      <w:r>
        <w:rPr>
          <w:color w:val="0D0D0D"/>
          <w:spacing w:val="-1"/>
        </w:rPr>
        <w:t> </w:t>
      </w:r>
      <w:r>
        <w:rPr>
          <w:color w:val="0D0D0D"/>
        </w:rPr>
        <w:t>grupo</w:t>
      </w:r>
      <w:r>
        <w:rPr>
          <w:color w:val="0D0D0D"/>
          <w:spacing w:val="-2"/>
        </w:rPr>
        <w:t> </w:t>
      </w:r>
      <w:r>
        <w:rPr>
          <w:color w:val="0D0D0D"/>
        </w:rPr>
        <w:t>intramuscular</w:t>
      </w:r>
      <w:r>
        <w:rPr>
          <w:color w:val="0D0D0D"/>
          <w:spacing w:val="-2"/>
        </w:rPr>
        <w:t> </w:t>
      </w:r>
      <w:r>
        <w:rPr>
          <w:color w:val="0D0D0D"/>
        </w:rPr>
        <w:t>pasó</w:t>
      </w:r>
      <w:r>
        <w:rPr>
          <w:color w:val="0D0D0D"/>
          <w:spacing w:val="-2"/>
        </w:rPr>
        <w:t> </w:t>
      </w:r>
      <w:r>
        <w:rPr>
          <w:color w:val="0D0D0D"/>
        </w:rPr>
        <w:t>de</w:t>
      </w:r>
      <w:r>
        <w:rPr>
          <w:color w:val="0D0D0D"/>
          <w:spacing w:val="-1"/>
        </w:rPr>
        <w:t> </w:t>
      </w:r>
      <w:r>
        <w:rPr>
          <w:color w:val="0D0D0D"/>
        </w:rPr>
        <w:t>102,7</w:t>
      </w:r>
      <w:r>
        <w:rPr>
          <w:color w:val="0D0D0D"/>
          <w:spacing w:val="-2"/>
        </w:rPr>
        <w:t> </w:t>
      </w:r>
      <w:r>
        <w:rPr>
          <w:color w:val="0D0D0D"/>
        </w:rPr>
        <w:t>±</w:t>
      </w:r>
      <w:r>
        <w:rPr>
          <w:color w:val="0D0D0D"/>
          <w:spacing w:val="-2"/>
        </w:rPr>
        <w:t> </w:t>
      </w:r>
      <w:r>
        <w:rPr>
          <w:color w:val="0D0D0D"/>
        </w:rPr>
        <w:t>10,8</w:t>
      </w:r>
      <w:r>
        <w:rPr>
          <w:color w:val="0D0D0D"/>
          <w:spacing w:val="-2"/>
        </w:rPr>
        <w:t> </w:t>
      </w:r>
      <w:r>
        <w:rPr>
          <w:color w:val="0D0D0D"/>
        </w:rPr>
        <w:t>a</w:t>
      </w:r>
      <w:r>
        <w:rPr>
          <w:color w:val="0D0D0D"/>
          <w:spacing w:val="-1"/>
        </w:rPr>
        <w:t> </w:t>
      </w:r>
      <w:r>
        <w:rPr>
          <w:color w:val="0D0D0D"/>
        </w:rPr>
        <w:t>107,6</w:t>
      </w:r>
      <w:r>
        <w:rPr>
          <w:color w:val="0D0D0D"/>
          <w:spacing w:val="-2"/>
        </w:rPr>
        <w:t> </w:t>
      </w:r>
      <w:r>
        <w:rPr>
          <w:color w:val="0D0D0D"/>
        </w:rPr>
        <w:t>± 4,6 mmHg, con una diferencia de 4,9 ± 11,0 mmHg, mientras que el grupo intravenoso pasó de 103,0 ± 11,1 mmHg a 107,8 ± 6,6 mmHg, con una diferencia de 4,8 ± 5,0 mmHg.</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6"/>
        <w:jc w:val="both"/>
      </w:pPr>
      <w:r>
        <w:rPr>
          <w:color w:val="0D0D0D"/>
        </w:rPr>
        <w:t>Los resultados obtenidos muestran que la dexmedetomidina se relacionó con un aumento</w:t>
      </w:r>
      <w:r>
        <w:rPr>
          <w:color w:val="0D0D0D"/>
          <w:spacing w:val="-15"/>
        </w:rPr>
        <w:t> </w:t>
      </w:r>
      <w:r>
        <w:rPr>
          <w:color w:val="0D0D0D"/>
        </w:rPr>
        <w:t>leve</w:t>
      </w:r>
      <w:r>
        <w:rPr>
          <w:color w:val="0D0D0D"/>
          <w:spacing w:val="-13"/>
        </w:rPr>
        <w:t> </w:t>
      </w:r>
      <w:r>
        <w:rPr>
          <w:color w:val="0D0D0D"/>
        </w:rPr>
        <w:t>de</w:t>
      </w:r>
      <w:r>
        <w:rPr>
          <w:color w:val="0D0D0D"/>
          <w:spacing w:val="-13"/>
        </w:rPr>
        <w:t> </w:t>
      </w:r>
      <w:r>
        <w:rPr>
          <w:color w:val="0D0D0D"/>
        </w:rPr>
        <w:t>la</w:t>
      </w:r>
      <w:r>
        <w:rPr>
          <w:color w:val="0D0D0D"/>
          <w:spacing w:val="-13"/>
        </w:rPr>
        <w:t> </w:t>
      </w:r>
      <w:r>
        <w:rPr>
          <w:color w:val="0D0D0D"/>
        </w:rPr>
        <w:t>presión</w:t>
      </w:r>
      <w:r>
        <w:rPr>
          <w:color w:val="0D0D0D"/>
          <w:spacing w:val="-14"/>
        </w:rPr>
        <w:t> </w:t>
      </w:r>
      <w:r>
        <w:rPr>
          <w:color w:val="0D0D0D"/>
        </w:rPr>
        <w:t>arterial</w:t>
      </w:r>
      <w:r>
        <w:rPr>
          <w:color w:val="0D0D0D"/>
          <w:spacing w:val="-9"/>
        </w:rPr>
        <w:t> </w:t>
      </w:r>
      <w:r>
        <w:rPr>
          <w:color w:val="0D0D0D"/>
        </w:rPr>
        <w:t>para</w:t>
      </w:r>
      <w:r>
        <w:rPr>
          <w:color w:val="0D0D0D"/>
          <w:spacing w:val="-13"/>
        </w:rPr>
        <w:t> </w:t>
      </w:r>
      <w:r>
        <w:rPr>
          <w:color w:val="0D0D0D"/>
        </w:rPr>
        <w:t>ambos</w:t>
      </w:r>
      <w:r>
        <w:rPr>
          <w:color w:val="0D0D0D"/>
          <w:spacing w:val="-15"/>
        </w:rPr>
        <w:t> </w:t>
      </w:r>
      <w:r>
        <w:rPr>
          <w:color w:val="0D0D0D"/>
        </w:rPr>
        <w:t>protocolos,</w:t>
      </w:r>
      <w:r>
        <w:rPr>
          <w:color w:val="0D0D0D"/>
          <w:spacing w:val="-14"/>
        </w:rPr>
        <w:t> </w:t>
      </w:r>
      <w:r>
        <w:rPr>
          <w:color w:val="0D0D0D"/>
        </w:rPr>
        <w:t>sin</w:t>
      </w:r>
      <w:r>
        <w:rPr>
          <w:color w:val="0D0D0D"/>
          <w:spacing w:val="-14"/>
        </w:rPr>
        <w:t> </w:t>
      </w:r>
      <w:r>
        <w:rPr>
          <w:color w:val="0D0D0D"/>
        </w:rPr>
        <w:t>observarse</w:t>
      </w:r>
      <w:r>
        <w:rPr>
          <w:color w:val="0D0D0D"/>
          <w:spacing w:val="-13"/>
        </w:rPr>
        <w:t> </w:t>
      </w:r>
      <w:r>
        <w:rPr>
          <w:color w:val="0D0D0D"/>
        </w:rPr>
        <w:t>descensos compatibles con hipotensión clínica en la muestra evaluada. El comportamiento observado puede explicarse por la acción farmacológica de los agonistas α2-adrenérgicos, los cuales pueden producir vasoconstricción periférica inicial mediada por receptores α2B postsinápticos vasculares, lo que incrementa la resistencia</w:t>
      </w:r>
      <w:r>
        <w:rPr>
          <w:color w:val="0D0D0D"/>
          <w:spacing w:val="-15"/>
        </w:rPr>
        <w:t> </w:t>
      </w:r>
      <w:r>
        <w:rPr>
          <w:color w:val="0D0D0D"/>
        </w:rPr>
        <w:t>vascular</w:t>
      </w:r>
      <w:r>
        <w:rPr>
          <w:color w:val="0D0D0D"/>
          <w:spacing w:val="-15"/>
        </w:rPr>
        <w:t> </w:t>
      </w:r>
      <w:r>
        <w:rPr>
          <w:color w:val="0D0D0D"/>
        </w:rPr>
        <w:t>sistémica,</w:t>
      </w:r>
      <w:r>
        <w:rPr>
          <w:color w:val="0D0D0D"/>
          <w:spacing w:val="-15"/>
        </w:rPr>
        <w:t> </w:t>
      </w:r>
      <w:r>
        <w:rPr>
          <w:color w:val="0D0D0D"/>
        </w:rPr>
        <w:t>así</w:t>
      </w:r>
      <w:r>
        <w:rPr>
          <w:color w:val="0D0D0D"/>
          <w:spacing w:val="-15"/>
        </w:rPr>
        <w:t> </w:t>
      </w:r>
      <w:r>
        <w:rPr>
          <w:color w:val="0D0D0D"/>
        </w:rPr>
        <w:t>como</w:t>
      </w:r>
      <w:r>
        <w:rPr>
          <w:color w:val="0D0D0D"/>
          <w:spacing w:val="-15"/>
        </w:rPr>
        <w:t> </w:t>
      </w:r>
      <w:r>
        <w:rPr>
          <w:color w:val="0D0D0D"/>
        </w:rPr>
        <w:t>la</w:t>
      </w:r>
      <w:r>
        <w:rPr>
          <w:color w:val="0D0D0D"/>
          <w:spacing w:val="-15"/>
        </w:rPr>
        <w:t> </w:t>
      </w:r>
      <w:r>
        <w:rPr>
          <w:color w:val="0D0D0D"/>
        </w:rPr>
        <w:t>presión</w:t>
      </w:r>
      <w:r>
        <w:rPr>
          <w:color w:val="0D0D0D"/>
          <w:spacing w:val="-15"/>
        </w:rPr>
        <w:t> </w:t>
      </w:r>
      <w:r>
        <w:rPr>
          <w:color w:val="0D0D0D"/>
        </w:rPr>
        <w:t>arterial</w:t>
      </w:r>
      <w:r>
        <w:rPr>
          <w:color w:val="0D0D0D"/>
          <w:spacing w:val="-15"/>
        </w:rPr>
        <w:t> </w:t>
      </w:r>
      <w:r>
        <w:rPr>
          <w:color w:val="0D0D0D"/>
        </w:rPr>
        <w:t>durante</w:t>
      </w:r>
      <w:r>
        <w:rPr>
          <w:color w:val="0D0D0D"/>
          <w:spacing w:val="-15"/>
        </w:rPr>
        <w:t> </w:t>
      </w:r>
      <w:r>
        <w:rPr>
          <w:color w:val="0D0D0D"/>
        </w:rPr>
        <w:t>las</w:t>
      </w:r>
      <w:r>
        <w:rPr>
          <w:color w:val="0D0D0D"/>
          <w:spacing w:val="-15"/>
        </w:rPr>
        <w:t> </w:t>
      </w:r>
      <w:r>
        <w:rPr>
          <w:color w:val="0D0D0D"/>
        </w:rPr>
        <w:t>primeras</w:t>
      </w:r>
      <w:r>
        <w:rPr>
          <w:color w:val="0D0D0D"/>
          <w:spacing w:val="-15"/>
        </w:rPr>
        <w:t> </w:t>
      </w:r>
      <w:r>
        <w:rPr>
          <w:color w:val="0D0D0D"/>
        </w:rPr>
        <w:t>fases </w:t>
      </w:r>
      <w:r>
        <w:rPr>
          <w:color w:val="0D0D0D"/>
          <w:spacing w:val="-2"/>
        </w:rPr>
        <w:t>de</w:t>
      </w:r>
      <w:r>
        <w:rPr>
          <w:color w:val="0D0D0D"/>
          <w:spacing w:val="-12"/>
        </w:rPr>
        <w:t> </w:t>
      </w:r>
      <w:r>
        <w:rPr>
          <w:color w:val="0D0D0D"/>
          <w:spacing w:val="-2"/>
        </w:rPr>
        <w:t>su</w:t>
      </w:r>
      <w:r>
        <w:rPr>
          <w:color w:val="0D0D0D"/>
          <w:spacing w:val="-13"/>
        </w:rPr>
        <w:t> </w:t>
      </w:r>
      <w:r>
        <w:rPr>
          <w:color w:val="0D0D0D"/>
          <w:spacing w:val="-2"/>
        </w:rPr>
        <w:t>efecto</w:t>
      </w:r>
      <w:r>
        <w:rPr>
          <w:color w:val="0D0D0D"/>
          <w:spacing w:val="-13"/>
        </w:rPr>
        <w:t> </w:t>
      </w:r>
      <w:r>
        <w:rPr>
          <w:color w:val="0D0D0D"/>
          <w:spacing w:val="-2"/>
        </w:rPr>
        <w:t>(Pan</w:t>
      </w:r>
      <w:r>
        <w:rPr>
          <w:color w:val="0D0D0D"/>
          <w:spacing w:val="-13"/>
        </w:rPr>
        <w:t> </w:t>
      </w:r>
      <w:r>
        <w:rPr>
          <w:color w:val="0D0D0D"/>
          <w:spacing w:val="-2"/>
        </w:rPr>
        <w:t>et</w:t>
      </w:r>
      <w:r>
        <w:rPr>
          <w:color w:val="0D0D0D"/>
          <w:spacing w:val="-12"/>
        </w:rPr>
        <w:t> </w:t>
      </w:r>
      <w:r>
        <w:rPr>
          <w:color w:val="0D0D0D"/>
          <w:spacing w:val="-2"/>
        </w:rPr>
        <w:t>al.,</w:t>
      </w:r>
      <w:r>
        <w:rPr>
          <w:color w:val="0D0D0D"/>
          <w:spacing w:val="-13"/>
        </w:rPr>
        <w:t> </w:t>
      </w:r>
      <w:r>
        <w:rPr>
          <w:color w:val="0D0D0D"/>
          <w:spacing w:val="-2"/>
        </w:rPr>
        <w:t>2021).</w:t>
      </w:r>
      <w:r>
        <w:rPr>
          <w:color w:val="0D0D0D"/>
          <w:spacing w:val="-12"/>
        </w:rPr>
        <w:t> </w:t>
      </w:r>
      <w:r>
        <w:rPr>
          <w:color w:val="0D0D0D"/>
          <w:spacing w:val="-2"/>
        </w:rPr>
        <w:t>El</w:t>
      </w:r>
      <w:r>
        <w:rPr>
          <w:color w:val="0D0D0D"/>
          <w:spacing w:val="-11"/>
        </w:rPr>
        <w:t> </w:t>
      </w:r>
      <w:r>
        <w:rPr>
          <w:color w:val="0D0D0D"/>
          <w:spacing w:val="-2"/>
        </w:rPr>
        <w:t>incremento</w:t>
      </w:r>
      <w:r>
        <w:rPr>
          <w:color w:val="0D0D0D"/>
          <w:spacing w:val="-13"/>
        </w:rPr>
        <w:t> </w:t>
      </w:r>
      <w:r>
        <w:rPr>
          <w:color w:val="0D0D0D"/>
          <w:spacing w:val="-2"/>
        </w:rPr>
        <w:t>observado</w:t>
      </w:r>
      <w:r>
        <w:rPr>
          <w:color w:val="0D0D0D"/>
          <w:spacing w:val="-13"/>
        </w:rPr>
        <w:t> </w:t>
      </w:r>
      <w:r>
        <w:rPr>
          <w:color w:val="0D0D0D"/>
          <w:spacing w:val="-2"/>
        </w:rPr>
        <w:t>en</w:t>
      </w:r>
      <w:r>
        <w:rPr>
          <w:color w:val="0D0D0D"/>
          <w:spacing w:val="-13"/>
        </w:rPr>
        <w:t> </w:t>
      </w:r>
      <w:r>
        <w:rPr>
          <w:color w:val="0D0D0D"/>
          <w:spacing w:val="-2"/>
        </w:rPr>
        <w:t>PAS,</w:t>
      </w:r>
      <w:r>
        <w:rPr>
          <w:color w:val="0D0D0D"/>
          <w:spacing w:val="-13"/>
        </w:rPr>
        <w:t> </w:t>
      </w:r>
      <w:r>
        <w:rPr>
          <w:color w:val="0D0D0D"/>
          <w:spacing w:val="-2"/>
        </w:rPr>
        <w:t>PAD</w:t>
      </w:r>
      <w:r>
        <w:rPr>
          <w:color w:val="0D0D0D"/>
          <w:spacing w:val="-13"/>
        </w:rPr>
        <w:t> </w:t>
      </w:r>
      <w:r>
        <w:rPr>
          <w:color w:val="0D0D0D"/>
          <w:spacing w:val="-2"/>
        </w:rPr>
        <w:t>y</w:t>
      </w:r>
      <w:r>
        <w:rPr>
          <w:color w:val="0D0D0D"/>
          <w:spacing w:val="-9"/>
        </w:rPr>
        <w:t> </w:t>
      </w:r>
      <w:r>
        <w:rPr>
          <w:color w:val="0D0D0D"/>
          <w:spacing w:val="-2"/>
        </w:rPr>
        <w:t>PAM</w:t>
      </w:r>
      <w:r>
        <w:rPr>
          <w:color w:val="0D0D0D"/>
          <w:spacing w:val="-10"/>
        </w:rPr>
        <w:t> </w:t>
      </w:r>
      <w:r>
        <w:rPr>
          <w:color w:val="0D0D0D"/>
          <w:spacing w:val="-2"/>
        </w:rPr>
        <w:t>resulta </w:t>
      </w:r>
      <w:r>
        <w:rPr>
          <w:color w:val="0D0D0D"/>
        </w:rPr>
        <w:t>compatible con la respuesta vasopresora descrita para la dexmedetomidina, especialmente cuando se emplea dentro de protocolos anestésicos balanceados.</w:t>
      </w:r>
    </w:p>
    <w:p>
      <w:pPr>
        <w:pStyle w:val="BodyText"/>
        <w:spacing w:line="480" w:lineRule="auto" w:before="242"/>
        <w:ind w:left="568" w:right="137"/>
        <w:jc w:val="both"/>
      </w:pPr>
      <w:r>
        <w:rPr>
          <w:color w:val="0D0D0D"/>
        </w:rPr>
        <w:t>La presión arterial media se mantuvo por encima de los valores críticos asociados a</w:t>
      </w:r>
      <w:r>
        <w:rPr>
          <w:color w:val="0D0D0D"/>
          <w:spacing w:val="-7"/>
        </w:rPr>
        <w:t> </w:t>
      </w:r>
      <w:r>
        <w:rPr>
          <w:color w:val="0D0D0D"/>
        </w:rPr>
        <w:t>hipotensión</w:t>
      </w:r>
      <w:r>
        <w:rPr>
          <w:color w:val="0D0D0D"/>
          <w:spacing w:val="-11"/>
        </w:rPr>
        <w:t> </w:t>
      </w:r>
      <w:r>
        <w:rPr>
          <w:color w:val="0D0D0D"/>
        </w:rPr>
        <w:t>intraoperatoria,</w:t>
      </w:r>
      <w:r>
        <w:rPr>
          <w:color w:val="0D0D0D"/>
          <w:spacing w:val="-11"/>
        </w:rPr>
        <w:t> </w:t>
      </w:r>
      <w:r>
        <w:rPr>
          <w:color w:val="0D0D0D"/>
        </w:rPr>
        <w:t>lo</w:t>
      </w:r>
      <w:r>
        <w:rPr>
          <w:color w:val="0D0D0D"/>
          <w:spacing w:val="-9"/>
        </w:rPr>
        <w:t> </w:t>
      </w:r>
      <w:r>
        <w:rPr>
          <w:color w:val="0D0D0D"/>
        </w:rPr>
        <w:t>cual</w:t>
      </w:r>
      <w:r>
        <w:rPr>
          <w:color w:val="0D0D0D"/>
          <w:spacing w:val="-8"/>
        </w:rPr>
        <w:t> </w:t>
      </w:r>
      <w:r>
        <w:rPr>
          <w:color w:val="0D0D0D"/>
        </w:rPr>
        <w:t>resulta</w:t>
      </w:r>
      <w:r>
        <w:rPr>
          <w:color w:val="0D0D0D"/>
          <w:spacing w:val="-7"/>
        </w:rPr>
        <w:t> </w:t>
      </w:r>
      <w:r>
        <w:rPr>
          <w:color w:val="0D0D0D"/>
        </w:rPr>
        <w:t>relevante</w:t>
      </w:r>
      <w:r>
        <w:rPr>
          <w:color w:val="0D0D0D"/>
          <w:spacing w:val="-7"/>
        </w:rPr>
        <w:t> </w:t>
      </w:r>
      <w:r>
        <w:rPr>
          <w:color w:val="0D0D0D"/>
        </w:rPr>
        <w:t>porque</w:t>
      </w:r>
      <w:r>
        <w:rPr>
          <w:color w:val="0D0D0D"/>
          <w:spacing w:val="-11"/>
        </w:rPr>
        <w:t> </w:t>
      </w:r>
      <w:r>
        <w:rPr>
          <w:color w:val="0D0D0D"/>
        </w:rPr>
        <w:t>la</w:t>
      </w:r>
      <w:r>
        <w:rPr>
          <w:color w:val="0D0D0D"/>
          <w:spacing w:val="-7"/>
        </w:rPr>
        <w:t> </w:t>
      </w:r>
      <w:r>
        <w:rPr>
          <w:color w:val="0D0D0D"/>
        </w:rPr>
        <w:t>PAM</w:t>
      </w:r>
      <w:r>
        <w:rPr>
          <w:color w:val="0D0D0D"/>
          <w:spacing w:val="-10"/>
        </w:rPr>
        <w:t> </w:t>
      </w:r>
      <w:r>
        <w:rPr>
          <w:color w:val="0D0D0D"/>
        </w:rPr>
        <w:t>es</w:t>
      </w:r>
      <w:r>
        <w:rPr>
          <w:color w:val="0D0D0D"/>
          <w:spacing w:val="-10"/>
        </w:rPr>
        <w:t> </w:t>
      </w:r>
      <w:r>
        <w:rPr>
          <w:color w:val="0D0D0D"/>
        </w:rPr>
        <w:t>uno</w:t>
      </w:r>
      <w:r>
        <w:rPr>
          <w:color w:val="0D0D0D"/>
          <w:spacing w:val="-9"/>
        </w:rPr>
        <w:t> </w:t>
      </w:r>
      <w:r>
        <w:rPr>
          <w:color w:val="0D0D0D"/>
        </w:rPr>
        <w:t>de</w:t>
      </w:r>
      <w:r>
        <w:rPr>
          <w:color w:val="0D0D0D"/>
          <w:spacing w:val="-7"/>
        </w:rPr>
        <w:t> </w:t>
      </w:r>
      <w:r>
        <w:rPr>
          <w:color w:val="0D0D0D"/>
        </w:rPr>
        <w:t>los parámetros más utilizados en la valoración de la perfusión durante la anestesia general. En este estudio, tanto el grupo intramuscular como el intravenoso presentaron promedios</w:t>
      </w:r>
      <w:r>
        <w:rPr>
          <w:color w:val="0D0D0D"/>
          <w:spacing w:val="-1"/>
        </w:rPr>
        <w:t> </w:t>
      </w:r>
      <w:r>
        <w:rPr>
          <w:color w:val="0D0D0D"/>
        </w:rPr>
        <w:t>intraoperatorios</w:t>
      </w:r>
      <w:r>
        <w:rPr>
          <w:color w:val="0D0D0D"/>
          <w:spacing w:val="-1"/>
        </w:rPr>
        <w:t> </w:t>
      </w:r>
      <w:r>
        <w:rPr>
          <w:color w:val="0D0D0D"/>
        </w:rPr>
        <w:t>cercanos</w:t>
      </w:r>
      <w:r>
        <w:rPr>
          <w:color w:val="0D0D0D"/>
          <w:spacing w:val="-1"/>
        </w:rPr>
        <w:t> </w:t>
      </w:r>
      <w:r>
        <w:rPr>
          <w:color w:val="0D0D0D"/>
        </w:rPr>
        <w:t>a 108 mmHg, esto indica (Grubb et</w:t>
      </w:r>
      <w:r>
        <w:rPr>
          <w:color w:val="0D0D0D"/>
          <w:spacing w:val="-6"/>
        </w:rPr>
        <w:t> </w:t>
      </w:r>
      <w:r>
        <w:rPr>
          <w:color w:val="0D0D0D"/>
        </w:rPr>
        <w:t>al.,</w:t>
      </w:r>
      <w:r>
        <w:rPr>
          <w:color w:val="0D0D0D"/>
          <w:spacing w:val="-11"/>
        </w:rPr>
        <w:t> </w:t>
      </w:r>
      <w:r>
        <w:rPr>
          <w:color w:val="0D0D0D"/>
        </w:rPr>
        <w:t>2020)</w:t>
      </w:r>
      <w:r>
        <w:rPr>
          <w:color w:val="0D0D0D"/>
          <w:spacing w:val="-4"/>
        </w:rPr>
        <w:t> </w:t>
      </w:r>
      <w:r>
        <w:rPr>
          <w:color w:val="0D0D0D"/>
        </w:rPr>
        <w:t>que</w:t>
      </w:r>
      <w:r>
        <w:rPr>
          <w:color w:val="0D0D0D"/>
          <w:spacing w:val="-5"/>
        </w:rPr>
        <w:t> </w:t>
      </w:r>
      <w:r>
        <w:rPr>
          <w:color w:val="0D0D0D"/>
        </w:rPr>
        <w:t>no</w:t>
      </w:r>
      <w:r>
        <w:rPr>
          <w:color w:val="0D0D0D"/>
          <w:spacing w:val="-7"/>
        </w:rPr>
        <w:t> </w:t>
      </w:r>
      <w:r>
        <w:rPr>
          <w:color w:val="0D0D0D"/>
        </w:rPr>
        <w:t>hubo</w:t>
      </w:r>
      <w:r>
        <w:rPr>
          <w:color w:val="0D0D0D"/>
          <w:spacing w:val="-7"/>
        </w:rPr>
        <w:t> </w:t>
      </w:r>
      <w:r>
        <w:rPr>
          <w:color w:val="0D0D0D"/>
        </w:rPr>
        <w:t>una</w:t>
      </w:r>
      <w:r>
        <w:rPr>
          <w:color w:val="0D0D0D"/>
          <w:spacing w:val="-5"/>
        </w:rPr>
        <w:t> </w:t>
      </w:r>
      <w:r>
        <w:rPr>
          <w:color w:val="0D0D0D"/>
        </w:rPr>
        <w:t>reducción</w:t>
      </w:r>
      <w:r>
        <w:rPr>
          <w:color w:val="0D0D0D"/>
          <w:spacing w:val="-10"/>
        </w:rPr>
        <w:t> </w:t>
      </w:r>
      <w:r>
        <w:rPr>
          <w:color w:val="0D0D0D"/>
        </w:rPr>
        <w:t>marcada</w:t>
      </w:r>
      <w:r>
        <w:rPr>
          <w:color w:val="0D0D0D"/>
          <w:spacing w:val="-9"/>
        </w:rPr>
        <w:t> </w:t>
      </w:r>
      <w:r>
        <w:rPr>
          <w:color w:val="0D0D0D"/>
        </w:rPr>
        <w:t>de</w:t>
      </w:r>
      <w:r>
        <w:rPr>
          <w:color w:val="0D0D0D"/>
          <w:spacing w:val="-5"/>
        </w:rPr>
        <w:t> </w:t>
      </w:r>
      <w:r>
        <w:rPr>
          <w:color w:val="0D0D0D"/>
        </w:rPr>
        <w:t>la</w:t>
      </w:r>
      <w:r>
        <w:rPr>
          <w:color w:val="0D0D0D"/>
          <w:spacing w:val="-5"/>
        </w:rPr>
        <w:t> </w:t>
      </w:r>
      <w:r>
        <w:rPr>
          <w:color w:val="0D0D0D"/>
        </w:rPr>
        <w:t>presión</w:t>
      </w:r>
      <w:r>
        <w:rPr>
          <w:color w:val="0D0D0D"/>
          <w:spacing w:val="-7"/>
        </w:rPr>
        <w:t> </w:t>
      </w:r>
      <w:r>
        <w:rPr>
          <w:color w:val="0D0D0D"/>
        </w:rPr>
        <w:t>de</w:t>
      </w:r>
      <w:r>
        <w:rPr>
          <w:color w:val="0D0D0D"/>
          <w:spacing w:val="-5"/>
        </w:rPr>
        <w:t> </w:t>
      </w:r>
      <w:r>
        <w:rPr>
          <w:color w:val="0D0D0D"/>
        </w:rPr>
        <w:t>perfusión</w:t>
      </w:r>
      <w:r>
        <w:rPr>
          <w:color w:val="0D0D0D"/>
          <w:spacing w:val="-7"/>
        </w:rPr>
        <w:t> </w:t>
      </w:r>
      <w:r>
        <w:rPr>
          <w:color w:val="0D0D0D"/>
        </w:rPr>
        <w:t>durante el procedimiento.</w:t>
      </w:r>
    </w:p>
    <w:p>
      <w:pPr>
        <w:pStyle w:val="Heading3"/>
        <w:numPr>
          <w:ilvl w:val="2"/>
          <w:numId w:val="8"/>
        </w:numPr>
        <w:tabs>
          <w:tab w:pos="1288" w:val="left" w:leader="none"/>
        </w:tabs>
        <w:spacing w:line="240" w:lineRule="auto" w:before="1" w:after="0"/>
        <w:ind w:left="1288" w:right="0" w:hanging="720"/>
        <w:jc w:val="both"/>
      </w:pPr>
      <w:bookmarkStart w:name="_bookmark60" w:id="61"/>
      <w:bookmarkEnd w:id="61"/>
      <w:r>
        <w:rPr>
          <w:b w:val="0"/>
        </w:rPr>
      </w:r>
      <w:r>
        <w:rPr>
          <w:color w:val="0D0D0D"/>
        </w:rPr>
        <w:t>Saturación</w:t>
      </w:r>
      <w:r>
        <w:rPr>
          <w:color w:val="0D0D0D"/>
          <w:spacing w:val="-4"/>
        </w:rPr>
        <w:t> </w:t>
      </w:r>
      <w:r>
        <w:rPr>
          <w:color w:val="0D0D0D"/>
        </w:rPr>
        <w:t>parcial</w:t>
      </w:r>
      <w:r>
        <w:rPr>
          <w:color w:val="0D0D0D"/>
          <w:spacing w:val="-3"/>
        </w:rPr>
        <w:t> </w:t>
      </w:r>
      <w:r>
        <w:rPr>
          <w:color w:val="0D0D0D"/>
        </w:rPr>
        <w:t>de</w:t>
      </w:r>
      <w:r>
        <w:rPr>
          <w:color w:val="0D0D0D"/>
          <w:spacing w:val="-2"/>
        </w:rPr>
        <w:t> </w:t>
      </w:r>
      <w:r>
        <w:rPr>
          <w:color w:val="0D0D0D"/>
        </w:rPr>
        <w:t>oxígeno</w:t>
      </w:r>
      <w:r>
        <w:rPr>
          <w:color w:val="0D0D0D"/>
          <w:spacing w:val="-2"/>
        </w:rPr>
        <w:t> </w:t>
      </w:r>
      <w:r>
        <w:rPr>
          <w:color w:val="0D0D0D"/>
        </w:rPr>
        <w:t>(SpO₂,</w:t>
      </w:r>
      <w:r>
        <w:rPr>
          <w:color w:val="0D0D0D"/>
          <w:spacing w:val="-3"/>
        </w:rPr>
        <w:t> </w:t>
      </w:r>
      <w:r>
        <w:rPr>
          <w:color w:val="0D0D0D"/>
          <w:spacing w:val="-5"/>
        </w:rPr>
        <w:t>%)</w:t>
      </w:r>
    </w:p>
    <w:p>
      <w:pPr>
        <w:spacing w:before="275"/>
        <w:ind w:left="568" w:right="0" w:firstLine="0"/>
        <w:jc w:val="both"/>
        <w:rPr>
          <w:b/>
          <w:sz w:val="22"/>
        </w:rPr>
      </w:pPr>
      <w:bookmarkStart w:name="_bookmark61" w:id="62"/>
      <w:bookmarkEnd w:id="62"/>
      <w:r>
        <w:rPr/>
      </w:r>
      <w:r>
        <w:rPr>
          <w:b/>
          <w:spacing w:val="-2"/>
          <w:sz w:val="22"/>
        </w:rPr>
        <w:t>Tabla</w:t>
      </w:r>
      <w:r>
        <w:rPr>
          <w:b/>
          <w:spacing w:val="-10"/>
          <w:sz w:val="22"/>
        </w:rPr>
        <w:t> </w:t>
      </w:r>
      <w:r>
        <w:rPr>
          <w:b/>
          <w:spacing w:val="-5"/>
          <w:sz w:val="22"/>
        </w:rPr>
        <w:t>8.</w:t>
      </w:r>
    </w:p>
    <w:p>
      <w:pPr>
        <w:spacing w:line="360" w:lineRule="auto" w:before="127"/>
        <w:ind w:left="568" w:right="0" w:firstLine="0"/>
        <w:jc w:val="left"/>
        <w:rPr>
          <w:i/>
          <w:sz w:val="22"/>
        </w:rPr>
      </w:pPr>
      <w:r>
        <w:rPr>
          <w:i/>
          <w:sz w:val="22"/>
        </w:rPr>
        <w:t>Saturación</w:t>
      </w:r>
      <w:r>
        <w:rPr>
          <w:i/>
          <w:spacing w:val="-2"/>
          <w:sz w:val="22"/>
        </w:rPr>
        <w:t> </w:t>
      </w:r>
      <w:r>
        <w:rPr>
          <w:i/>
          <w:sz w:val="22"/>
        </w:rPr>
        <w:t>de</w:t>
      </w:r>
      <w:r>
        <w:rPr>
          <w:i/>
          <w:spacing w:val="-9"/>
          <w:sz w:val="22"/>
        </w:rPr>
        <w:t> </w:t>
      </w:r>
      <w:r>
        <w:rPr>
          <w:i/>
          <w:sz w:val="22"/>
        </w:rPr>
        <w:t>oxígeno</w:t>
      </w:r>
      <w:r>
        <w:rPr>
          <w:i/>
          <w:spacing w:val="-6"/>
          <w:sz w:val="22"/>
        </w:rPr>
        <w:t> </w:t>
      </w:r>
      <w:r>
        <w:rPr>
          <w:i/>
          <w:sz w:val="22"/>
        </w:rPr>
        <w:t>medida</w:t>
      </w:r>
      <w:r>
        <w:rPr>
          <w:i/>
          <w:spacing w:val="-6"/>
          <w:sz w:val="22"/>
        </w:rPr>
        <w:t> </w:t>
      </w:r>
      <w:r>
        <w:rPr>
          <w:i/>
          <w:sz w:val="22"/>
        </w:rPr>
        <w:t>por</w:t>
      </w:r>
      <w:r>
        <w:rPr>
          <w:i/>
          <w:spacing w:val="-5"/>
          <w:sz w:val="22"/>
        </w:rPr>
        <w:t> </w:t>
      </w:r>
      <w:r>
        <w:rPr>
          <w:i/>
          <w:sz w:val="22"/>
        </w:rPr>
        <w:t>pulsioximetría</w:t>
      </w:r>
      <w:r>
        <w:rPr>
          <w:i/>
          <w:spacing w:val="-2"/>
          <w:sz w:val="22"/>
        </w:rPr>
        <w:t> </w:t>
      </w:r>
      <w:r>
        <w:rPr>
          <w:i/>
          <w:sz w:val="22"/>
        </w:rPr>
        <w:t>según</w:t>
      </w:r>
      <w:r>
        <w:rPr>
          <w:i/>
          <w:spacing w:val="-2"/>
          <w:sz w:val="22"/>
        </w:rPr>
        <w:t> </w:t>
      </w:r>
      <w:r>
        <w:rPr>
          <w:i/>
          <w:sz w:val="22"/>
        </w:rPr>
        <w:t>vía</w:t>
      </w:r>
      <w:r>
        <w:rPr>
          <w:i/>
          <w:spacing w:val="-2"/>
          <w:sz w:val="22"/>
        </w:rPr>
        <w:t> </w:t>
      </w:r>
      <w:r>
        <w:rPr>
          <w:i/>
          <w:sz w:val="22"/>
        </w:rPr>
        <w:t>de</w:t>
      </w:r>
      <w:r>
        <w:rPr>
          <w:i/>
          <w:spacing w:val="-9"/>
          <w:sz w:val="22"/>
        </w:rPr>
        <w:t> </w:t>
      </w:r>
      <w:r>
        <w:rPr>
          <w:i/>
          <w:sz w:val="22"/>
        </w:rPr>
        <w:t>administración</w:t>
      </w:r>
      <w:r>
        <w:rPr>
          <w:i/>
          <w:spacing w:val="-2"/>
          <w:sz w:val="22"/>
        </w:rPr>
        <w:t> </w:t>
      </w:r>
      <w:r>
        <w:rPr>
          <w:i/>
          <w:sz w:val="22"/>
        </w:rPr>
        <w:t>de </w:t>
      </w:r>
      <w:r>
        <w:rPr>
          <w:i/>
          <w:spacing w:val="-2"/>
          <w:sz w:val="22"/>
        </w:rPr>
        <w:t>dexmedetomidina.</w:t>
      </w:r>
    </w:p>
    <w:p>
      <w:pPr>
        <w:pStyle w:val="BodyText"/>
        <w:spacing w:before="11"/>
        <w:rPr>
          <w:i/>
          <w:sz w:val="17"/>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4"/>
        <w:gridCol w:w="1833"/>
        <w:gridCol w:w="3454"/>
        <w:gridCol w:w="1469"/>
      </w:tblGrid>
      <w:tr>
        <w:trPr>
          <w:trHeight w:val="414" w:hRule="atLeast"/>
        </w:trPr>
        <w:tc>
          <w:tcPr>
            <w:tcW w:w="1264" w:type="dxa"/>
            <w:tcBorders>
              <w:top w:val="single" w:sz="4" w:space="0" w:color="000000"/>
              <w:bottom w:val="single" w:sz="4" w:space="0" w:color="000000"/>
            </w:tcBorders>
          </w:tcPr>
          <w:p>
            <w:pPr>
              <w:pStyle w:val="TableParagraph"/>
              <w:spacing w:line="275" w:lineRule="exact" w:before="0"/>
              <w:ind w:left="242"/>
              <w:jc w:val="left"/>
              <w:rPr>
                <w:b/>
                <w:sz w:val="24"/>
              </w:rPr>
            </w:pPr>
            <w:r>
              <w:rPr>
                <w:b/>
                <w:spacing w:val="-2"/>
                <w:sz w:val="24"/>
              </w:rPr>
              <w:t>Grupo</w:t>
            </w:r>
          </w:p>
        </w:tc>
        <w:tc>
          <w:tcPr>
            <w:tcW w:w="1833" w:type="dxa"/>
            <w:tcBorders>
              <w:top w:val="single" w:sz="4" w:space="0" w:color="000000"/>
              <w:bottom w:val="single" w:sz="4" w:space="0" w:color="000000"/>
            </w:tcBorders>
          </w:tcPr>
          <w:p>
            <w:pPr>
              <w:pStyle w:val="TableParagraph"/>
              <w:spacing w:line="275" w:lineRule="exact" w:before="0"/>
              <w:ind w:right="518"/>
              <w:jc w:val="right"/>
              <w:rPr>
                <w:b/>
                <w:sz w:val="24"/>
              </w:rPr>
            </w:pPr>
            <w:r>
              <w:rPr>
                <w:b/>
                <w:spacing w:val="-2"/>
                <w:sz w:val="24"/>
              </w:rPr>
              <w:t>Antes</w:t>
            </w:r>
          </w:p>
        </w:tc>
        <w:tc>
          <w:tcPr>
            <w:tcW w:w="3454" w:type="dxa"/>
            <w:tcBorders>
              <w:top w:val="single" w:sz="4" w:space="0" w:color="000000"/>
              <w:bottom w:val="single" w:sz="4" w:space="0" w:color="000000"/>
            </w:tcBorders>
          </w:tcPr>
          <w:p>
            <w:pPr>
              <w:pStyle w:val="TableParagraph"/>
              <w:spacing w:line="275" w:lineRule="exact" w:before="0"/>
              <w:ind w:right="287"/>
              <w:jc w:val="right"/>
              <w:rPr>
                <w:b/>
                <w:sz w:val="24"/>
              </w:rPr>
            </w:pPr>
            <w:r>
              <w:rPr>
                <w:b/>
                <w:sz w:val="24"/>
              </w:rPr>
              <w:t>Promedio</w:t>
            </w:r>
            <w:r>
              <w:rPr>
                <w:b/>
                <w:spacing w:val="2"/>
                <w:sz w:val="24"/>
              </w:rPr>
              <w:t> </w:t>
            </w:r>
            <w:r>
              <w:rPr>
                <w:b/>
                <w:spacing w:val="-2"/>
                <w:sz w:val="24"/>
              </w:rPr>
              <w:t>intraoperatorio</w:t>
            </w:r>
          </w:p>
        </w:tc>
        <w:tc>
          <w:tcPr>
            <w:tcW w:w="1469" w:type="dxa"/>
            <w:tcBorders>
              <w:top w:val="single" w:sz="4" w:space="0" w:color="000000"/>
              <w:bottom w:val="single" w:sz="4" w:space="0" w:color="000000"/>
            </w:tcBorders>
          </w:tcPr>
          <w:p>
            <w:pPr>
              <w:pStyle w:val="TableParagraph"/>
              <w:spacing w:line="275" w:lineRule="exact" w:before="0"/>
              <w:ind w:right="107"/>
              <w:jc w:val="right"/>
              <w:rPr>
                <w:b/>
                <w:sz w:val="24"/>
              </w:rPr>
            </w:pPr>
            <w:r>
              <w:rPr>
                <w:b/>
                <w:spacing w:val="-2"/>
                <w:sz w:val="24"/>
              </w:rPr>
              <w:t>Diferencia</w:t>
            </w:r>
          </w:p>
        </w:tc>
      </w:tr>
      <w:tr>
        <w:trPr>
          <w:trHeight w:val="350" w:hRule="atLeast"/>
        </w:trPr>
        <w:tc>
          <w:tcPr>
            <w:tcW w:w="1264" w:type="dxa"/>
            <w:tcBorders>
              <w:top w:val="single" w:sz="4" w:space="0" w:color="000000"/>
            </w:tcBorders>
          </w:tcPr>
          <w:p>
            <w:pPr>
              <w:pStyle w:val="TableParagraph"/>
              <w:spacing w:line="275" w:lineRule="exact" w:before="0"/>
              <w:ind w:left="114"/>
              <w:jc w:val="left"/>
              <w:rPr>
                <w:b/>
                <w:sz w:val="24"/>
              </w:rPr>
            </w:pPr>
            <w:r>
              <w:rPr>
                <w:b/>
                <w:spacing w:val="-5"/>
                <w:sz w:val="24"/>
              </w:rPr>
              <w:t>IM</w:t>
            </w:r>
          </w:p>
        </w:tc>
        <w:tc>
          <w:tcPr>
            <w:tcW w:w="1833" w:type="dxa"/>
            <w:tcBorders>
              <w:top w:val="single" w:sz="4" w:space="0" w:color="000000"/>
            </w:tcBorders>
          </w:tcPr>
          <w:p>
            <w:pPr>
              <w:pStyle w:val="TableParagraph"/>
              <w:spacing w:line="275" w:lineRule="exact" w:before="0"/>
              <w:ind w:right="516"/>
              <w:jc w:val="right"/>
              <w:rPr>
                <w:sz w:val="24"/>
              </w:rPr>
            </w:pPr>
            <w:r>
              <w:rPr>
                <w:sz w:val="24"/>
              </w:rPr>
              <w:t>98,3 ± </w:t>
            </w:r>
            <w:r>
              <w:rPr>
                <w:spacing w:val="-5"/>
                <w:sz w:val="24"/>
              </w:rPr>
              <w:t>0,6</w:t>
            </w:r>
          </w:p>
        </w:tc>
        <w:tc>
          <w:tcPr>
            <w:tcW w:w="3454" w:type="dxa"/>
            <w:tcBorders>
              <w:top w:val="single" w:sz="4" w:space="0" w:color="000000"/>
            </w:tcBorders>
          </w:tcPr>
          <w:p>
            <w:pPr>
              <w:pStyle w:val="TableParagraph"/>
              <w:spacing w:line="275" w:lineRule="exact" w:before="0"/>
              <w:ind w:right="289"/>
              <w:jc w:val="right"/>
              <w:rPr>
                <w:sz w:val="24"/>
              </w:rPr>
            </w:pPr>
            <w:r>
              <w:rPr>
                <w:sz w:val="24"/>
              </w:rPr>
              <w:t>97,8 ± </w:t>
            </w:r>
            <w:r>
              <w:rPr>
                <w:spacing w:val="-5"/>
                <w:sz w:val="24"/>
              </w:rPr>
              <w:t>1,1</w:t>
            </w:r>
          </w:p>
        </w:tc>
        <w:tc>
          <w:tcPr>
            <w:tcW w:w="1469" w:type="dxa"/>
            <w:tcBorders>
              <w:top w:val="single" w:sz="4" w:space="0" w:color="000000"/>
            </w:tcBorders>
          </w:tcPr>
          <w:p>
            <w:pPr>
              <w:pStyle w:val="TableParagraph"/>
              <w:spacing w:line="275" w:lineRule="exact" w:before="0"/>
              <w:ind w:right="109"/>
              <w:jc w:val="right"/>
              <w:rPr>
                <w:sz w:val="24"/>
              </w:rPr>
            </w:pPr>
            <w:r>
              <w:rPr>
                <w:sz w:val="24"/>
              </w:rPr>
              <w:t>-0,5 ± </w:t>
            </w:r>
            <w:r>
              <w:rPr>
                <w:spacing w:val="-5"/>
                <w:sz w:val="24"/>
              </w:rPr>
              <w:t>1,4</w:t>
            </w:r>
          </w:p>
        </w:tc>
      </w:tr>
      <w:tr>
        <w:trPr>
          <w:trHeight w:val="479" w:hRule="atLeast"/>
        </w:trPr>
        <w:tc>
          <w:tcPr>
            <w:tcW w:w="1264" w:type="dxa"/>
            <w:tcBorders>
              <w:bottom w:val="single" w:sz="4" w:space="0" w:color="000000"/>
            </w:tcBorders>
          </w:tcPr>
          <w:p>
            <w:pPr>
              <w:pStyle w:val="TableParagraph"/>
              <w:spacing w:before="65"/>
              <w:ind w:left="114"/>
              <w:jc w:val="left"/>
              <w:rPr>
                <w:b/>
                <w:sz w:val="24"/>
              </w:rPr>
            </w:pPr>
            <w:r>
              <w:rPr>
                <w:b/>
                <w:spacing w:val="-5"/>
                <w:sz w:val="24"/>
              </w:rPr>
              <w:t>IV</w:t>
            </w:r>
          </w:p>
        </w:tc>
        <w:tc>
          <w:tcPr>
            <w:tcW w:w="1833" w:type="dxa"/>
            <w:tcBorders>
              <w:bottom w:val="single" w:sz="4" w:space="0" w:color="000000"/>
            </w:tcBorders>
          </w:tcPr>
          <w:p>
            <w:pPr>
              <w:pStyle w:val="TableParagraph"/>
              <w:spacing w:before="65"/>
              <w:ind w:right="516"/>
              <w:jc w:val="right"/>
              <w:rPr>
                <w:sz w:val="24"/>
              </w:rPr>
            </w:pPr>
            <w:r>
              <w:rPr>
                <w:sz w:val="24"/>
              </w:rPr>
              <w:t>98,8 ± </w:t>
            </w:r>
            <w:r>
              <w:rPr>
                <w:spacing w:val="-5"/>
                <w:sz w:val="24"/>
              </w:rPr>
              <w:t>0,6</w:t>
            </w:r>
          </w:p>
        </w:tc>
        <w:tc>
          <w:tcPr>
            <w:tcW w:w="3454" w:type="dxa"/>
            <w:tcBorders>
              <w:bottom w:val="single" w:sz="4" w:space="0" w:color="000000"/>
            </w:tcBorders>
          </w:tcPr>
          <w:p>
            <w:pPr>
              <w:pStyle w:val="TableParagraph"/>
              <w:spacing w:before="65"/>
              <w:ind w:right="289"/>
              <w:jc w:val="right"/>
              <w:rPr>
                <w:sz w:val="24"/>
              </w:rPr>
            </w:pPr>
            <w:r>
              <w:rPr>
                <w:sz w:val="24"/>
              </w:rPr>
              <w:t>98,0 ± </w:t>
            </w:r>
            <w:r>
              <w:rPr>
                <w:spacing w:val="-5"/>
                <w:sz w:val="24"/>
              </w:rPr>
              <w:t>1,5</w:t>
            </w:r>
          </w:p>
        </w:tc>
        <w:tc>
          <w:tcPr>
            <w:tcW w:w="1469" w:type="dxa"/>
            <w:tcBorders>
              <w:bottom w:val="single" w:sz="4" w:space="0" w:color="000000"/>
            </w:tcBorders>
          </w:tcPr>
          <w:p>
            <w:pPr>
              <w:pStyle w:val="TableParagraph"/>
              <w:spacing w:before="65"/>
              <w:ind w:right="109"/>
              <w:jc w:val="right"/>
              <w:rPr>
                <w:sz w:val="24"/>
              </w:rPr>
            </w:pPr>
            <w:r>
              <w:rPr>
                <w:sz w:val="24"/>
              </w:rPr>
              <w:t>-0,8 ± </w:t>
            </w:r>
            <w:r>
              <w:rPr>
                <w:spacing w:val="-5"/>
                <w:sz w:val="24"/>
              </w:rPr>
              <w:t>1,6</w:t>
            </w:r>
          </w:p>
        </w:tc>
      </w:tr>
    </w:tbl>
    <w:p>
      <w:pPr>
        <w:pStyle w:val="TableParagraph"/>
        <w:spacing w:after="0"/>
        <w:jc w:val="right"/>
        <w:rPr>
          <w:sz w:val="24"/>
        </w:rPr>
        <w:sectPr>
          <w:pgSz w:w="11910" w:h="16840"/>
          <w:pgMar w:header="0" w:footer="1038" w:top="1620" w:bottom="1220" w:left="1700" w:right="1559"/>
        </w:sectPr>
      </w:pPr>
    </w:p>
    <w:p>
      <w:pPr>
        <w:spacing w:before="63"/>
        <w:ind w:left="568" w:right="0" w:firstLine="0"/>
        <w:jc w:val="left"/>
        <w:rPr>
          <w:b/>
          <w:sz w:val="22"/>
        </w:rPr>
      </w:pPr>
      <w:bookmarkStart w:name="_bookmark62" w:id="63"/>
      <w:bookmarkEnd w:id="63"/>
      <w:r>
        <w:rPr/>
      </w:r>
      <w:r>
        <w:rPr>
          <w:b/>
          <w:sz w:val="22"/>
        </w:rPr>
        <w:t>Figura</w:t>
      </w:r>
      <w:r>
        <w:rPr>
          <w:b/>
          <w:spacing w:val="-3"/>
          <w:sz w:val="22"/>
        </w:rPr>
        <w:t> </w:t>
      </w:r>
      <w:r>
        <w:rPr>
          <w:b/>
          <w:spacing w:val="-5"/>
          <w:sz w:val="22"/>
        </w:rPr>
        <w:t>9.</w:t>
      </w:r>
    </w:p>
    <w:p>
      <w:pPr>
        <w:spacing w:line="360" w:lineRule="auto" w:before="127"/>
        <w:ind w:left="568" w:right="256" w:firstLine="0"/>
        <w:jc w:val="left"/>
        <w:rPr>
          <w:sz w:val="22"/>
        </w:rPr>
      </w:pPr>
      <w:r>
        <w:rPr>
          <w:i/>
          <w:sz w:val="22"/>
        </w:rPr>
        <w:t>Comparación</w:t>
      </w:r>
      <w:r>
        <w:rPr>
          <w:i/>
          <w:spacing w:val="-8"/>
          <w:sz w:val="22"/>
        </w:rPr>
        <w:t> </w:t>
      </w:r>
      <w:r>
        <w:rPr>
          <w:i/>
          <w:sz w:val="22"/>
        </w:rPr>
        <w:t>de</w:t>
      </w:r>
      <w:r>
        <w:rPr>
          <w:i/>
          <w:spacing w:val="-7"/>
          <w:sz w:val="22"/>
        </w:rPr>
        <w:t> </w:t>
      </w:r>
      <w:r>
        <w:rPr>
          <w:i/>
          <w:sz w:val="22"/>
        </w:rPr>
        <w:t>la</w:t>
      </w:r>
      <w:r>
        <w:rPr>
          <w:i/>
          <w:spacing w:val="-8"/>
          <w:sz w:val="22"/>
        </w:rPr>
        <w:t> </w:t>
      </w:r>
      <w:r>
        <w:rPr>
          <w:i/>
          <w:sz w:val="22"/>
        </w:rPr>
        <w:t>saturación</w:t>
      </w:r>
      <w:r>
        <w:rPr>
          <w:i/>
          <w:spacing w:val="-4"/>
          <w:sz w:val="22"/>
        </w:rPr>
        <w:t> </w:t>
      </w:r>
      <w:r>
        <w:rPr>
          <w:i/>
          <w:sz w:val="22"/>
        </w:rPr>
        <w:t>parcial</w:t>
      </w:r>
      <w:r>
        <w:rPr>
          <w:i/>
          <w:spacing w:val="-7"/>
          <w:sz w:val="22"/>
        </w:rPr>
        <w:t> </w:t>
      </w:r>
      <w:r>
        <w:rPr>
          <w:i/>
          <w:sz w:val="22"/>
        </w:rPr>
        <w:t>de</w:t>
      </w:r>
      <w:r>
        <w:rPr>
          <w:i/>
          <w:spacing w:val="-7"/>
          <w:sz w:val="22"/>
        </w:rPr>
        <w:t> </w:t>
      </w:r>
      <w:r>
        <w:rPr>
          <w:i/>
          <w:sz w:val="22"/>
        </w:rPr>
        <w:t>ocigeno</w:t>
      </w:r>
      <w:r>
        <w:rPr>
          <w:i/>
          <w:spacing w:val="-1"/>
          <w:sz w:val="22"/>
        </w:rPr>
        <w:t> </w:t>
      </w:r>
      <w:r>
        <w:rPr>
          <w:i/>
          <w:sz w:val="22"/>
        </w:rPr>
        <w:t>basal</w:t>
      </w:r>
      <w:r>
        <w:rPr>
          <w:i/>
          <w:spacing w:val="-7"/>
          <w:sz w:val="22"/>
        </w:rPr>
        <w:t> </w:t>
      </w:r>
      <w:r>
        <w:rPr>
          <w:i/>
          <w:sz w:val="22"/>
        </w:rPr>
        <w:t>y</w:t>
      </w:r>
      <w:r>
        <w:rPr>
          <w:i/>
          <w:spacing w:val="-7"/>
          <w:sz w:val="22"/>
        </w:rPr>
        <w:t> </w:t>
      </w:r>
      <w:r>
        <w:rPr>
          <w:i/>
          <w:sz w:val="22"/>
        </w:rPr>
        <w:t>promedio</w:t>
      </w:r>
      <w:r>
        <w:rPr>
          <w:i/>
          <w:spacing w:val="-4"/>
          <w:sz w:val="22"/>
        </w:rPr>
        <w:t> </w:t>
      </w:r>
      <w:r>
        <w:rPr>
          <w:i/>
          <w:sz w:val="22"/>
        </w:rPr>
        <w:t>intraoperatorio según vía de administración de dexmedetomidina</w:t>
      </w:r>
      <w:r>
        <w:rPr>
          <w:sz w:val="22"/>
        </w:rPr>
        <w:t>.</w:t>
      </w:r>
    </w:p>
    <w:p>
      <w:pPr>
        <w:pStyle w:val="BodyText"/>
        <w:spacing w:before="10"/>
        <w:rPr>
          <w:sz w:val="18"/>
        </w:rPr>
      </w:pPr>
      <w:r>
        <w:rPr>
          <w:sz w:val="18"/>
        </w:rPr>
        <w:drawing>
          <wp:anchor distT="0" distB="0" distL="0" distR="0" allowOverlap="1" layoutInCell="1" locked="0" behindDoc="1" simplePos="0" relativeHeight="487597056">
            <wp:simplePos x="0" y="0"/>
            <wp:positionH relativeFrom="page">
              <wp:posOffset>1465003</wp:posOffset>
            </wp:positionH>
            <wp:positionV relativeFrom="paragraph">
              <wp:posOffset>153343</wp:posOffset>
            </wp:positionV>
            <wp:extent cx="4300495" cy="2708910"/>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20" cstate="print"/>
                    <a:stretch>
                      <a:fillRect/>
                    </a:stretch>
                  </pic:blipFill>
                  <pic:spPr>
                    <a:xfrm>
                      <a:off x="0" y="0"/>
                      <a:ext cx="4300495" cy="2708910"/>
                    </a:xfrm>
                    <a:prstGeom prst="rect">
                      <a:avLst/>
                    </a:prstGeom>
                  </pic:spPr>
                </pic:pic>
              </a:graphicData>
            </a:graphic>
          </wp:anchor>
        </w:drawing>
      </w:r>
    </w:p>
    <w:p>
      <w:pPr>
        <w:pStyle w:val="BodyText"/>
        <w:spacing w:before="115"/>
        <w:rPr>
          <w:sz w:val="22"/>
        </w:rPr>
      </w:pPr>
    </w:p>
    <w:p>
      <w:pPr>
        <w:pStyle w:val="BodyText"/>
        <w:spacing w:line="480" w:lineRule="auto"/>
        <w:ind w:left="568" w:right="139"/>
        <w:jc w:val="both"/>
      </w:pPr>
      <w:r>
        <w:rPr>
          <w:color w:val="0D0D0D"/>
        </w:rPr>
        <w:t>La</w:t>
      </w:r>
      <w:r>
        <w:rPr>
          <w:color w:val="0D0D0D"/>
          <w:spacing w:val="-10"/>
        </w:rPr>
        <w:t> </w:t>
      </w:r>
      <w:r>
        <w:rPr>
          <w:color w:val="0D0D0D"/>
        </w:rPr>
        <w:t>saturación</w:t>
      </w:r>
      <w:r>
        <w:rPr>
          <w:color w:val="0D0D0D"/>
          <w:spacing w:val="-11"/>
        </w:rPr>
        <w:t> </w:t>
      </w:r>
      <w:r>
        <w:rPr>
          <w:color w:val="0D0D0D"/>
        </w:rPr>
        <w:t>de</w:t>
      </w:r>
      <w:r>
        <w:rPr>
          <w:color w:val="0D0D0D"/>
          <w:spacing w:val="-8"/>
        </w:rPr>
        <w:t> </w:t>
      </w:r>
      <w:r>
        <w:rPr>
          <w:color w:val="0D0D0D"/>
        </w:rPr>
        <w:t>parcial</w:t>
      </w:r>
      <w:r>
        <w:rPr>
          <w:color w:val="0D0D0D"/>
          <w:spacing w:val="-10"/>
        </w:rPr>
        <w:t> </w:t>
      </w:r>
      <w:r>
        <w:rPr>
          <w:color w:val="0D0D0D"/>
        </w:rPr>
        <w:t>de</w:t>
      </w:r>
      <w:r>
        <w:rPr>
          <w:color w:val="0D0D0D"/>
          <w:spacing w:val="-10"/>
        </w:rPr>
        <w:t> </w:t>
      </w:r>
      <w:r>
        <w:rPr>
          <w:color w:val="0D0D0D"/>
        </w:rPr>
        <w:t>oxígeno</w:t>
      </w:r>
      <w:r>
        <w:rPr>
          <w:color w:val="0D0D0D"/>
          <w:spacing w:val="-9"/>
        </w:rPr>
        <w:t> </w:t>
      </w:r>
      <w:r>
        <w:rPr>
          <w:color w:val="0D0D0D"/>
        </w:rPr>
        <w:t>presentó</w:t>
      </w:r>
      <w:r>
        <w:rPr>
          <w:color w:val="0D0D0D"/>
          <w:spacing w:val="-11"/>
        </w:rPr>
        <w:t> </w:t>
      </w:r>
      <w:r>
        <w:rPr>
          <w:color w:val="0D0D0D"/>
        </w:rPr>
        <w:t>variaciones</w:t>
      </w:r>
      <w:r>
        <w:rPr>
          <w:color w:val="0D0D0D"/>
          <w:spacing w:val="-13"/>
        </w:rPr>
        <w:t> </w:t>
      </w:r>
      <w:r>
        <w:rPr>
          <w:color w:val="0D0D0D"/>
        </w:rPr>
        <w:t>mínimas</w:t>
      </w:r>
      <w:r>
        <w:rPr>
          <w:color w:val="0D0D0D"/>
          <w:spacing w:val="-13"/>
        </w:rPr>
        <w:t> </w:t>
      </w:r>
      <w:r>
        <w:rPr>
          <w:color w:val="0D0D0D"/>
        </w:rPr>
        <w:t>en</w:t>
      </w:r>
      <w:r>
        <w:rPr>
          <w:color w:val="0D0D0D"/>
          <w:spacing w:val="-14"/>
        </w:rPr>
        <w:t> </w:t>
      </w:r>
      <w:r>
        <w:rPr>
          <w:color w:val="0D0D0D"/>
        </w:rPr>
        <w:t>ambos</w:t>
      </w:r>
      <w:r>
        <w:rPr>
          <w:color w:val="0D0D0D"/>
          <w:spacing w:val="-13"/>
        </w:rPr>
        <w:t> </w:t>
      </w:r>
      <w:r>
        <w:rPr>
          <w:color w:val="0D0D0D"/>
        </w:rPr>
        <w:t>grupos durante</w:t>
      </w:r>
      <w:r>
        <w:rPr>
          <w:color w:val="0D0D0D"/>
          <w:spacing w:val="-2"/>
        </w:rPr>
        <w:t> </w:t>
      </w:r>
      <w:r>
        <w:rPr>
          <w:color w:val="0D0D0D"/>
        </w:rPr>
        <w:t>el periodo intraoperatorio.</w:t>
      </w:r>
      <w:r>
        <w:rPr>
          <w:color w:val="0D0D0D"/>
          <w:spacing w:val="-3"/>
        </w:rPr>
        <w:t> </w:t>
      </w:r>
      <w:r>
        <w:rPr>
          <w:color w:val="0D0D0D"/>
        </w:rPr>
        <w:t>En el grupo intramuscular, el</w:t>
      </w:r>
      <w:r>
        <w:rPr>
          <w:color w:val="0D0D0D"/>
          <w:spacing w:val="-2"/>
        </w:rPr>
        <w:t> </w:t>
      </w:r>
      <w:r>
        <w:rPr>
          <w:color w:val="0D0D0D"/>
        </w:rPr>
        <w:t>valor basal fue de 98,3 ± 0,6 %, mientras que el promedio intraoperatorio fue de 97,8 ± 1,1 %, con una diferencia de -0,5 ± 1,4 %, asimismo, en el grupo intravenoso, el valor basal fue</w:t>
      </w:r>
      <w:r>
        <w:rPr>
          <w:color w:val="0D0D0D"/>
          <w:spacing w:val="-2"/>
        </w:rPr>
        <w:t> </w:t>
      </w:r>
      <w:r>
        <w:rPr>
          <w:color w:val="0D0D0D"/>
        </w:rPr>
        <w:t>de</w:t>
      </w:r>
      <w:r>
        <w:rPr>
          <w:color w:val="0D0D0D"/>
          <w:spacing w:val="-2"/>
        </w:rPr>
        <w:t> </w:t>
      </w:r>
      <w:r>
        <w:rPr>
          <w:color w:val="0D0D0D"/>
        </w:rPr>
        <w:t>98,8</w:t>
      </w:r>
      <w:r>
        <w:rPr>
          <w:color w:val="0D0D0D"/>
          <w:spacing w:val="-3"/>
        </w:rPr>
        <w:t> </w:t>
      </w:r>
      <w:r>
        <w:rPr>
          <w:color w:val="0D0D0D"/>
        </w:rPr>
        <w:t>±</w:t>
      </w:r>
      <w:r>
        <w:rPr>
          <w:color w:val="0D0D0D"/>
          <w:spacing w:val="-3"/>
        </w:rPr>
        <w:t> </w:t>
      </w:r>
      <w:r>
        <w:rPr>
          <w:color w:val="0D0D0D"/>
        </w:rPr>
        <w:t>0,6</w:t>
      </w:r>
      <w:r>
        <w:rPr>
          <w:color w:val="0D0D0D"/>
          <w:spacing w:val="-3"/>
        </w:rPr>
        <w:t> </w:t>
      </w:r>
      <w:r>
        <w:rPr>
          <w:color w:val="0D0D0D"/>
        </w:rPr>
        <w:t>%,</w:t>
      </w:r>
      <w:r>
        <w:rPr>
          <w:color w:val="0D0D0D"/>
          <w:spacing w:val="-6"/>
        </w:rPr>
        <w:t> </w:t>
      </w:r>
      <w:r>
        <w:rPr>
          <w:color w:val="0D0D0D"/>
        </w:rPr>
        <w:t>mientras</w:t>
      </w:r>
      <w:r>
        <w:rPr>
          <w:color w:val="0D0D0D"/>
          <w:spacing w:val="-5"/>
        </w:rPr>
        <w:t> </w:t>
      </w:r>
      <w:r>
        <w:rPr>
          <w:color w:val="0D0D0D"/>
        </w:rPr>
        <w:t>que</w:t>
      </w:r>
      <w:r>
        <w:rPr>
          <w:color w:val="0D0D0D"/>
          <w:spacing w:val="-5"/>
        </w:rPr>
        <w:t> </w:t>
      </w:r>
      <w:r>
        <w:rPr>
          <w:color w:val="0D0D0D"/>
        </w:rPr>
        <w:t>el</w:t>
      </w:r>
      <w:r>
        <w:rPr>
          <w:color w:val="0D0D0D"/>
          <w:spacing w:val="-2"/>
        </w:rPr>
        <w:t> </w:t>
      </w:r>
      <w:r>
        <w:rPr>
          <w:color w:val="0D0D0D"/>
        </w:rPr>
        <w:t>promedio</w:t>
      </w:r>
      <w:r>
        <w:rPr>
          <w:color w:val="0D0D0D"/>
          <w:spacing w:val="-3"/>
        </w:rPr>
        <w:t> </w:t>
      </w:r>
      <w:r>
        <w:rPr>
          <w:color w:val="0D0D0D"/>
        </w:rPr>
        <w:t>intraoperatorio</w:t>
      </w:r>
      <w:r>
        <w:rPr>
          <w:color w:val="0D0D0D"/>
          <w:spacing w:val="-3"/>
        </w:rPr>
        <w:t> </w:t>
      </w:r>
      <w:r>
        <w:rPr>
          <w:color w:val="0D0D0D"/>
        </w:rPr>
        <w:t>fue</w:t>
      </w:r>
      <w:r>
        <w:rPr>
          <w:color w:val="0D0D0D"/>
          <w:spacing w:val="-2"/>
        </w:rPr>
        <w:t> </w:t>
      </w:r>
      <w:r>
        <w:rPr>
          <w:color w:val="0D0D0D"/>
        </w:rPr>
        <w:t>de</w:t>
      </w:r>
      <w:r>
        <w:rPr>
          <w:color w:val="0D0D0D"/>
          <w:spacing w:val="-2"/>
        </w:rPr>
        <w:t> </w:t>
      </w:r>
      <w:r>
        <w:rPr>
          <w:color w:val="0D0D0D"/>
        </w:rPr>
        <w:t>98,0</w:t>
      </w:r>
      <w:r>
        <w:rPr>
          <w:color w:val="0D0D0D"/>
          <w:spacing w:val="-3"/>
        </w:rPr>
        <w:t> </w:t>
      </w:r>
      <w:r>
        <w:rPr>
          <w:color w:val="0D0D0D"/>
        </w:rPr>
        <w:t>±</w:t>
      </w:r>
      <w:r>
        <w:rPr>
          <w:color w:val="0D0D0D"/>
          <w:spacing w:val="-3"/>
        </w:rPr>
        <w:t> </w:t>
      </w:r>
      <w:r>
        <w:rPr>
          <w:color w:val="0D0D0D"/>
        </w:rPr>
        <w:t>1,5</w:t>
      </w:r>
      <w:r>
        <w:rPr>
          <w:color w:val="0D0D0D"/>
          <w:spacing w:val="-3"/>
        </w:rPr>
        <w:t> </w:t>
      </w:r>
      <w:r>
        <w:rPr>
          <w:color w:val="0D0D0D"/>
        </w:rPr>
        <w:t>%, con una diferencia de -0,8 ± 1,6 %, estos resultados evidencian una ligera disminución descriptiva en ambos grupos; sin embargo, los valores promedio se mantuvieron por encima del punto de referencia considerado para hipoxemia, por lo</w:t>
      </w:r>
      <w:r>
        <w:rPr>
          <w:color w:val="0D0D0D"/>
          <w:spacing w:val="-8"/>
        </w:rPr>
        <w:t> </w:t>
      </w:r>
      <w:r>
        <w:rPr>
          <w:color w:val="0D0D0D"/>
        </w:rPr>
        <w:t>que</w:t>
      </w:r>
      <w:r>
        <w:rPr>
          <w:color w:val="0D0D0D"/>
          <w:spacing w:val="-6"/>
        </w:rPr>
        <w:t> </w:t>
      </w:r>
      <w:r>
        <w:rPr>
          <w:color w:val="0D0D0D"/>
        </w:rPr>
        <w:t>no</w:t>
      </w:r>
      <w:r>
        <w:rPr>
          <w:color w:val="0D0D0D"/>
          <w:spacing w:val="-8"/>
        </w:rPr>
        <w:t> </w:t>
      </w:r>
      <w:r>
        <w:rPr>
          <w:color w:val="0D0D0D"/>
        </w:rPr>
        <w:t>se</w:t>
      </w:r>
      <w:r>
        <w:rPr>
          <w:color w:val="0D0D0D"/>
          <w:spacing w:val="-10"/>
        </w:rPr>
        <w:t> </w:t>
      </w:r>
      <w:r>
        <w:rPr>
          <w:color w:val="0D0D0D"/>
        </w:rPr>
        <w:t>observaron</w:t>
      </w:r>
      <w:r>
        <w:rPr>
          <w:color w:val="0D0D0D"/>
          <w:spacing w:val="-11"/>
        </w:rPr>
        <w:t> </w:t>
      </w:r>
      <w:r>
        <w:rPr>
          <w:color w:val="0D0D0D"/>
        </w:rPr>
        <w:t>cambios</w:t>
      </w:r>
      <w:r>
        <w:rPr>
          <w:color w:val="0D0D0D"/>
          <w:spacing w:val="-9"/>
        </w:rPr>
        <w:t> </w:t>
      </w:r>
      <w:r>
        <w:rPr>
          <w:color w:val="0D0D0D"/>
        </w:rPr>
        <w:t>clínicamente</w:t>
      </w:r>
      <w:r>
        <w:rPr>
          <w:color w:val="0D0D0D"/>
          <w:spacing w:val="-6"/>
        </w:rPr>
        <w:t> </w:t>
      </w:r>
      <w:r>
        <w:rPr>
          <w:color w:val="0D0D0D"/>
        </w:rPr>
        <w:t>relevantes</w:t>
      </w:r>
      <w:r>
        <w:rPr>
          <w:color w:val="0D0D0D"/>
          <w:spacing w:val="-13"/>
        </w:rPr>
        <w:t> </w:t>
      </w:r>
      <w:r>
        <w:rPr>
          <w:color w:val="0D0D0D"/>
        </w:rPr>
        <w:t>en</w:t>
      </w:r>
      <w:r>
        <w:rPr>
          <w:color w:val="0D0D0D"/>
          <w:spacing w:val="-8"/>
        </w:rPr>
        <w:t> </w:t>
      </w:r>
      <w:r>
        <w:rPr>
          <w:color w:val="0D0D0D"/>
        </w:rPr>
        <w:t>la</w:t>
      </w:r>
      <w:r>
        <w:rPr>
          <w:color w:val="0D0D0D"/>
          <w:spacing w:val="-6"/>
        </w:rPr>
        <w:t> </w:t>
      </w:r>
      <w:r>
        <w:rPr>
          <w:color w:val="0D0D0D"/>
        </w:rPr>
        <w:t>oxigenación</w:t>
      </w:r>
      <w:r>
        <w:rPr>
          <w:color w:val="0D0D0D"/>
          <w:spacing w:val="-8"/>
        </w:rPr>
        <w:t> </w:t>
      </w:r>
      <w:r>
        <w:rPr>
          <w:color w:val="0D0D0D"/>
        </w:rPr>
        <w:t>durante el procedimiento.</w:t>
      </w:r>
    </w:p>
    <w:p>
      <w:pPr>
        <w:pStyle w:val="BodyText"/>
        <w:spacing w:line="480" w:lineRule="auto" w:before="242"/>
        <w:ind w:left="568" w:right="137"/>
        <w:jc w:val="both"/>
      </w:pPr>
      <w:r>
        <w:rPr>
          <w:color w:val="0D0D0D"/>
        </w:rPr>
        <w:t>En anestesia veterinaria, la vigilancia de la saturación periférica de oxígeno ayuda a</w:t>
      </w:r>
      <w:r>
        <w:rPr>
          <w:color w:val="0D0D0D"/>
          <w:spacing w:val="19"/>
        </w:rPr>
        <w:t> </w:t>
      </w:r>
      <w:r>
        <w:rPr>
          <w:color w:val="0D0D0D"/>
        </w:rPr>
        <w:t>una</w:t>
      </w:r>
      <w:r>
        <w:rPr>
          <w:color w:val="0D0D0D"/>
          <w:spacing w:val="20"/>
        </w:rPr>
        <w:t> </w:t>
      </w:r>
      <w:r>
        <w:rPr>
          <w:color w:val="0D0D0D"/>
        </w:rPr>
        <w:t>identificación</w:t>
      </w:r>
      <w:r>
        <w:rPr>
          <w:color w:val="0D0D0D"/>
          <w:spacing w:val="23"/>
        </w:rPr>
        <w:t> </w:t>
      </w:r>
      <w:r>
        <w:rPr>
          <w:color w:val="0D0D0D"/>
        </w:rPr>
        <w:t>oportuna</w:t>
      </w:r>
      <w:r>
        <w:rPr>
          <w:color w:val="0D0D0D"/>
          <w:spacing w:val="21"/>
        </w:rPr>
        <w:t> </w:t>
      </w:r>
      <w:r>
        <w:rPr>
          <w:color w:val="0D0D0D"/>
        </w:rPr>
        <w:t>de</w:t>
      </w:r>
      <w:r>
        <w:rPr>
          <w:color w:val="0D0D0D"/>
          <w:spacing w:val="20"/>
        </w:rPr>
        <w:t> </w:t>
      </w:r>
      <w:r>
        <w:rPr>
          <w:color w:val="0D0D0D"/>
        </w:rPr>
        <w:t>los</w:t>
      </w:r>
      <w:r>
        <w:rPr>
          <w:color w:val="0D0D0D"/>
          <w:spacing w:val="18"/>
        </w:rPr>
        <w:t> </w:t>
      </w:r>
      <w:r>
        <w:rPr>
          <w:color w:val="0D0D0D"/>
        </w:rPr>
        <w:t>descensos</w:t>
      </w:r>
      <w:r>
        <w:rPr>
          <w:color w:val="0D0D0D"/>
          <w:spacing w:val="18"/>
        </w:rPr>
        <w:t> </w:t>
      </w:r>
      <w:r>
        <w:rPr>
          <w:color w:val="0D0D0D"/>
        </w:rPr>
        <w:t>asociados</w:t>
      </w:r>
      <w:r>
        <w:rPr>
          <w:color w:val="0D0D0D"/>
          <w:spacing w:val="18"/>
        </w:rPr>
        <w:t> </w:t>
      </w:r>
      <w:r>
        <w:rPr>
          <w:color w:val="0D0D0D"/>
        </w:rPr>
        <w:t>a</w:t>
      </w:r>
      <w:r>
        <w:rPr>
          <w:color w:val="0D0D0D"/>
          <w:spacing w:val="20"/>
        </w:rPr>
        <w:t> </w:t>
      </w:r>
      <w:r>
        <w:rPr>
          <w:color w:val="0D0D0D"/>
        </w:rPr>
        <w:t>hipoxemia,</w:t>
      </w:r>
      <w:r>
        <w:rPr>
          <w:color w:val="0D0D0D"/>
          <w:spacing w:val="19"/>
        </w:rPr>
        <w:t> </w:t>
      </w:r>
      <w:r>
        <w:rPr>
          <w:color w:val="0D0D0D"/>
        </w:rPr>
        <w:t>junto</w:t>
      </w:r>
      <w:r>
        <w:rPr>
          <w:color w:val="0D0D0D"/>
          <w:spacing w:val="19"/>
        </w:rPr>
        <w:t> </w:t>
      </w:r>
      <w:r>
        <w:rPr>
          <w:color w:val="0D0D0D"/>
          <w:spacing w:val="-5"/>
        </w:rPr>
        <w:t>con</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7"/>
        <w:jc w:val="both"/>
      </w:pPr>
      <w:r>
        <w:rPr>
          <w:color w:val="0D0D0D"/>
        </w:rPr>
        <w:t>una complementación de la evaluación clínica del paciente durante la anestesia general (Grubb et al., 2020).</w:t>
      </w:r>
    </w:p>
    <w:p>
      <w:pPr>
        <w:pStyle w:val="BodyText"/>
        <w:spacing w:line="480" w:lineRule="auto" w:before="240"/>
        <w:ind w:left="568" w:right="136" w:firstLine="60"/>
        <w:jc w:val="both"/>
      </w:pPr>
      <w:r>
        <w:rPr>
          <w:color w:val="0D0D0D"/>
        </w:rPr>
        <w:t>Di Franco et al. (2023) ratifica que la dexmedetomidina se ha descrito como un fármaco</w:t>
      </w:r>
      <w:r>
        <w:rPr>
          <w:color w:val="0D0D0D"/>
          <w:spacing w:val="-8"/>
        </w:rPr>
        <w:t> </w:t>
      </w:r>
      <w:r>
        <w:rPr>
          <w:color w:val="0D0D0D"/>
        </w:rPr>
        <w:t>útil</w:t>
      </w:r>
      <w:r>
        <w:rPr>
          <w:color w:val="0D0D0D"/>
          <w:spacing w:val="-7"/>
        </w:rPr>
        <w:t> </w:t>
      </w:r>
      <w:r>
        <w:rPr>
          <w:color w:val="0D0D0D"/>
        </w:rPr>
        <w:t>dentro</w:t>
      </w:r>
      <w:r>
        <w:rPr>
          <w:color w:val="0D0D0D"/>
          <w:spacing w:val="-7"/>
        </w:rPr>
        <w:t> </w:t>
      </w:r>
      <w:r>
        <w:rPr>
          <w:color w:val="0D0D0D"/>
        </w:rPr>
        <w:t>de</w:t>
      </w:r>
      <w:r>
        <w:rPr>
          <w:color w:val="0D0D0D"/>
          <w:spacing w:val="-6"/>
        </w:rPr>
        <w:t> </w:t>
      </w:r>
      <w:r>
        <w:rPr>
          <w:color w:val="0D0D0D"/>
        </w:rPr>
        <w:t>protocolos</w:t>
      </w:r>
      <w:r>
        <w:rPr>
          <w:color w:val="0D0D0D"/>
          <w:spacing w:val="-9"/>
        </w:rPr>
        <w:t> </w:t>
      </w:r>
      <w:r>
        <w:rPr>
          <w:color w:val="0D0D0D"/>
        </w:rPr>
        <w:t>multimodales</w:t>
      </w:r>
      <w:r>
        <w:rPr>
          <w:color w:val="0D0D0D"/>
          <w:spacing w:val="-9"/>
        </w:rPr>
        <w:t> </w:t>
      </w:r>
      <w:r>
        <w:rPr>
          <w:color w:val="0D0D0D"/>
        </w:rPr>
        <w:t>porque</w:t>
      </w:r>
      <w:r>
        <w:rPr>
          <w:color w:val="0D0D0D"/>
          <w:spacing w:val="-6"/>
        </w:rPr>
        <w:t> </w:t>
      </w:r>
      <w:r>
        <w:rPr>
          <w:color w:val="0D0D0D"/>
        </w:rPr>
        <w:t>proporciona</w:t>
      </w:r>
      <w:r>
        <w:rPr>
          <w:color w:val="0D0D0D"/>
          <w:spacing w:val="-6"/>
        </w:rPr>
        <w:t> </w:t>
      </w:r>
      <w:r>
        <w:rPr>
          <w:color w:val="0D0D0D"/>
        </w:rPr>
        <w:t>sedación</w:t>
      </w:r>
      <w:r>
        <w:rPr>
          <w:color w:val="0D0D0D"/>
          <w:spacing w:val="-8"/>
        </w:rPr>
        <w:t> </w:t>
      </w:r>
      <w:r>
        <w:rPr>
          <w:color w:val="0D0D0D"/>
        </w:rPr>
        <w:t>junto con un efecto analgésico en un menor impacto respiratorio en comparación con otros agentes sedantes, siempre que sea aplicado bajo control clínico y monitorización</w:t>
      </w:r>
      <w:r>
        <w:rPr>
          <w:color w:val="0D0D0D"/>
          <w:spacing w:val="-7"/>
        </w:rPr>
        <w:t> </w:t>
      </w:r>
      <w:r>
        <w:rPr>
          <w:color w:val="0D0D0D"/>
        </w:rPr>
        <w:t>adecuada.</w:t>
      </w:r>
      <w:r>
        <w:rPr>
          <w:color w:val="0D0D0D"/>
          <w:spacing w:val="-3"/>
        </w:rPr>
        <w:t> </w:t>
      </w:r>
      <w:r>
        <w:rPr>
          <w:color w:val="0D0D0D"/>
        </w:rPr>
        <w:t>En</w:t>
      </w:r>
      <w:r>
        <w:rPr>
          <w:color w:val="0D0D0D"/>
          <w:spacing w:val="-10"/>
        </w:rPr>
        <w:t> </w:t>
      </w:r>
      <w:r>
        <w:rPr>
          <w:color w:val="0D0D0D"/>
        </w:rPr>
        <w:t>este</w:t>
      </w:r>
      <w:r>
        <w:rPr>
          <w:color w:val="0D0D0D"/>
          <w:spacing w:val="-9"/>
        </w:rPr>
        <w:t> </w:t>
      </w:r>
      <w:r>
        <w:rPr>
          <w:color w:val="0D0D0D"/>
        </w:rPr>
        <w:t>estudio,</w:t>
      </w:r>
      <w:r>
        <w:rPr>
          <w:color w:val="0D0D0D"/>
          <w:spacing w:val="-10"/>
        </w:rPr>
        <w:t> </w:t>
      </w:r>
      <w:r>
        <w:rPr>
          <w:color w:val="0D0D0D"/>
        </w:rPr>
        <w:t>las</w:t>
      </w:r>
      <w:r>
        <w:rPr>
          <w:color w:val="0D0D0D"/>
          <w:spacing w:val="-8"/>
        </w:rPr>
        <w:t> </w:t>
      </w:r>
      <w:r>
        <w:rPr>
          <w:color w:val="0D0D0D"/>
        </w:rPr>
        <w:t>diferencias</w:t>
      </w:r>
      <w:r>
        <w:rPr>
          <w:color w:val="0D0D0D"/>
          <w:spacing w:val="-8"/>
        </w:rPr>
        <w:t> </w:t>
      </w:r>
      <w:r>
        <w:rPr>
          <w:color w:val="0D0D0D"/>
        </w:rPr>
        <w:t>entre</w:t>
      </w:r>
      <w:r>
        <w:rPr>
          <w:color w:val="0D0D0D"/>
          <w:spacing w:val="-6"/>
        </w:rPr>
        <w:t> </w:t>
      </w:r>
      <w:r>
        <w:rPr>
          <w:color w:val="0D0D0D"/>
        </w:rPr>
        <w:t>la</w:t>
      </w:r>
      <w:r>
        <w:rPr>
          <w:color w:val="0D0D0D"/>
          <w:spacing w:val="-9"/>
        </w:rPr>
        <w:t> </w:t>
      </w:r>
      <w:r>
        <w:rPr>
          <w:color w:val="0D0D0D"/>
        </w:rPr>
        <w:t>vía</w:t>
      </w:r>
      <w:r>
        <w:rPr>
          <w:color w:val="0D0D0D"/>
          <w:spacing w:val="-9"/>
        </w:rPr>
        <w:t> </w:t>
      </w:r>
      <w:r>
        <w:rPr>
          <w:color w:val="0D0D0D"/>
        </w:rPr>
        <w:t>intramuscular e</w:t>
      </w:r>
      <w:r>
        <w:rPr>
          <w:color w:val="0D0D0D"/>
          <w:spacing w:val="-1"/>
        </w:rPr>
        <w:t> </w:t>
      </w:r>
      <w:r>
        <w:rPr>
          <w:color w:val="0D0D0D"/>
        </w:rPr>
        <w:t>intravenosa</w:t>
      </w:r>
      <w:r>
        <w:rPr>
          <w:color w:val="0D0D0D"/>
          <w:spacing w:val="-1"/>
        </w:rPr>
        <w:t> </w:t>
      </w:r>
      <w:r>
        <w:rPr>
          <w:color w:val="0D0D0D"/>
        </w:rPr>
        <w:t>fueron</w:t>
      </w:r>
      <w:r>
        <w:rPr>
          <w:color w:val="0D0D0D"/>
          <w:spacing w:val="-2"/>
        </w:rPr>
        <w:t> </w:t>
      </w:r>
      <w:r>
        <w:rPr>
          <w:color w:val="0D0D0D"/>
        </w:rPr>
        <w:t>pequeñas,</w:t>
      </w:r>
      <w:r>
        <w:rPr>
          <w:color w:val="0D0D0D"/>
          <w:spacing w:val="-2"/>
        </w:rPr>
        <w:t> </w:t>
      </w:r>
      <w:r>
        <w:rPr>
          <w:color w:val="0D0D0D"/>
        </w:rPr>
        <w:t>por</w:t>
      </w:r>
      <w:r>
        <w:rPr>
          <w:color w:val="0D0D0D"/>
          <w:spacing w:val="-2"/>
        </w:rPr>
        <w:t> </w:t>
      </w:r>
      <w:r>
        <w:rPr>
          <w:color w:val="0D0D0D"/>
        </w:rPr>
        <w:t>lo</w:t>
      </w:r>
      <w:r>
        <w:rPr>
          <w:color w:val="0D0D0D"/>
          <w:spacing w:val="-2"/>
        </w:rPr>
        <w:t> </w:t>
      </w:r>
      <w:r>
        <w:rPr>
          <w:color w:val="0D0D0D"/>
        </w:rPr>
        <w:t>que</w:t>
      </w:r>
      <w:r>
        <w:rPr>
          <w:color w:val="0D0D0D"/>
          <w:spacing w:val="-1"/>
        </w:rPr>
        <w:t> </w:t>
      </w:r>
      <w:r>
        <w:rPr>
          <w:color w:val="0D0D0D"/>
        </w:rPr>
        <w:t>la</w:t>
      </w:r>
      <w:r>
        <w:rPr>
          <w:color w:val="0D0D0D"/>
          <w:spacing w:val="-1"/>
        </w:rPr>
        <w:t> </w:t>
      </w:r>
      <w:r>
        <w:rPr>
          <w:color w:val="0D0D0D"/>
        </w:rPr>
        <w:t>vía</w:t>
      </w:r>
      <w:r>
        <w:rPr>
          <w:color w:val="0D0D0D"/>
          <w:spacing w:val="-1"/>
        </w:rPr>
        <w:t> </w:t>
      </w:r>
      <w:r>
        <w:rPr>
          <w:color w:val="0D0D0D"/>
        </w:rPr>
        <w:t>de</w:t>
      </w:r>
      <w:r>
        <w:rPr>
          <w:color w:val="0D0D0D"/>
          <w:spacing w:val="-1"/>
        </w:rPr>
        <w:t> </w:t>
      </w:r>
      <w:r>
        <w:rPr>
          <w:color w:val="0D0D0D"/>
        </w:rPr>
        <w:t>administración</w:t>
      </w:r>
      <w:r>
        <w:rPr>
          <w:color w:val="0D0D0D"/>
          <w:spacing w:val="-2"/>
        </w:rPr>
        <w:t> </w:t>
      </w:r>
      <w:r>
        <w:rPr>
          <w:color w:val="0D0D0D"/>
        </w:rPr>
        <w:t>no demostró</w:t>
      </w:r>
      <w:r>
        <w:rPr>
          <w:color w:val="0D0D0D"/>
          <w:spacing w:val="-1"/>
        </w:rPr>
        <w:t> </w:t>
      </w:r>
      <w:r>
        <w:rPr>
          <w:color w:val="0D0D0D"/>
        </w:rPr>
        <w:t>un efecto considerable sobre la SpO₂ en la muestra evaluada.</w:t>
      </w:r>
    </w:p>
    <w:p>
      <w:pPr>
        <w:pStyle w:val="Heading3"/>
        <w:numPr>
          <w:ilvl w:val="2"/>
          <w:numId w:val="8"/>
        </w:numPr>
        <w:tabs>
          <w:tab w:pos="1288" w:val="left" w:leader="none"/>
        </w:tabs>
        <w:spacing w:line="240" w:lineRule="auto" w:before="1" w:after="0"/>
        <w:ind w:left="1288" w:right="0" w:hanging="720"/>
        <w:jc w:val="both"/>
      </w:pPr>
      <w:bookmarkStart w:name="_bookmark63" w:id="64"/>
      <w:bookmarkEnd w:id="64"/>
      <w:r>
        <w:rPr>
          <w:b w:val="0"/>
        </w:rPr>
      </w:r>
      <w:r>
        <w:rPr>
          <w:color w:val="0D0D0D"/>
        </w:rPr>
        <w:t>Temperatura</w:t>
      </w:r>
      <w:r>
        <w:rPr>
          <w:color w:val="0D0D0D"/>
          <w:spacing w:val="-15"/>
        </w:rPr>
        <w:t> </w:t>
      </w:r>
      <w:r>
        <w:rPr>
          <w:color w:val="0D0D0D"/>
        </w:rPr>
        <w:t>corporal</w:t>
      </w:r>
      <w:r>
        <w:rPr>
          <w:color w:val="0D0D0D"/>
          <w:spacing w:val="-12"/>
        </w:rPr>
        <w:t> </w:t>
      </w:r>
      <w:r>
        <w:rPr>
          <w:color w:val="0D0D0D"/>
          <w:spacing w:val="-4"/>
        </w:rPr>
        <w:t>(°C)</w:t>
      </w:r>
    </w:p>
    <w:p>
      <w:pPr>
        <w:spacing w:before="275"/>
        <w:ind w:left="568" w:right="0" w:firstLine="0"/>
        <w:jc w:val="left"/>
        <w:rPr>
          <w:b/>
          <w:sz w:val="22"/>
        </w:rPr>
      </w:pPr>
      <w:bookmarkStart w:name="_bookmark64" w:id="65"/>
      <w:bookmarkEnd w:id="65"/>
      <w:r>
        <w:rPr/>
      </w:r>
      <w:r>
        <w:rPr>
          <w:b/>
          <w:spacing w:val="-2"/>
          <w:sz w:val="22"/>
        </w:rPr>
        <w:t>Tabla</w:t>
      </w:r>
      <w:r>
        <w:rPr>
          <w:b/>
          <w:spacing w:val="-10"/>
          <w:sz w:val="22"/>
        </w:rPr>
        <w:t> </w:t>
      </w:r>
      <w:r>
        <w:rPr>
          <w:b/>
          <w:spacing w:val="-5"/>
          <w:sz w:val="22"/>
        </w:rPr>
        <w:t>9.</w:t>
      </w:r>
    </w:p>
    <w:p>
      <w:pPr>
        <w:spacing w:before="128"/>
        <w:ind w:left="568" w:right="0" w:firstLine="0"/>
        <w:jc w:val="left"/>
        <w:rPr>
          <w:i/>
          <w:sz w:val="22"/>
        </w:rPr>
      </w:pPr>
      <w:r>
        <w:rPr>
          <w:i/>
          <w:sz w:val="22"/>
        </w:rPr>
        <w:t>Temperatura</w:t>
      </w:r>
      <w:r>
        <w:rPr>
          <w:i/>
          <w:spacing w:val="-8"/>
          <w:sz w:val="22"/>
        </w:rPr>
        <w:t> </w:t>
      </w:r>
      <w:r>
        <w:rPr>
          <w:i/>
          <w:sz w:val="22"/>
        </w:rPr>
        <w:t>corporal</w:t>
      </w:r>
      <w:r>
        <w:rPr>
          <w:i/>
          <w:spacing w:val="-7"/>
          <w:sz w:val="22"/>
        </w:rPr>
        <w:t> </w:t>
      </w:r>
      <w:r>
        <w:rPr>
          <w:i/>
          <w:sz w:val="22"/>
        </w:rPr>
        <w:t>según</w:t>
      </w:r>
      <w:r>
        <w:rPr>
          <w:i/>
          <w:spacing w:val="-5"/>
          <w:sz w:val="22"/>
        </w:rPr>
        <w:t> </w:t>
      </w:r>
      <w:r>
        <w:rPr>
          <w:i/>
          <w:sz w:val="22"/>
        </w:rPr>
        <w:t>vía</w:t>
      </w:r>
      <w:r>
        <w:rPr>
          <w:i/>
          <w:spacing w:val="-5"/>
          <w:sz w:val="22"/>
        </w:rPr>
        <w:t> </w:t>
      </w:r>
      <w:r>
        <w:rPr>
          <w:i/>
          <w:sz w:val="22"/>
        </w:rPr>
        <w:t>de</w:t>
      </w:r>
      <w:r>
        <w:rPr>
          <w:i/>
          <w:spacing w:val="-11"/>
          <w:sz w:val="22"/>
        </w:rPr>
        <w:t> </w:t>
      </w:r>
      <w:r>
        <w:rPr>
          <w:i/>
          <w:sz w:val="22"/>
        </w:rPr>
        <w:t>administración</w:t>
      </w:r>
      <w:r>
        <w:rPr>
          <w:i/>
          <w:spacing w:val="-9"/>
          <w:sz w:val="22"/>
        </w:rPr>
        <w:t> </w:t>
      </w:r>
      <w:r>
        <w:rPr>
          <w:i/>
          <w:sz w:val="22"/>
        </w:rPr>
        <w:t>de</w:t>
      </w:r>
      <w:r>
        <w:rPr>
          <w:i/>
          <w:spacing w:val="-7"/>
          <w:sz w:val="22"/>
        </w:rPr>
        <w:t> </w:t>
      </w:r>
      <w:r>
        <w:rPr>
          <w:i/>
          <w:spacing w:val="-2"/>
          <w:sz w:val="22"/>
        </w:rPr>
        <w:t>dexmedetomidina</w:t>
      </w:r>
    </w:p>
    <w:p>
      <w:pPr>
        <w:pStyle w:val="BodyText"/>
        <w:spacing w:before="102"/>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6"/>
        <w:gridCol w:w="1817"/>
        <w:gridCol w:w="3438"/>
        <w:gridCol w:w="1466"/>
      </w:tblGrid>
      <w:tr>
        <w:trPr>
          <w:trHeight w:val="413" w:hRule="atLeast"/>
        </w:trPr>
        <w:tc>
          <w:tcPr>
            <w:tcW w:w="1256" w:type="dxa"/>
            <w:tcBorders>
              <w:top w:val="single" w:sz="4" w:space="0" w:color="000000"/>
              <w:bottom w:val="single" w:sz="4" w:space="0" w:color="000000"/>
            </w:tcBorders>
          </w:tcPr>
          <w:p>
            <w:pPr>
              <w:pStyle w:val="TableParagraph"/>
              <w:spacing w:line="275" w:lineRule="exact" w:before="0"/>
              <w:ind w:left="238"/>
              <w:jc w:val="left"/>
              <w:rPr>
                <w:b/>
                <w:sz w:val="24"/>
              </w:rPr>
            </w:pPr>
            <w:r>
              <w:rPr>
                <w:b/>
                <w:spacing w:val="-2"/>
                <w:sz w:val="24"/>
              </w:rPr>
              <w:t>Grupo</w:t>
            </w:r>
          </w:p>
        </w:tc>
        <w:tc>
          <w:tcPr>
            <w:tcW w:w="1817" w:type="dxa"/>
            <w:tcBorders>
              <w:top w:val="single" w:sz="4" w:space="0" w:color="000000"/>
              <w:bottom w:val="single" w:sz="4" w:space="0" w:color="000000"/>
            </w:tcBorders>
          </w:tcPr>
          <w:p>
            <w:pPr>
              <w:pStyle w:val="TableParagraph"/>
              <w:spacing w:line="275" w:lineRule="exact" w:before="0"/>
              <w:ind w:right="506"/>
              <w:jc w:val="right"/>
              <w:rPr>
                <w:b/>
                <w:sz w:val="24"/>
              </w:rPr>
            </w:pPr>
            <w:r>
              <w:rPr>
                <w:b/>
                <w:spacing w:val="-2"/>
                <w:sz w:val="24"/>
              </w:rPr>
              <w:t>Antes</w:t>
            </w:r>
          </w:p>
        </w:tc>
        <w:tc>
          <w:tcPr>
            <w:tcW w:w="3438" w:type="dxa"/>
            <w:tcBorders>
              <w:top w:val="single" w:sz="4" w:space="0" w:color="000000"/>
              <w:bottom w:val="single" w:sz="4" w:space="0" w:color="000000"/>
            </w:tcBorders>
          </w:tcPr>
          <w:p>
            <w:pPr>
              <w:pStyle w:val="TableParagraph"/>
              <w:spacing w:line="275" w:lineRule="exact" w:before="0"/>
              <w:ind w:right="283"/>
              <w:jc w:val="right"/>
              <w:rPr>
                <w:b/>
                <w:sz w:val="24"/>
              </w:rPr>
            </w:pPr>
            <w:r>
              <w:rPr>
                <w:b/>
                <w:sz w:val="24"/>
              </w:rPr>
              <w:t>Promedio</w:t>
            </w:r>
            <w:r>
              <w:rPr>
                <w:b/>
                <w:spacing w:val="2"/>
                <w:sz w:val="24"/>
              </w:rPr>
              <w:t> </w:t>
            </w:r>
            <w:r>
              <w:rPr>
                <w:b/>
                <w:spacing w:val="-2"/>
                <w:sz w:val="24"/>
              </w:rPr>
              <w:t>intraoperatorio</w:t>
            </w:r>
          </w:p>
        </w:tc>
        <w:tc>
          <w:tcPr>
            <w:tcW w:w="1466" w:type="dxa"/>
            <w:tcBorders>
              <w:top w:val="single" w:sz="4" w:space="0" w:color="000000"/>
              <w:bottom w:val="single" w:sz="4" w:space="0" w:color="000000"/>
            </w:tcBorders>
          </w:tcPr>
          <w:p>
            <w:pPr>
              <w:pStyle w:val="TableParagraph"/>
              <w:spacing w:line="275" w:lineRule="exact" w:before="0"/>
              <w:ind w:right="108"/>
              <w:jc w:val="right"/>
              <w:rPr>
                <w:b/>
                <w:sz w:val="24"/>
              </w:rPr>
            </w:pPr>
            <w:r>
              <w:rPr>
                <w:b/>
                <w:spacing w:val="-2"/>
                <w:sz w:val="24"/>
              </w:rPr>
              <w:t>Diferencia</w:t>
            </w:r>
          </w:p>
        </w:tc>
      </w:tr>
      <w:tr>
        <w:trPr>
          <w:trHeight w:val="350" w:hRule="atLeast"/>
        </w:trPr>
        <w:tc>
          <w:tcPr>
            <w:tcW w:w="1256" w:type="dxa"/>
            <w:tcBorders>
              <w:top w:val="single" w:sz="4" w:space="0" w:color="000000"/>
            </w:tcBorders>
          </w:tcPr>
          <w:p>
            <w:pPr>
              <w:pStyle w:val="TableParagraph"/>
              <w:spacing w:line="275" w:lineRule="exact" w:before="0"/>
              <w:ind w:left="114"/>
              <w:jc w:val="left"/>
              <w:rPr>
                <w:b/>
                <w:sz w:val="24"/>
              </w:rPr>
            </w:pPr>
            <w:r>
              <w:rPr>
                <w:b/>
                <w:spacing w:val="-5"/>
                <w:sz w:val="24"/>
              </w:rPr>
              <w:t>IM</w:t>
            </w:r>
          </w:p>
        </w:tc>
        <w:tc>
          <w:tcPr>
            <w:tcW w:w="1817" w:type="dxa"/>
            <w:tcBorders>
              <w:top w:val="single" w:sz="4" w:space="0" w:color="000000"/>
            </w:tcBorders>
          </w:tcPr>
          <w:p>
            <w:pPr>
              <w:pStyle w:val="TableParagraph"/>
              <w:spacing w:line="275" w:lineRule="exact" w:before="0"/>
              <w:ind w:right="504"/>
              <w:jc w:val="right"/>
              <w:rPr>
                <w:sz w:val="24"/>
              </w:rPr>
            </w:pPr>
            <w:r>
              <w:rPr>
                <w:sz w:val="24"/>
              </w:rPr>
              <w:t>38,4 ± </w:t>
            </w:r>
            <w:r>
              <w:rPr>
                <w:spacing w:val="-5"/>
                <w:sz w:val="24"/>
              </w:rPr>
              <w:t>0,2</w:t>
            </w:r>
          </w:p>
        </w:tc>
        <w:tc>
          <w:tcPr>
            <w:tcW w:w="3438" w:type="dxa"/>
            <w:tcBorders>
              <w:top w:val="single" w:sz="4" w:space="0" w:color="000000"/>
            </w:tcBorders>
          </w:tcPr>
          <w:p>
            <w:pPr>
              <w:pStyle w:val="TableParagraph"/>
              <w:spacing w:line="275" w:lineRule="exact" w:before="0"/>
              <w:ind w:right="285"/>
              <w:jc w:val="right"/>
              <w:rPr>
                <w:sz w:val="24"/>
              </w:rPr>
            </w:pPr>
            <w:r>
              <w:rPr>
                <w:sz w:val="24"/>
              </w:rPr>
              <w:t>38,3 ± </w:t>
            </w:r>
            <w:r>
              <w:rPr>
                <w:spacing w:val="-5"/>
                <w:sz w:val="24"/>
              </w:rPr>
              <w:t>0,1</w:t>
            </w:r>
          </w:p>
        </w:tc>
        <w:tc>
          <w:tcPr>
            <w:tcW w:w="1466" w:type="dxa"/>
            <w:tcBorders>
              <w:top w:val="single" w:sz="4" w:space="0" w:color="000000"/>
            </w:tcBorders>
          </w:tcPr>
          <w:p>
            <w:pPr>
              <w:pStyle w:val="TableParagraph"/>
              <w:spacing w:line="275" w:lineRule="exact" w:before="0"/>
              <w:ind w:right="110"/>
              <w:jc w:val="right"/>
              <w:rPr>
                <w:sz w:val="24"/>
              </w:rPr>
            </w:pPr>
            <w:r>
              <w:rPr>
                <w:sz w:val="24"/>
              </w:rPr>
              <w:t>-0,1 ± </w:t>
            </w:r>
            <w:r>
              <w:rPr>
                <w:spacing w:val="-5"/>
                <w:sz w:val="24"/>
              </w:rPr>
              <w:t>0,1</w:t>
            </w:r>
          </w:p>
        </w:tc>
      </w:tr>
      <w:tr>
        <w:trPr>
          <w:trHeight w:val="479" w:hRule="atLeast"/>
        </w:trPr>
        <w:tc>
          <w:tcPr>
            <w:tcW w:w="1256" w:type="dxa"/>
            <w:tcBorders>
              <w:bottom w:val="single" w:sz="4" w:space="0" w:color="000000"/>
            </w:tcBorders>
          </w:tcPr>
          <w:p>
            <w:pPr>
              <w:pStyle w:val="TableParagraph"/>
              <w:spacing w:before="65"/>
              <w:ind w:left="114"/>
              <w:jc w:val="left"/>
              <w:rPr>
                <w:b/>
                <w:sz w:val="24"/>
              </w:rPr>
            </w:pPr>
            <w:r>
              <w:rPr>
                <w:b/>
                <w:spacing w:val="-5"/>
                <w:sz w:val="24"/>
              </w:rPr>
              <w:t>IV</w:t>
            </w:r>
          </w:p>
        </w:tc>
        <w:tc>
          <w:tcPr>
            <w:tcW w:w="1817" w:type="dxa"/>
            <w:tcBorders>
              <w:bottom w:val="single" w:sz="4" w:space="0" w:color="000000"/>
            </w:tcBorders>
          </w:tcPr>
          <w:p>
            <w:pPr>
              <w:pStyle w:val="TableParagraph"/>
              <w:spacing w:before="65"/>
              <w:ind w:right="504"/>
              <w:jc w:val="right"/>
              <w:rPr>
                <w:sz w:val="24"/>
              </w:rPr>
            </w:pPr>
            <w:r>
              <w:rPr>
                <w:sz w:val="24"/>
              </w:rPr>
              <w:t>38,5 ± </w:t>
            </w:r>
            <w:r>
              <w:rPr>
                <w:spacing w:val="-5"/>
                <w:sz w:val="24"/>
              </w:rPr>
              <w:t>0,2</w:t>
            </w:r>
          </w:p>
        </w:tc>
        <w:tc>
          <w:tcPr>
            <w:tcW w:w="3438" w:type="dxa"/>
            <w:tcBorders>
              <w:bottom w:val="single" w:sz="4" w:space="0" w:color="000000"/>
            </w:tcBorders>
          </w:tcPr>
          <w:p>
            <w:pPr>
              <w:pStyle w:val="TableParagraph"/>
              <w:spacing w:before="65"/>
              <w:ind w:right="285"/>
              <w:jc w:val="right"/>
              <w:rPr>
                <w:sz w:val="24"/>
              </w:rPr>
            </w:pPr>
            <w:r>
              <w:rPr>
                <w:sz w:val="24"/>
              </w:rPr>
              <w:t>38,3 ± </w:t>
            </w:r>
            <w:r>
              <w:rPr>
                <w:spacing w:val="-5"/>
                <w:sz w:val="24"/>
              </w:rPr>
              <w:t>0,2</w:t>
            </w:r>
          </w:p>
        </w:tc>
        <w:tc>
          <w:tcPr>
            <w:tcW w:w="1466" w:type="dxa"/>
            <w:tcBorders>
              <w:bottom w:val="single" w:sz="4" w:space="0" w:color="000000"/>
            </w:tcBorders>
          </w:tcPr>
          <w:p>
            <w:pPr>
              <w:pStyle w:val="TableParagraph"/>
              <w:spacing w:before="65"/>
              <w:ind w:right="110"/>
              <w:jc w:val="right"/>
              <w:rPr>
                <w:sz w:val="24"/>
              </w:rPr>
            </w:pPr>
            <w:r>
              <w:rPr>
                <w:sz w:val="24"/>
              </w:rPr>
              <w:t>-0,2 ± </w:t>
            </w:r>
            <w:r>
              <w:rPr>
                <w:spacing w:val="-5"/>
                <w:sz w:val="24"/>
              </w:rPr>
              <w:t>0,1</w:t>
            </w:r>
          </w:p>
        </w:tc>
      </w:tr>
    </w:tbl>
    <w:p>
      <w:pPr>
        <w:pStyle w:val="BodyText"/>
        <w:rPr>
          <w:i/>
          <w:sz w:val="22"/>
        </w:rPr>
      </w:pPr>
    </w:p>
    <w:p>
      <w:pPr>
        <w:pStyle w:val="BodyText"/>
        <w:spacing w:before="101"/>
        <w:rPr>
          <w:i/>
          <w:sz w:val="22"/>
        </w:rPr>
      </w:pPr>
    </w:p>
    <w:p>
      <w:pPr>
        <w:spacing w:before="0"/>
        <w:ind w:left="568" w:right="0" w:firstLine="0"/>
        <w:jc w:val="left"/>
        <w:rPr>
          <w:b/>
          <w:sz w:val="22"/>
        </w:rPr>
      </w:pPr>
      <w:bookmarkStart w:name="_bookmark65" w:id="66"/>
      <w:bookmarkEnd w:id="66"/>
      <w:r>
        <w:rPr/>
      </w:r>
      <w:r>
        <w:rPr>
          <w:b/>
          <w:sz w:val="22"/>
        </w:rPr>
        <w:t>Figura</w:t>
      </w:r>
      <w:r>
        <w:rPr>
          <w:b/>
          <w:spacing w:val="-3"/>
          <w:sz w:val="22"/>
        </w:rPr>
        <w:t> </w:t>
      </w:r>
      <w:r>
        <w:rPr>
          <w:b/>
          <w:spacing w:val="-5"/>
          <w:sz w:val="22"/>
        </w:rPr>
        <w:t>10.</w:t>
      </w:r>
    </w:p>
    <w:p>
      <w:pPr>
        <w:spacing w:before="127"/>
        <w:ind w:left="568" w:right="0" w:firstLine="0"/>
        <w:jc w:val="left"/>
        <w:rPr>
          <w:i/>
          <w:sz w:val="22"/>
        </w:rPr>
      </w:pPr>
      <w:r>
        <w:rPr>
          <w:i/>
          <w:sz w:val="22"/>
        </w:rPr>
        <w:drawing>
          <wp:anchor distT="0" distB="0" distL="0" distR="0" allowOverlap="1" layoutInCell="1" locked="0" behindDoc="0" simplePos="0" relativeHeight="15738368">
            <wp:simplePos x="0" y="0"/>
            <wp:positionH relativeFrom="page">
              <wp:posOffset>1450509</wp:posOffset>
            </wp:positionH>
            <wp:positionV relativeFrom="paragraph">
              <wp:posOffset>381244</wp:posOffset>
            </wp:positionV>
            <wp:extent cx="4477681" cy="2848730"/>
            <wp:effectExtent l="0" t="0" r="0" b="0"/>
            <wp:wrapNone/>
            <wp:docPr id="25" name="Image 25"/>
            <wp:cNvGraphicFramePr>
              <a:graphicFrameLocks/>
            </wp:cNvGraphicFramePr>
            <a:graphic>
              <a:graphicData uri="http://schemas.openxmlformats.org/drawingml/2006/picture">
                <pic:pic>
                  <pic:nvPicPr>
                    <pic:cNvPr id="25" name="Image 25"/>
                    <pic:cNvPicPr/>
                  </pic:nvPicPr>
                  <pic:blipFill>
                    <a:blip r:embed="rId21" cstate="print"/>
                    <a:stretch>
                      <a:fillRect/>
                    </a:stretch>
                  </pic:blipFill>
                  <pic:spPr>
                    <a:xfrm>
                      <a:off x="0" y="0"/>
                      <a:ext cx="4477681" cy="2848730"/>
                    </a:xfrm>
                    <a:prstGeom prst="rect">
                      <a:avLst/>
                    </a:prstGeom>
                  </pic:spPr>
                </pic:pic>
              </a:graphicData>
            </a:graphic>
          </wp:anchor>
        </w:drawing>
      </w:r>
      <w:r>
        <w:rPr>
          <w:i/>
          <w:sz w:val="22"/>
        </w:rPr>
        <w:t>Temperatura</w:t>
      </w:r>
      <w:r>
        <w:rPr>
          <w:i/>
          <w:spacing w:val="-8"/>
          <w:sz w:val="22"/>
        </w:rPr>
        <w:t> </w:t>
      </w:r>
      <w:r>
        <w:rPr>
          <w:i/>
          <w:sz w:val="22"/>
        </w:rPr>
        <w:t>corporal</w:t>
      </w:r>
      <w:r>
        <w:rPr>
          <w:i/>
          <w:spacing w:val="-7"/>
          <w:sz w:val="22"/>
        </w:rPr>
        <w:t> </w:t>
      </w:r>
      <w:r>
        <w:rPr>
          <w:i/>
          <w:sz w:val="22"/>
        </w:rPr>
        <w:t>según</w:t>
      </w:r>
      <w:r>
        <w:rPr>
          <w:i/>
          <w:spacing w:val="-5"/>
          <w:sz w:val="22"/>
        </w:rPr>
        <w:t> </w:t>
      </w:r>
      <w:r>
        <w:rPr>
          <w:i/>
          <w:sz w:val="22"/>
        </w:rPr>
        <w:t>vía</w:t>
      </w:r>
      <w:r>
        <w:rPr>
          <w:i/>
          <w:spacing w:val="-5"/>
          <w:sz w:val="22"/>
        </w:rPr>
        <w:t> </w:t>
      </w:r>
      <w:r>
        <w:rPr>
          <w:i/>
          <w:sz w:val="22"/>
        </w:rPr>
        <w:t>de</w:t>
      </w:r>
      <w:r>
        <w:rPr>
          <w:i/>
          <w:spacing w:val="-11"/>
          <w:sz w:val="22"/>
        </w:rPr>
        <w:t> </w:t>
      </w:r>
      <w:r>
        <w:rPr>
          <w:i/>
          <w:sz w:val="22"/>
        </w:rPr>
        <w:t>administración</w:t>
      </w:r>
      <w:r>
        <w:rPr>
          <w:i/>
          <w:spacing w:val="-9"/>
          <w:sz w:val="22"/>
        </w:rPr>
        <w:t> </w:t>
      </w:r>
      <w:r>
        <w:rPr>
          <w:i/>
          <w:sz w:val="22"/>
        </w:rPr>
        <w:t>de</w:t>
      </w:r>
      <w:r>
        <w:rPr>
          <w:i/>
          <w:spacing w:val="-7"/>
          <w:sz w:val="22"/>
        </w:rPr>
        <w:t> </w:t>
      </w:r>
      <w:r>
        <w:rPr>
          <w:i/>
          <w:spacing w:val="-2"/>
          <w:sz w:val="22"/>
        </w:rPr>
        <w:t>dexmedetomidina</w:t>
      </w:r>
    </w:p>
    <w:p>
      <w:pPr>
        <w:spacing w:after="0"/>
        <w:jc w:val="left"/>
        <w:rPr>
          <w:i/>
          <w:sz w:val="22"/>
        </w:rPr>
        <w:sectPr>
          <w:pgSz w:w="11910" w:h="16840"/>
          <w:pgMar w:header="0" w:footer="1038" w:top="1620" w:bottom="1220" w:left="1700" w:right="1559"/>
        </w:sectPr>
      </w:pPr>
    </w:p>
    <w:p>
      <w:pPr>
        <w:pStyle w:val="BodyText"/>
        <w:spacing w:line="480" w:lineRule="auto" w:before="64"/>
        <w:ind w:left="568" w:right="143"/>
        <w:jc w:val="both"/>
      </w:pPr>
      <w:r>
        <w:rPr>
          <w:color w:val="0D0D0D"/>
        </w:rPr>
        <w:t>La temperatura corporal presentó variaciones leves en ambos grupos durante el periodo</w:t>
      </w:r>
      <w:r>
        <w:rPr>
          <w:color w:val="0D0D0D"/>
          <w:spacing w:val="2"/>
        </w:rPr>
        <w:t> </w:t>
      </w:r>
      <w:r>
        <w:rPr>
          <w:color w:val="0D0D0D"/>
        </w:rPr>
        <w:t>intraoperatorio,</w:t>
      </w:r>
      <w:r>
        <w:rPr>
          <w:color w:val="0D0D0D"/>
          <w:spacing w:val="2"/>
        </w:rPr>
        <w:t> </w:t>
      </w:r>
      <w:r>
        <w:rPr>
          <w:color w:val="0D0D0D"/>
        </w:rPr>
        <w:t>en</w:t>
      </w:r>
      <w:r>
        <w:rPr>
          <w:color w:val="0D0D0D"/>
          <w:spacing w:val="2"/>
        </w:rPr>
        <w:t> </w:t>
      </w:r>
      <w:r>
        <w:rPr>
          <w:color w:val="0D0D0D"/>
        </w:rPr>
        <w:t>el</w:t>
      </w:r>
      <w:r>
        <w:rPr>
          <w:color w:val="0D0D0D"/>
          <w:spacing w:val="4"/>
        </w:rPr>
        <w:t> </w:t>
      </w:r>
      <w:r>
        <w:rPr>
          <w:color w:val="0D0D0D"/>
        </w:rPr>
        <w:t>grupo</w:t>
      </w:r>
      <w:r>
        <w:rPr>
          <w:color w:val="0D0D0D"/>
          <w:spacing w:val="2"/>
        </w:rPr>
        <w:t> </w:t>
      </w:r>
      <w:r>
        <w:rPr>
          <w:color w:val="0D0D0D"/>
        </w:rPr>
        <w:t>intramuscular,</w:t>
      </w:r>
      <w:r>
        <w:rPr>
          <w:color w:val="0D0D0D"/>
          <w:spacing w:val="-1"/>
        </w:rPr>
        <w:t> </w:t>
      </w:r>
      <w:r>
        <w:rPr>
          <w:color w:val="0D0D0D"/>
        </w:rPr>
        <w:t>el</w:t>
      </w:r>
      <w:r>
        <w:rPr>
          <w:color w:val="0D0D0D"/>
          <w:spacing w:val="4"/>
        </w:rPr>
        <w:t> </w:t>
      </w:r>
      <w:r>
        <w:rPr>
          <w:color w:val="0D0D0D"/>
        </w:rPr>
        <w:t>valor</w:t>
      </w:r>
      <w:r>
        <w:rPr>
          <w:color w:val="0D0D0D"/>
          <w:spacing w:val="2"/>
        </w:rPr>
        <w:t> </w:t>
      </w:r>
      <w:r>
        <w:rPr>
          <w:color w:val="0D0D0D"/>
        </w:rPr>
        <w:t>basal</w:t>
      </w:r>
      <w:r>
        <w:rPr>
          <w:color w:val="0D0D0D"/>
          <w:spacing w:val="3"/>
        </w:rPr>
        <w:t> </w:t>
      </w:r>
      <w:r>
        <w:rPr>
          <w:color w:val="0D0D0D"/>
        </w:rPr>
        <w:t>fue</w:t>
      </w:r>
      <w:r>
        <w:rPr>
          <w:color w:val="0D0D0D"/>
          <w:spacing w:val="5"/>
        </w:rPr>
        <w:t> </w:t>
      </w:r>
      <w:r>
        <w:rPr>
          <w:color w:val="0D0D0D"/>
        </w:rPr>
        <w:t>de</w:t>
      </w:r>
      <w:r>
        <w:rPr>
          <w:color w:val="0D0D0D"/>
          <w:spacing w:val="4"/>
        </w:rPr>
        <w:t> </w:t>
      </w:r>
      <w:r>
        <w:rPr>
          <w:color w:val="0D0D0D"/>
        </w:rPr>
        <w:t>38,4</w:t>
      </w:r>
      <w:r>
        <w:rPr>
          <w:color w:val="0D0D0D"/>
          <w:spacing w:val="2"/>
        </w:rPr>
        <w:t> </w:t>
      </w:r>
      <w:r>
        <w:rPr>
          <w:color w:val="0D0D0D"/>
        </w:rPr>
        <w:t>±</w:t>
      </w:r>
      <w:r>
        <w:rPr>
          <w:color w:val="0D0D0D"/>
          <w:spacing w:val="4"/>
        </w:rPr>
        <w:t> </w:t>
      </w:r>
      <w:r>
        <w:rPr>
          <w:color w:val="0D0D0D"/>
          <w:spacing w:val="-5"/>
        </w:rPr>
        <w:t>0,2</w:t>
      </w:r>
    </w:p>
    <w:p>
      <w:pPr>
        <w:pStyle w:val="BodyText"/>
        <w:spacing w:line="480" w:lineRule="auto"/>
        <w:ind w:left="568" w:right="140"/>
        <w:jc w:val="both"/>
      </w:pPr>
      <w:r>
        <w:rPr>
          <w:color w:val="0D0D0D"/>
        </w:rPr>
        <w:t>°C, mientras que el promedio intraoperatorio fue de 38,3 ± 0,1 °C, con una diferencia</w:t>
      </w:r>
      <w:r>
        <w:rPr>
          <w:color w:val="0D0D0D"/>
          <w:spacing w:val="-8"/>
        </w:rPr>
        <w:t> </w:t>
      </w:r>
      <w:r>
        <w:rPr>
          <w:color w:val="0D0D0D"/>
        </w:rPr>
        <w:t>de</w:t>
      </w:r>
      <w:r>
        <w:rPr>
          <w:color w:val="0D0D0D"/>
          <w:spacing w:val="-5"/>
        </w:rPr>
        <w:t> </w:t>
      </w:r>
      <w:r>
        <w:rPr>
          <w:color w:val="0D0D0D"/>
        </w:rPr>
        <w:t>-0,1</w:t>
      </w:r>
      <w:r>
        <w:rPr>
          <w:color w:val="0D0D0D"/>
          <w:spacing w:val="-8"/>
        </w:rPr>
        <w:t> </w:t>
      </w:r>
      <w:r>
        <w:rPr>
          <w:color w:val="0D0D0D"/>
        </w:rPr>
        <w:t>±</w:t>
      </w:r>
      <w:r>
        <w:rPr>
          <w:color w:val="0D0D0D"/>
          <w:spacing w:val="-8"/>
        </w:rPr>
        <w:t> </w:t>
      </w:r>
      <w:r>
        <w:rPr>
          <w:color w:val="0D0D0D"/>
        </w:rPr>
        <w:t>0,1</w:t>
      </w:r>
      <w:r>
        <w:rPr>
          <w:color w:val="0D0D0D"/>
          <w:spacing w:val="-8"/>
        </w:rPr>
        <w:t> </w:t>
      </w:r>
      <w:r>
        <w:rPr>
          <w:color w:val="0D0D0D"/>
        </w:rPr>
        <w:t>°C.</w:t>
      </w:r>
      <w:r>
        <w:rPr>
          <w:color w:val="0D0D0D"/>
          <w:spacing w:val="-9"/>
        </w:rPr>
        <w:t> </w:t>
      </w:r>
      <w:r>
        <w:rPr>
          <w:color w:val="0D0D0D"/>
        </w:rPr>
        <w:t>En</w:t>
      </w:r>
      <w:r>
        <w:rPr>
          <w:color w:val="0D0D0D"/>
          <w:spacing w:val="-8"/>
        </w:rPr>
        <w:t> </w:t>
      </w:r>
      <w:r>
        <w:rPr>
          <w:color w:val="0D0D0D"/>
        </w:rPr>
        <w:t>el</w:t>
      </w:r>
      <w:r>
        <w:rPr>
          <w:color w:val="0D0D0D"/>
          <w:spacing w:val="-7"/>
        </w:rPr>
        <w:t> </w:t>
      </w:r>
      <w:r>
        <w:rPr>
          <w:color w:val="0D0D0D"/>
        </w:rPr>
        <w:t>grupo</w:t>
      </w:r>
      <w:r>
        <w:rPr>
          <w:color w:val="0D0D0D"/>
          <w:spacing w:val="-9"/>
        </w:rPr>
        <w:t> </w:t>
      </w:r>
      <w:r>
        <w:rPr>
          <w:color w:val="0D0D0D"/>
        </w:rPr>
        <w:t>intravenoso,</w:t>
      </w:r>
      <w:r>
        <w:rPr>
          <w:color w:val="0D0D0D"/>
          <w:spacing w:val="-8"/>
        </w:rPr>
        <w:t> </w:t>
      </w:r>
      <w:r>
        <w:rPr>
          <w:color w:val="0D0D0D"/>
        </w:rPr>
        <w:t>el</w:t>
      </w:r>
      <w:r>
        <w:rPr>
          <w:color w:val="0D0D0D"/>
          <w:spacing w:val="-7"/>
        </w:rPr>
        <w:t> </w:t>
      </w:r>
      <w:r>
        <w:rPr>
          <w:color w:val="0D0D0D"/>
        </w:rPr>
        <w:t>valor</w:t>
      </w:r>
      <w:r>
        <w:rPr>
          <w:color w:val="0D0D0D"/>
          <w:spacing w:val="-8"/>
        </w:rPr>
        <w:t> </w:t>
      </w:r>
      <w:r>
        <w:rPr>
          <w:color w:val="0D0D0D"/>
        </w:rPr>
        <w:t>basal</w:t>
      </w:r>
      <w:r>
        <w:rPr>
          <w:color w:val="0D0D0D"/>
          <w:spacing w:val="-7"/>
        </w:rPr>
        <w:t> </w:t>
      </w:r>
      <w:r>
        <w:rPr>
          <w:color w:val="0D0D0D"/>
        </w:rPr>
        <w:t>fue</w:t>
      </w:r>
      <w:r>
        <w:rPr>
          <w:color w:val="0D0D0D"/>
          <w:spacing w:val="-7"/>
        </w:rPr>
        <w:t> </w:t>
      </w:r>
      <w:r>
        <w:rPr>
          <w:color w:val="0D0D0D"/>
        </w:rPr>
        <w:t>de</w:t>
      </w:r>
      <w:r>
        <w:rPr>
          <w:color w:val="0D0D0D"/>
          <w:spacing w:val="-7"/>
        </w:rPr>
        <w:t> </w:t>
      </w:r>
      <w:r>
        <w:rPr>
          <w:color w:val="0D0D0D"/>
        </w:rPr>
        <w:t>38,5</w:t>
      </w:r>
      <w:r>
        <w:rPr>
          <w:color w:val="0D0D0D"/>
          <w:spacing w:val="-8"/>
        </w:rPr>
        <w:t> </w:t>
      </w:r>
      <w:r>
        <w:rPr>
          <w:color w:val="0D0D0D"/>
        </w:rPr>
        <w:t>±</w:t>
      </w:r>
      <w:r>
        <w:rPr>
          <w:color w:val="0D0D0D"/>
          <w:spacing w:val="-8"/>
        </w:rPr>
        <w:t> </w:t>
      </w:r>
      <w:r>
        <w:rPr>
          <w:color w:val="0D0D0D"/>
          <w:spacing w:val="-5"/>
        </w:rPr>
        <w:t>0,2</w:t>
      </w:r>
    </w:p>
    <w:p>
      <w:pPr>
        <w:pStyle w:val="BodyText"/>
        <w:spacing w:line="480" w:lineRule="auto" w:before="1"/>
        <w:ind w:left="568" w:right="143"/>
        <w:jc w:val="both"/>
      </w:pPr>
      <w:r>
        <w:rPr>
          <w:color w:val="0D0D0D"/>
        </w:rPr>
        <w:t>°C, mientras que el promedio intraoperatorio fue de 38,3 ± 0,2 °C, con una diferencia</w:t>
      </w:r>
      <w:r>
        <w:rPr>
          <w:color w:val="0D0D0D"/>
          <w:spacing w:val="-10"/>
        </w:rPr>
        <w:t> </w:t>
      </w:r>
      <w:r>
        <w:rPr>
          <w:color w:val="0D0D0D"/>
        </w:rPr>
        <w:t>de</w:t>
      </w:r>
      <w:r>
        <w:rPr>
          <w:color w:val="0D0D0D"/>
          <w:spacing w:val="-8"/>
        </w:rPr>
        <w:t> </w:t>
      </w:r>
      <w:r>
        <w:rPr>
          <w:color w:val="0D0D0D"/>
        </w:rPr>
        <w:t>-0,2</w:t>
      </w:r>
      <w:r>
        <w:rPr>
          <w:color w:val="0D0D0D"/>
          <w:spacing w:val="-11"/>
        </w:rPr>
        <w:t> </w:t>
      </w:r>
      <w:r>
        <w:rPr>
          <w:color w:val="0D0D0D"/>
        </w:rPr>
        <w:t>±</w:t>
      </w:r>
      <w:r>
        <w:rPr>
          <w:color w:val="0D0D0D"/>
          <w:spacing w:val="-11"/>
        </w:rPr>
        <w:t> </w:t>
      </w:r>
      <w:r>
        <w:rPr>
          <w:color w:val="0D0D0D"/>
        </w:rPr>
        <w:t>0,1</w:t>
      </w:r>
      <w:r>
        <w:rPr>
          <w:color w:val="0D0D0D"/>
          <w:spacing w:val="-11"/>
        </w:rPr>
        <w:t> </w:t>
      </w:r>
      <w:r>
        <w:rPr>
          <w:color w:val="0D0D0D"/>
        </w:rPr>
        <w:t>°C;</w:t>
      </w:r>
      <w:r>
        <w:rPr>
          <w:color w:val="0D0D0D"/>
          <w:spacing w:val="-10"/>
        </w:rPr>
        <w:t> </w:t>
      </w:r>
      <w:r>
        <w:rPr>
          <w:color w:val="0D0D0D"/>
        </w:rPr>
        <w:t>estos</w:t>
      </w:r>
      <w:r>
        <w:rPr>
          <w:color w:val="0D0D0D"/>
          <w:spacing w:val="-13"/>
        </w:rPr>
        <w:t> </w:t>
      </w:r>
      <w:r>
        <w:rPr>
          <w:color w:val="0D0D0D"/>
        </w:rPr>
        <w:t>resultados</w:t>
      </w:r>
      <w:r>
        <w:rPr>
          <w:color w:val="0D0D0D"/>
          <w:spacing w:val="-13"/>
        </w:rPr>
        <w:t> </w:t>
      </w:r>
      <w:r>
        <w:rPr>
          <w:color w:val="0D0D0D"/>
        </w:rPr>
        <w:t>evidencian</w:t>
      </w:r>
      <w:r>
        <w:rPr>
          <w:color w:val="0D0D0D"/>
          <w:spacing w:val="-11"/>
        </w:rPr>
        <w:t> </w:t>
      </w:r>
      <w:r>
        <w:rPr>
          <w:color w:val="0D0D0D"/>
        </w:rPr>
        <w:t>una</w:t>
      </w:r>
      <w:r>
        <w:rPr>
          <w:color w:val="0D0D0D"/>
          <w:spacing w:val="-10"/>
        </w:rPr>
        <w:t> </w:t>
      </w:r>
      <w:r>
        <w:rPr>
          <w:color w:val="0D0D0D"/>
        </w:rPr>
        <w:t>disminución</w:t>
      </w:r>
      <w:r>
        <w:rPr>
          <w:color w:val="0D0D0D"/>
          <w:spacing w:val="-11"/>
        </w:rPr>
        <w:t> </w:t>
      </w:r>
      <w:r>
        <w:rPr>
          <w:color w:val="0D0D0D"/>
        </w:rPr>
        <w:t>mínima</w:t>
      </w:r>
      <w:r>
        <w:rPr>
          <w:color w:val="0D0D0D"/>
          <w:spacing w:val="-10"/>
        </w:rPr>
        <w:t> </w:t>
      </w:r>
      <w:r>
        <w:rPr>
          <w:color w:val="0D0D0D"/>
        </w:rPr>
        <w:t>de la temperatura corporal en ambos grupos.</w:t>
      </w:r>
    </w:p>
    <w:p>
      <w:pPr>
        <w:pStyle w:val="BodyText"/>
        <w:spacing w:line="480" w:lineRule="auto" w:before="241"/>
        <w:ind w:left="568" w:right="136"/>
        <w:jc w:val="both"/>
      </w:pPr>
      <w:r>
        <w:rPr>
          <w:color w:val="0D0D0D"/>
        </w:rPr>
        <w:t>En el punto de vista anestésico, la temperatura corporal es una variable que debe vigilarse de forma continua debido a que la anestesia general, la sedación, la exposición quirúrgica o la duración del procedimiento, favorecen descensos térmicos</w:t>
      </w:r>
      <w:r>
        <w:rPr>
          <w:color w:val="0D0D0D"/>
          <w:spacing w:val="-4"/>
        </w:rPr>
        <w:t> </w:t>
      </w:r>
      <w:r>
        <w:rPr>
          <w:color w:val="0D0D0D"/>
        </w:rPr>
        <w:t>durante</w:t>
      </w:r>
      <w:r>
        <w:rPr>
          <w:color w:val="0D0D0D"/>
          <w:spacing w:val="-5"/>
        </w:rPr>
        <w:t> </w:t>
      </w:r>
      <w:r>
        <w:rPr>
          <w:color w:val="0D0D0D"/>
        </w:rPr>
        <w:t>el</w:t>
      </w:r>
      <w:r>
        <w:rPr>
          <w:color w:val="0D0D0D"/>
          <w:spacing w:val="-1"/>
        </w:rPr>
        <w:t> </w:t>
      </w:r>
      <w:r>
        <w:rPr>
          <w:color w:val="0D0D0D"/>
        </w:rPr>
        <w:t>transoperatorio</w:t>
      </w:r>
      <w:r>
        <w:rPr>
          <w:color w:val="0D0D0D"/>
          <w:spacing w:val="-2"/>
        </w:rPr>
        <w:t> </w:t>
      </w:r>
      <w:r>
        <w:rPr>
          <w:color w:val="0D0D0D"/>
        </w:rPr>
        <w:t>(Grubb</w:t>
      </w:r>
      <w:r>
        <w:rPr>
          <w:color w:val="0D0D0D"/>
          <w:spacing w:val="-2"/>
        </w:rPr>
        <w:t> </w:t>
      </w:r>
      <w:r>
        <w:rPr>
          <w:color w:val="0D0D0D"/>
        </w:rPr>
        <w:t>et</w:t>
      </w:r>
      <w:r>
        <w:rPr>
          <w:color w:val="0D0D0D"/>
          <w:spacing w:val="-1"/>
        </w:rPr>
        <w:t> </w:t>
      </w:r>
      <w:r>
        <w:rPr>
          <w:color w:val="0D0D0D"/>
        </w:rPr>
        <w:t>al.,</w:t>
      </w:r>
      <w:r>
        <w:rPr>
          <w:color w:val="0D0D0D"/>
          <w:spacing w:val="-2"/>
        </w:rPr>
        <w:t> </w:t>
      </w:r>
      <w:r>
        <w:rPr>
          <w:color w:val="0D0D0D"/>
        </w:rPr>
        <w:t>2020).</w:t>
      </w:r>
      <w:r>
        <w:rPr>
          <w:color w:val="0D0D0D"/>
          <w:spacing w:val="-2"/>
        </w:rPr>
        <w:t> </w:t>
      </w:r>
      <w:r>
        <w:rPr>
          <w:color w:val="0D0D0D"/>
        </w:rPr>
        <w:t>En</w:t>
      </w:r>
      <w:r>
        <w:rPr>
          <w:color w:val="0D0D0D"/>
          <w:spacing w:val="-2"/>
        </w:rPr>
        <w:t> </w:t>
      </w:r>
      <w:r>
        <w:rPr>
          <w:color w:val="0D0D0D"/>
        </w:rPr>
        <w:t>el</w:t>
      </w:r>
      <w:r>
        <w:rPr>
          <w:color w:val="0D0D0D"/>
          <w:spacing w:val="-1"/>
        </w:rPr>
        <w:t> </w:t>
      </w:r>
      <w:r>
        <w:rPr>
          <w:color w:val="0D0D0D"/>
        </w:rPr>
        <w:t>presente</w:t>
      </w:r>
      <w:r>
        <w:rPr>
          <w:color w:val="0D0D0D"/>
          <w:spacing w:val="-1"/>
        </w:rPr>
        <w:t> </w:t>
      </w:r>
      <w:r>
        <w:rPr>
          <w:color w:val="0D0D0D"/>
        </w:rPr>
        <w:t>estudio,</w:t>
      </w:r>
      <w:r>
        <w:rPr>
          <w:color w:val="0D0D0D"/>
          <w:spacing w:val="-7"/>
        </w:rPr>
        <w:t> </w:t>
      </w:r>
      <w:r>
        <w:rPr>
          <w:color w:val="0D0D0D"/>
        </w:rPr>
        <w:t>las variaciones observadas fueron mínimas, así como similares entre las vías intramuscular e intravenosa, lo que sugiere que la vía de administración de la dexmedetomidina no produjo un efecto diferencial sobre la temperatura corporal. Los agonistas α2-adrenérgicos pueden influir sobre respuestas fisiológicas relacionadas con sedación,</w:t>
      </w:r>
      <w:r>
        <w:rPr>
          <w:color w:val="0D0D0D"/>
          <w:spacing w:val="-1"/>
        </w:rPr>
        <w:t> </w:t>
      </w:r>
      <w:r>
        <w:rPr>
          <w:color w:val="0D0D0D"/>
        </w:rPr>
        <w:t>tono autonómico o estabilidad cardiovascular, pero los valores obtenidos se mantuvieron dentro de rangos compatibles con estabilidad clínica en la muestra evaluada (Pan et al., 2021; Di Franco et al., 2023).</w:t>
      </w:r>
    </w:p>
    <w:p>
      <w:pPr>
        <w:pStyle w:val="Heading3"/>
        <w:numPr>
          <w:ilvl w:val="2"/>
          <w:numId w:val="8"/>
        </w:numPr>
        <w:tabs>
          <w:tab w:pos="1288" w:val="left" w:leader="none"/>
        </w:tabs>
        <w:spacing w:line="240" w:lineRule="auto" w:before="1" w:after="0"/>
        <w:ind w:left="1288" w:right="0" w:hanging="720"/>
        <w:jc w:val="both"/>
      </w:pPr>
      <w:bookmarkStart w:name="_bookmark66" w:id="67"/>
      <w:bookmarkEnd w:id="67"/>
      <w:r>
        <w:rPr>
          <w:b w:val="0"/>
        </w:rPr>
      </w:r>
      <w:r>
        <w:rPr>
          <w:color w:val="0D0D0D"/>
        </w:rPr>
        <w:t>Tiempo</w:t>
      </w:r>
      <w:r>
        <w:rPr>
          <w:color w:val="0D0D0D"/>
          <w:spacing w:val="-4"/>
        </w:rPr>
        <w:t> </w:t>
      </w:r>
      <w:r>
        <w:rPr>
          <w:color w:val="0D0D0D"/>
        </w:rPr>
        <w:t>de</w:t>
      </w:r>
      <w:r>
        <w:rPr>
          <w:color w:val="0D0D0D"/>
          <w:spacing w:val="-3"/>
        </w:rPr>
        <w:t> </w:t>
      </w:r>
      <w:r>
        <w:rPr>
          <w:color w:val="0D0D0D"/>
        </w:rPr>
        <w:t>llenado</w:t>
      </w:r>
      <w:r>
        <w:rPr>
          <w:color w:val="0D0D0D"/>
          <w:spacing w:val="-4"/>
        </w:rPr>
        <w:t> </w:t>
      </w:r>
      <w:r>
        <w:rPr>
          <w:color w:val="0D0D0D"/>
        </w:rPr>
        <w:t>capilar</w:t>
      </w:r>
      <w:r>
        <w:rPr>
          <w:color w:val="0D0D0D"/>
          <w:spacing w:val="-6"/>
        </w:rPr>
        <w:t> </w:t>
      </w:r>
      <w:r>
        <w:rPr>
          <w:color w:val="0D0D0D"/>
          <w:spacing w:val="-2"/>
        </w:rPr>
        <w:t>(segundos)</w:t>
      </w:r>
    </w:p>
    <w:p>
      <w:pPr>
        <w:spacing w:before="275"/>
        <w:ind w:left="568" w:right="0" w:firstLine="0"/>
        <w:jc w:val="both"/>
        <w:rPr>
          <w:b/>
          <w:sz w:val="22"/>
        </w:rPr>
      </w:pPr>
      <w:bookmarkStart w:name="_bookmark67" w:id="68"/>
      <w:bookmarkEnd w:id="68"/>
      <w:r>
        <w:rPr/>
      </w:r>
      <w:r>
        <w:rPr>
          <w:b/>
          <w:spacing w:val="-2"/>
          <w:sz w:val="22"/>
        </w:rPr>
        <w:t>Tabla</w:t>
      </w:r>
      <w:r>
        <w:rPr>
          <w:b/>
          <w:spacing w:val="-10"/>
          <w:sz w:val="22"/>
        </w:rPr>
        <w:t> </w:t>
      </w:r>
      <w:r>
        <w:rPr>
          <w:b/>
          <w:spacing w:val="-5"/>
          <w:sz w:val="22"/>
        </w:rPr>
        <w:t>10.</w:t>
      </w:r>
    </w:p>
    <w:p>
      <w:pPr>
        <w:spacing w:before="127"/>
        <w:ind w:left="568" w:right="0" w:firstLine="0"/>
        <w:jc w:val="both"/>
        <w:rPr>
          <w:i/>
          <w:sz w:val="22"/>
        </w:rPr>
      </w:pPr>
      <w:r>
        <w:rPr>
          <w:i/>
          <w:sz w:val="22"/>
        </w:rPr>
        <w:t>Tiempo</w:t>
      </w:r>
      <w:r>
        <w:rPr>
          <w:i/>
          <w:spacing w:val="-9"/>
          <w:sz w:val="22"/>
        </w:rPr>
        <w:t> </w:t>
      </w:r>
      <w:r>
        <w:rPr>
          <w:i/>
          <w:sz w:val="22"/>
        </w:rPr>
        <w:t>de</w:t>
      </w:r>
      <w:r>
        <w:rPr>
          <w:i/>
          <w:spacing w:val="-5"/>
          <w:sz w:val="22"/>
        </w:rPr>
        <w:t> </w:t>
      </w:r>
      <w:r>
        <w:rPr>
          <w:i/>
          <w:sz w:val="22"/>
        </w:rPr>
        <w:t>llenado</w:t>
      </w:r>
      <w:r>
        <w:rPr>
          <w:i/>
          <w:spacing w:val="-3"/>
          <w:sz w:val="22"/>
        </w:rPr>
        <w:t> </w:t>
      </w:r>
      <w:r>
        <w:rPr>
          <w:i/>
          <w:sz w:val="22"/>
        </w:rPr>
        <w:t>capilar</w:t>
      </w:r>
      <w:r>
        <w:rPr>
          <w:i/>
          <w:spacing w:val="-5"/>
          <w:sz w:val="22"/>
        </w:rPr>
        <w:t> </w:t>
      </w:r>
      <w:r>
        <w:rPr>
          <w:i/>
          <w:sz w:val="22"/>
        </w:rPr>
        <w:t>según</w:t>
      </w:r>
      <w:r>
        <w:rPr>
          <w:i/>
          <w:spacing w:val="-3"/>
          <w:sz w:val="22"/>
        </w:rPr>
        <w:t> </w:t>
      </w:r>
      <w:r>
        <w:rPr>
          <w:i/>
          <w:sz w:val="22"/>
        </w:rPr>
        <w:t>vía</w:t>
      </w:r>
      <w:r>
        <w:rPr>
          <w:i/>
          <w:spacing w:val="-6"/>
          <w:sz w:val="22"/>
        </w:rPr>
        <w:t> </w:t>
      </w:r>
      <w:r>
        <w:rPr>
          <w:i/>
          <w:sz w:val="22"/>
        </w:rPr>
        <w:t>de</w:t>
      </w:r>
      <w:r>
        <w:rPr>
          <w:i/>
          <w:spacing w:val="-6"/>
          <w:sz w:val="22"/>
        </w:rPr>
        <w:t> </w:t>
      </w:r>
      <w:r>
        <w:rPr>
          <w:i/>
          <w:sz w:val="22"/>
        </w:rPr>
        <w:t>administración</w:t>
      </w:r>
      <w:r>
        <w:rPr>
          <w:i/>
          <w:spacing w:val="-2"/>
          <w:sz w:val="22"/>
        </w:rPr>
        <w:t> </w:t>
      </w:r>
      <w:r>
        <w:rPr>
          <w:i/>
          <w:sz w:val="22"/>
        </w:rPr>
        <w:t>de</w:t>
      </w:r>
      <w:r>
        <w:rPr>
          <w:i/>
          <w:spacing w:val="-9"/>
          <w:sz w:val="22"/>
        </w:rPr>
        <w:t> </w:t>
      </w:r>
      <w:r>
        <w:rPr>
          <w:i/>
          <w:spacing w:val="-2"/>
          <w:sz w:val="22"/>
        </w:rPr>
        <w:t>dexmedetomidina.</w:t>
      </w:r>
    </w:p>
    <w:p>
      <w:pPr>
        <w:pStyle w:val="BodyText"/>
        <w:spacing w:before="74"/>
        <w:rPr>
          <w:i/>
          <w:sz w:val="20"/>
        </w:rPr>
      </w:pPr>
      <w:r>
        <w:rPr>
          <w:i/>
          <w:sz w:val="20"/>
        </w:rPr>
        <mc:AlternateContent>
          <mc:Choice Requires="wps">
            <w:drawing>
              <wp:anchor distT="0" distB="0" distL="0" distR="0" allowOverlap="1" layoutInCell="1" locked="0" behindDoc="1" simplePos="0" relativeHeight="487598080">
                <wp:simplePos x="0" y="0"/>
                <wp:positionH relativeFrom="page">
                  <wp:posOffset>1440561</wp:posOffset>
                </wp:positionH>
                <wp:positionV relativeFrom="paragraph">
                  <wp:posOffset>208857</wp:posOffset>
                </wp:positionV>
                <wp:extent cx="5099685" cy="508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099685" cy="5080"/>
                        </a:xfrm>
                        <a:custGeom>
                          <a:avLst/>
                          <a:gdLst/>
                          <a:ahLst/>
                          <a:cxnLst/>
                          <a:rect l="l" t="t" r="r" b="b"/>
                          <a:pathLst>
                            <a:path w="5099685" h="5080">
                              <a:moveTo>
                                <a:pt x="721601" y="0"/>
                              </a:moveTo>
                              <a:lnTo>
                                <a:pt x="716597" y="0"/>
                              </a:lnTo>
                              <a:lnTo>
                                <a:pt x="0" y="0"/>
                              </a:lnTo>
                              <a:lnTo>
                                <a:pt x="0" y="5080"/>
                              </a:lnTo>
                              <a:lnTo>
                                <a:pt x="716534" y="5080"/>
                              </a:lnTo>
                              <a:lnTo>
                                <a:pt x="721601" y="5080"/>
                              </a:lnTo>
                              <a:lnTo>
                                <a:pt x="721601" y="0"/>
                              </a:lnTo>
                              <a:close/>
                            </a:path>
                            <a:path w="5099685" h="5080">
                              <a:moveTo>
                                <a:pt x="1763331" y="0"/>
                              </a:moveTo>
                              <a:lnTo>
                                <a:pt x="721614" y="0"/>
                              </a:lnTo>
                              <a:lnTo>
                                <a:pt x="721614" y="5080"/>
                              </a:lnTo>
                              <a:lnTo>
                                <a:pt x="1763331" y="5080"/>
                              </a:lnTo>
                              <a:lnTo>
                                <a:pt x="1763331" y="0"/>
                              </a:lnTo>
                              <a:close/>
                            </a:path>
                            <a:path w="5099685" h="5080">
                              <a:moveTo>
                                <a:pt x="1768462" y="0"/>
                              </a:moveTo>
                              <a:lnTo>
                                <a:pt x="1763395" y="0"/>
                              </a:lnTo>
                              <a:lnTo>
                                <a:pt x="1763395" y="5080"/>
                              </a:lnTo>
                              <a:lnTo>
                                <a:pt x="1768462" y="5080"/>
                              </a:lnTo>
                              <a:lnTo>
                                <a:pt x="1768462" y="0"/>
                              </a:lnTo>
                              <a:close/>
                            </a:path>
                            <a:path w="5099685" h="5080">
                              <a:moveTo>
                                <a:pt x="4057523" y="0"/>
                              </a:moveTo>
                              <a:lnTo>
                                <a:pt x="4052570" y="0"/>
                              </a:lnTo>
                              <a:lnTo>
                                <a:pt x="4052443" y="0"/>
                              </a:lnTo>
                              <a:lnTo>
                                <a:pt x="1768475" y="0"/>
                              </a:lnTo>
                              <a:lnTo>
                                <a:pt x="1768475" y="5080"/>
                              </a:lnTo>
                              <a:lnTo>
                                <a:pt x="4052443" y="5080"/>
                              </a:lnTo>
                              <a:lnTo>
                                <a:pt x="4052570" y="5080"/>
                              </a:lnTo>
                              <a:lnTo>
                                <a:pt x="4057523" y="5080"/>
                              </a:lnTo>
                              <a:lnTo>
                                <a:pt x="4057523" y="0"/>
                              </a:lnTo>
                              <a:close/>
                            </a:path>
                            <a:path w="5099685" h="5080">
                              <a:moveTo>
                                <a:pt x="5099367" y="0"/>
                              </a:moveTo>
                              <a:lnTo>
                                <a:pt x="4057650" y="0"/>
                              </a:lnTo>
                              <a:lnTo>
                                <a:pt x="4057650" y="5080"/>
                              </a:lnTo>
                              <a:lnTo>
                                <a:pt x="5099367" y="5080"/>
                              </a:lnTo>
                              <a:lnTo>
                                <a:pt x="50993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6.445499pt;width:401.55pt;height:.4pt;mso-position-horizontal-relative:page;mso-position-vertical-relative:paragraph;z-index:-15718400;mso-wrap-distance-left:0;mso-wrap-distance-right:0" id="docshape11" coordorigin="2269,329" coordsize="8031,8" path="m3405,329l3397,329,3397,329,2269,329,2269,337,3397,337,3397,337,3405,337,3405,329xm5046,329l3405,329,3405,337,5046,337,5046,329xm5054,329l5046,329,5046,337,5054,337,5054,329xm8658,329l8651,329,8650,329,5054,329,5054,337,8650,337,8651,337,8658,337,8658,329xm10299,329l8659,329,8659,337,10299,337,10299,329xe" filled="true" fillcolor="#000000" stroked="false">
                <v:path arrowok="t"/>
                <v:fill type="solid"/>
                <w10:wrap type="topAndBottom"/>
              </v:shape>
            </w:pict>
          </mc:Fallback>
        </mc:AlternateContent>
      </w:r>
    </w:p>
    <w:p>
      <w:pPr>
        <w:pStyle w:val="BodyText"/>
        <w:spacing w:before="20"/>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6"/>
        <w:gridCol w:w="1909"/>
        <w:gridCol w:w="3404"/>
        <w:gridCol w:w="1478"/>
      </w:tblGrid>
      <w:tr>
        <w:trPr>
          <w:trHeight w:val="264" w:hRule="atLeast"/>
        </w:trPr>
        <w:tc>
          <w:tcPr>
            <w:tcW w:w="1246" w:type="dxa"/>
            <w:tcBorders>
              <w:bottom w:val="single" w:sz="4" w:space="0" w:color="000000"/>
            </w:tcBorders>
          </w:tcPr>
          <w:p>
            <w:pPr>
              <w:pStyle w:val="TableParagraph"/>
              <w:spacing w:line="245" w:lineRule="exact" w:before="0"/>
              <w:ind w:left="230"/>
              <w:jc w:val="left"/>
              <w:rPr>
                <w:b/>
                <w:sz w:val="24"/>
              </w:rPr>
            </w:pPr>
            <w:r>
              <w:rPr>
                <w:b/>
                <w:spacing w:val="-2"/>
                <w:sz w:val="24"/>
              </w:rPr>
              <w:t>Grupo</w:t>
            </w:r>
          </w:p>
        </w:tc>
        <w:tc>
          <w:tcPr>
            <w:tcW w:w="1909" w:type="dxa"/>
            <w:tcBorders>
              <w:bottom w:val="single" w:sz="4" w:space="0" w:color="000000"/>
            </w:tcBorders>
          </w:tcPr>
          <w:p>
            <w:pPr>
              <w:pStyle w:val="TableParagraph"/>
              <w:spacing w:line="245" w:lineRule="exact" w:before="0"/>
              <w:ind w:right="480"/>
              <w:jc w:val="right"/>
              <w:rPr>
                <w:b/>
                <w:sz w:val="24"/>
              </w:rPr>
            </w:pPr>
            <w:r>
              <w:rPr>
                <w:b/>
                <w:spacing w:val="-2"/>
                <w:sz w:val="24"/>
              </w:rPr>
              <w:t>Antes</w:t>
            </w:r>
          </w:p>
        </w:tc>
        <w:tc>
          <w:tcPr>
            <w:tcW w:w="3404" w:type="dxa"/>
            <w:tcBorders>
              <w:bottom w:val="single" w:sz="4" w:space="0" w:color="000000"/>
            </w:tcBorders>
          </w:tcPr>
          <w:p>
            <w:pPr>
              <w:pStyle w:val="TableParagraph"/>
              <w:spacing w:line="245" w:lineRule="exact" w:before="0"/>
              <w:ind w:right="275"/>
              <w:jc w:val="right"/>
              <w:rPr>
                <w:b/>
                <w:sz w:val="24"/>
              </w:rPr>
            </w:pPr>
            <w:r>
              <w:rPr>
                <w:b/>
                <w:sz w:val="24"/>
              </w:rPr>
              <w:t>Promedio</w:t>
            </w:r>
            <w:r>
              <w:rPr>
                <w:b/>
                <w:spacing w:val="2"/>
                <w:sz w:val="24"/>
              </w:rPr>
              <w:t> </w:t>
            </w:r>
            <w:r>
              <w:rPr>
                <w:b/>
                <w:spacing w:val="-2"/>
                <w:sz w:val="24"/>
              </w:rPr>
              <w:t>intraoperatorio</w:t>
            </w:r>
          </w:p>
        </w:tc>
        <w:tc>
          <w:tcPr>
            <w:tcW w:w="1478" w:type="dxa"/>
            <w:tcBorders>
              <w:bottom w:val="single" w:sz="4" w:space="0" w:color="000000"/>
            </w:tcBorders>
          </w:tcPr>
          <w:p>
            <w:pPr>
              <w:pStyle w:val="TableParagraph"/>
              <w:spacing w:line="245" w:lineRule="exact" w:before="0"/>
              <w:ind w:right="104"/>
              <w:jc w:val="right"/>
              <w:rPr>
                <w:b/>
                <w:sz w:val="24"/>
              </w:rPr>
            </w:pPr>
            <w:r>
              <w:rPr>
                <w:b/>
                <w:spacing w:val="-2"/>
                <w:sz w:val="24"/>
              </w:rPr>
              <w:t>Diferencia</w:t>
            </w:r>
          </w:p>
        </w:tc>
      </w:tr>
      <w:tr>
        <w:trPr>
          <w:trHeight w:val="644" w:hRule="atLeast"/>
        </w:trPr>
        <w:tc>
          <w:tcPr>
            <w:tcW w:w="1246" w:type="dxa"/>
            <w:tcBorders>
              <w:top w:val="single" w:sz="4" w:space="0" w:color="000000"/>
            </w:tcBorders>
          </w:tcPr>
          <w:p>
            <w:pPr>
              <w:pStyle w:val="TableParagraph"/>
              <w:spacing w:before="243"/>
              <w:ind w:left="114"/>
              <w:jc w:val="left"/>
              <w:rPr>
                <w:b/>
                <w:sz w:val="24"/>
              </w:rPr>
            </w:pPr>
            <w:r>
              <w:rPr>
                <w:b/>
                <w:spacing w:val="-5"/>
                <w:sz w:val="24"/>
              </w:rPr>
              <w:t>IM</w:t>
            </w:r>
          </w:p>
        </w:tc>
        <w:tc>
          <w:tcPr>
            <w:tcW w:w="1909" w:type="dxa"/>
            <w:tcBorders>
              <w:top w:val="single" w:sz="4" w:space="0" w:color="000000"/>
            </w:tcBorders>
          </w:tcPr>
          <w:p>
            <w:pPr>
              <w:pStyle w:val="TableParagraph"/>
              <w:spacing w:before="243"/>
              <w:ind w:right="478"/>
              <w:jc w:val="right"/>
              <w:rPr>
                <w:sz w:val="24"/>
              </w:rPr>
            </w:pPr>
            <w:r>
              <w:rPr>
                <w:sz w:val="24"/>
              </w:rPr>
              <w:t>2,00 ± </w:t>
            </w:r>
            <w:r>
              <w:rPr>
                <w:spacing w:val="-4"/>
                <w:sz w:val="24"/>
              </w:rPr>
              <w:t>0,00</w:t>
            </w:r>
          </w:p>
        </w:tc>
        <w:tc>
          <w:tcPr>
            <w:tcW w:w="3404" w:type="dxa"/>
            <w:tcBorders>
              <w:top w:val="single" w:sz="4" w:space="0" w:color="000000"/>
            </w:tcBorders>
          </w:tcPr>
          <w:p>
            <w:pPr>
              <w:pStyle w:val="TableParagraph"/>
              <w:spacing w:before="243"/>
              <w:ind w:right="277"/>
              <w:jc w:val="right"/>
              <w:rPr>
                <w:sz w:val="24"/>
              </w:rPr>
            </w:pPr>
            <w:r>
              <w:rPr>
                <w:sz w:val="24"/>
              </w:rPr>
              <w:t>2,02 ± </w:t>
            </w:r>
            <w:r>
              <w:rPr>
                <w:spacing w:val="-4"/>
                <w:sz w:val="24"/>
              </w:rPr>
              <w:t>0,08</w:t>
            </w:r>
          </w:p>
        </w:tc>
        <w:tc>
          <w:tcPr>
            <w:tcW w:w="1478" w:type="dxa"/>
            <w:tcBorders>
              <w:top w:val="single" w:sz="4" w:space="0" w:color="000000"/>
            </w:tcBorders>
          </w:tcPr>
          <w:p>
            <w:pPr>
              <w:pStyle w:val="TableParagraph"/>
              <w:spacing w:before="243"/>
              <w:ind w:right="106"/>
              <w:jc w:val="right"/>
              <w:rPr>
                <w:sz w:val="24"/>
              </w:rPr>
            </w:pPr>
            <w:r>
              <w:rPr>
                <w:sz w:val="24"/>
              </w:rPr>
              <w:t>0,02 ± </w:t>
            </w:r>
            <w:r>
              <w:rPr>
                <w:spacing w:val="-4"/>
                <w:sz w:val="24"/>
              </w:rPr>
              <w:t>0,08</w:t>
            </w:r>
          </w:p>
        </w:tc>
      </w:tr>
      <w:tr>
        <w:trPr>
          <w:trHeight w:val="390" w:hRule="atLeast"/>
        </w:trPr>
        <w:tc>
          <w:tcPr>
            <w:tcW w:w="1246" w:type="dxa"/>
            <w:tcBorders>
              <w:bottom w:val="single" w:sz="4" w:space="0" w:color="000000"/>
            </w:tcBorders>
          </w:tcPr>
          <w:p>
            <w:pPr>
              <w:pStyle w:val="TableParagraph"/>
              <w:spacing w:line="255" w:lineRule="exact" w:before="115"/>
              <w:ind w:left="114"/>
              <w:jc w:val="left"/>
              <w:rPr>
                <w:b/>
                <w:sz w:val="24"/>
              </w:rPr>
            </w:pPr>
            <w:r>
              <w:rPr>
                <w:b/>
                <w:spacing w:val="-5"/>
                <w:sz w:val="24"/>
              </w:rPr>
              <w:t>IV</w:t>
            </w:r>
          </w:p>
        </w:tc>
        <w:tc>
          <w:tcPr>
            <w:tcW w:w="1909" w:type="dxa"/>
            <w:tcBorders>
              <w:bottom w:val="single" w:sz="4" w:space="0" w:color="000000"/>
            </w:tcBorders>
          </w:tcPr>
          <w:p>
            <w:pPr>
              <w:pStyle w:val="TableParagraph"/>
              <w:spacing w:line="255" w:lineRule="exact" w:before="115"/>
              <w:ind w:right="478"/>
              <w:jc w:val="right"/>
              <w:rPr>
                <w:sz w:val="24"/>
              </w:rPr>
            </w:pPr>
            <w:r>
              <w:rPr>
                <w:sz w:val="24"/>
              </w:rPr>
              <w:t>2,00 ± </w:t>
            </w:r>
            <w:r>
              <w:rPr>
                <w:spacing w:val="-4"/>
                <w:sz w:val="24"/>
              </w:rPr>
              <w:t>0,00</w:t>
            </w:r>
          </w:p>
        </w:tc>
        <w:tc>
          <w:tcPr>
            <w:tcW w:w="3404" w:type="dxa"/>
            <w:tcBorders>
              <w:bottom w:val="single" w:sz="4" w:space="0" w:color="000000"/>
            </w:tcBorders>
          </w:tcPr>
          <w:p>
            <w:pPr>
              <w:pStyle w:val="TableParagraph"/>
              <w:spacing w:line="255" w:lineRule="exact" w:before="115"/>
              <w:ind w:right="277"/>
              <w:jc w:val="right"/>
              <w:rPr>
                <w:sz w:val="24"/>
              </w:rPr>
            </w:pPr>
            <w:r>
              <w:rPr>
                <w:sz w:val="24"/>
              </w:rPr>
              <w:t>2,07 ± </w:t>
            </w:r>
            <w:r>
              <w:rPr>
                <w:spacing w:val="-4"/>
                <w:sz w:val="24"/>
              </w:rPr>
              <w:t>0,26</w:t>
            </w:r>
          </w:p>
        </w:tc>
        <w:tc>
          <w:tcPr>
            <w:tcW w:w="1478" w:type="dxa"/>
            <w:tcBorders>
              <w:bottom w:val="single" w:sz="4" w:space="0" w:color="000000"/>
            </w:tcBorders>
          </w:tcPr>
          <w:p>
            <w:pPr>
              <w:pStyle w:val="TableParagraph"/>
              <w:spacing w:line="255" w:lineRule="exact" w:before="115"/>
              <w:ind w:right="106"/>
              <w:jc w:val="right"/>
              <w:rPr>
                <w:sz w:val="24"/>
              </w:rPr>
            </w:pPr>
            <w:r>
              <w:rPr>
                <w:sz w:val="24"/>
              </w:rPr>
              <w:t>0,07 ± </w:t>
            </w:r>
            <w:r>
              <w:rPr>
                <w:spacing w:val="-4"/>
                <w:sz w:val="24"/>
              </w:rPr>
              <w:t>0,26</w:t>
            </w:r>
          </w:p>
        </w:tc>
      </w:tr>
    </w:tbl>
    <w:p>
      <w:pPr>
        <w:pStyle w:val="TableParagraph"/>
        <w:spacing w:after="0" w:line="255" w:lineRule="exact"/>
        <w:jc w:val="right"/>
        <w:rPr>
          <w:sz w:val="24"/>
        </w:rPr>
        <w:sectPr>
          <w:pgSz w:w="11910" w:h="16840"/>
          <w:pgMar w:header="0" w:footer="1038" w:top="1620" w:bottom="1220" w:left="1700" w:right="1559"/>
        </w:sectPr>
      </w:pPr>
    </w:p>
    <w:p>
      <w:pPr>
        <w:spacing w:before="63"/>
        <w:ind w:left="568" w:right="0" w:firstLine="0"/>
        <w:jc w:val="left"/>
        <w:rPr>
          <w:b/>
          <w:sz w:val="22"/>
        </w:rPr>
      </w:pPr>
      <w:bookmarkStart w:name="_bookmark68" w:id="69"/>
      <w:bookmarkEnd w:id="69"/>
      <w:r>
        <w:rPr/>
      </w:r>
      <w:r>
        <w:rPr>
          <w:b/>
          <w:sz w:val="22"/>
        </w:rPr>
        <w:t>Figura</w:t>
      </w:r>
      <w:r>
        <w:rPr>
          <w:b/>
          <w:spacing w:val="3"/>
          <w:sz w:val="22"/>
        </w:rPr>
        <w:t> </w:t>
      </w:r>
      <w:r>
        <w:rPr>
          <w:b/>
          <w:spacing w:val="-5"/>
          <w:sz w:val="22"/>
        </w:rPr>
        <w:t>11.</w:t>
      </w:r>
    </w:p>
    <w:p>
      <w:pPr>
        <w:spacing w:line="360" w:lineRule="auto" w:before="127"/>
        <w:ind w:left="568" w:right="256" w:firstLine="0"/>
        <w:jc w:val="left"/>
        <w:rPr>
          <w:i/>
          <w:sz w:val="22"/>
        </w:rPr>
      </w:pPr>
      <w:r>
        <w:rPr>
          <w:i/>
          <w:sz w:val="22"/>
        </w:rPr>
        <w:t>Comparación</w:t>
      </w:r>
      <w:r>
        <w:rPr>
          <w:i/>
          <w:spacing w:val="-7"/>
          <w:sz w:val="22"/>
        </w:rPr>
        <w:t> </w:t>
      </w:r>
      <w:r>
        <w:rPr>
          <w:i/>
          <w:sz w:val="22"/>
        </w:rPr>
        <w:t>del</w:t>
      </w:r>
      <w:r>
        <w:rPr>
          <w:i/>
          <w:spacing w:val="-6"/>
          <w:sz w:val="22"/>
        </w:rPr>
        <w:t> </w:t>
      </w:r>
      <w:r>
        <w:rPr>
          <w:i/>
          <w:sz w:val="22"/>
        </w:rPr>
        <w:t>tiempo</w:t>
      </w:r>
      <w:r>
        <w:rPr>
          <w:i/>
          <w:spacing w:val="-7"/>
          <w:sz w:val="22"/>
        </w:rPr>
        <w:t> </w:t>
      </w:r>
      <w:r>
        <w:rPr>
          <w:i/>
          <w:sz w:val="22"/>
        </w:rPr>
        <w:t>de</w:t>
      </w:r>
      <w:r>
        <w:rPr>
          <w:i/>
          <w:spacing w:val="-6"/>
          <w:sz w:val="22"/>
        </w:rPr>
        <w:t> </w:t>
      </w:r>
      <w:r>
        <w:rPr>
          <w:i/>
          <w:sz w:val="22"/>
        </w:rPr>
        <w:t>llenado</w:t>
      </w:r>
      <w:r>
        <w:rPr>
          <w:i/>
          <w:spacing w:val="-3"/>
          <w:sz w:val="22"/>
        </w:rPr>
        <w:t> </w:t>
      </w:r>
      <w:r>
        <w:rPr>
          <w:i/>
          <w:sz w:val="22"/>
        </w:rPr>
        <w:t>capilar</w:t>
      </w:r>
      <w:r>
        <w:rPr>
          <w:i/>
          <w:spacing w:val="-6"/>
          <w:sz w:val="22"/>
        </w:rPr>
        <w:t> </w:t>
      </w:r>
      <w:r>
        <w:rPr>
          <w:i/>
          <w:sz w:val="22"/>
        </w:rPr>
        <w:t>basal</w:t>
      </w:r>
      <w:r>
        <w:rPr>
          <w:i/>
          <w:spacing w:val="-6"/>
          <w:sz w:val="22"/>
        </w:rPr>
        <w:t> </w:t>
      </w:r>
      <w:r>
        <w:rPr>
          <w:i/>
          <w:sz w:val="22"/>
        </w:rPr>
        <w:t>y</w:t>
      </w:r>
      <w:r>
        <w:rPr>
          <w:i/>
          <w:spacing w:val="-6"/>
          <w:sz w:val="22"/>
        </w:rPr>
        <w:t> </w:t>
      </w:r>
      <w:r>
        <w:rPr>
          <w:i/>
          <w:sz w:val="22"/>
        </w:rPr>
        <w:t>promedio</w:t>
      </w:r>
      <w:r>
        <w:rPr>
          <w:i/>
          <w:spacing w:val="-3"/>
          <w:sz w:val="22"/>
        </w:rPr>
        <w:t> </w:t>
      </w:r>
      <w:r>
        <w:rPr>
          <w:i/>
          <w:sz w:val="22"/>
        </w:rPr>
        <w:t>intraoperatorio</w:t>
      </w:r>
      <w:r>
        <w:rPr>
          <w:i/>
          <w:spacing w:val="-3"/>
          <w:sz w:val="22"/>
        </w:rPr>
        <w:t> </w:t>
      </w:r>
      <w:r>
        <w:rPr>
          <w:i/>
          <w:sz w:val="22"/>
        </w:rPr>
        <w:t>según</w:t>
      </w:r>
      <w:r>
        <w:rPr>
          <w:i/>
          <w:spacing w:val="-3"/>
          <w:sz w:val="22"/>
        </w:rPr>
        <w:t> </w:t>
      </w:r>
      <w:r>
        <w:rPr>
          <w:i/>
          <w:sz w:val="22"/>
        </w:rPr>
        <w:t>vía de administración de dexmedetomidina</w:t>
      </w:r>
    </w:p>
    <w:p>
      <w:pPr>
        <w:pStyle w:val="BodyText"/>
        <w:spacing w:before="10"/>
        <w:rPr>
          <w:i/>
          <w:sz w:val="18"/>
        </w:rPr>
      </w:pPr>
      <w:r>
        <w:rPr>
          <w:i/>
          <w:sz w:val="18"/>
        </w:rPr>
        <w:drawing>
          <wp:anchor distT="0" distB="0" distL="0" distR="0" allowOverlap="1" layoutInCell="1" locked="0" behindDoc="1" simplePos="0" relativeHeight="487598592">
            <wp:simplePos x="0" y="0"/>
            <wp:positionH relativeFrom="page">
              <wp:posOffset>1464875</wp:posOffset>
            </wp:positionH>
            <wp:positionV relativeFrom="paragraph">
              <wp:posOffset>153343</wp:posOffset>
            </wp:positionV>
            <wp:extent cx="4258092" cy="2635186"/>
            <wp:effectExtent l="0" t="0" r="0" b="0"/>
            <wp:wrapTopAndBottom/>
            <wp:docPr id="27" name="Image 27"/>
            <wp:cNvGraphicFramePr>
              <a:graphicFrameLocks/>
            </wp:cNvGraphicFramePr>
            <a:graphic>
              <a:graphicData uri="http://schemas.openxmlformats.org/drawingml/2006/picture">
                <pic:pic>
                  <pic:nvPicPr>
                    <pic:cNvPr id="27" name="Image 27"/>
                    <pic:cNvPicPr/>
                  </pic:nvPicPr>
                  <pic:blipFill>
                    <a:blip r:embed="rId22" cstate="print"/>
                    <a:stretch>
                      <a:fillRect/>
                    </a:stretch>
                  </pic:blipFill>
                  <pic:spPr>
                    <a:xfrm>
                      <a:off x="0" y="0"/>
                      <a:ext cx="4258092" cy="2635186"/>
                    </a:xfrm>
                    <a:prstGeom prst="rect">
                      <a:avLst/>
                    </a:prstGeom>
                  </pic:spPr>
                </pic:pic>
              </a:graphicData>
            </a:graphic>
          </wp:anchor>
        </w:drawing>
      </w:r>
    </w:p>
    <w:p>
      <w:pPr>
        <w:pStyle w:val="BodyText"/>
        <w:spacing w:before="171"/>
        <w:rPr>
          <w:i/>
          <w:sz w:val="22"/>
        </w:rPr>
      </w:pPr>
    </w:p>
    <w:p>
      <w:pPr>
        <w:pStyle w:val="BodyText"/>
        <w:spacing w:line="480" w:lineRule="auto"/>
        <w:ind w:left="568" w:right="137"/>
        <w:jc w:val="both"/>
      </w:pPr>
      <w:r>
        <w:rPr>
          <w:color w:val="0D0D0D"/>
        </w:rPr>
        <w:t>El</w:t>
      </w:r>
      <w:r>
        <w:rPr>
          <w:color w:val="0D0D0D"/>
          <w:spacing w:val="-15"/>
        </w:rPr>
        <w:t> </w:t>
      </w:r>
      <w:r>
        <w:rPr>
          <w:color w:val="0D0D0D"/>
        </w:rPr>
        <w:t>tiempo</w:t>
      </w:r>
      <w:r>
        <w:rPr>
          <w:color w:val="0D0D0D"/>
          <w:spacing w:val="-15"/>
        </w:rPr>
        <w:t> </w:t>
      </w:r>
      <w:r>
        <w:rPr>
          <w:color w:val="0D0D0D"/>
        </w:rPr>
        <w:t>de</w:t>
      </w:r>
      <w:r>
        <w:rPr>
          <w:color w:val="0D0D0D"/>
          <w:spacing w:val="-15"/>
        </w:rPr>
        <w:t> </w:t>
      </w:r>
      <w:r>
        <w:rPr>
          <w:color w:val="0D0D0D"/>
        </w:rPr>
        <w:t>llenado</w:t>
      </w:r>
      <w:r>
        <w:rPr>
          <w:color w:val="0D0D0D"/>
          <w:spacing w:val="-15"/>
        </w:rPr>
        <w:t> </w:t>
      </w:r>
      <w:r>
        <w:rPr>
          <w:color w:val="0D0D0D"/>
        </w:rPr>
        <w:t>capilar</w:t>
      </w:r>
      <w:r>
        <w:rPr>
          <w:color w:val="0D0D0D"/>
          <w:spacing w:val="-15"/>
        </w:rPr>
        <w:t> </w:t>
      </w:r>
      <w:r>
        <w:rPr>
          <w:color w:val="0D0D0D"/>
        </w:rPr>
        <w:t>presentó</w:t>
      </w:r>
      <w:r>
        <w:rPr>
          <w:color w:val="0D0D0D"/>
          <w:spacing w:val="-15"/>
        </w:rPr>
        <w:t> </w:t>
      </w:r>
      <w:r>
        <w:rPr>
          <w:color w:val="0D0D0D"/>
        </w:rPr>
        <w:t>variaciones</w:t>
      </w:r>
      <w:r>
        <w:rPr>
          <w:color w:val="0D0D0D"/>
          <w:spacing w:val="-15"/>
        </w:rPr>
        <w:t> </w:t>
      </w:r>
      <w:r>
        <w:rPr>
          <w:color w:val="0D0D0D"/>
        </w:rPr>
        <w:t>mínimas</w:t>
      </w:r>
      <w:r>
        <w:rPr>
          <w:color w:val="0D0D0D"/>
          <w:spacing w:val="-15"/>
        </w:rPr>
        <w:t> </w:t>
      </w:r>
      <w:r>
        <w:rPr>
          <w:color w:val="0D0D0D"/>
        </w:rPr>
        <w:t>en</w:t>
      </w:r>
      <w:r>
        <w:rPr>
          <w:color w:val="0D0D0D"/>
          <w:spacing w:val="-15"/>
        </w:rPr>
        <w:t> </w:t>
      </w:r>
      <w:r>
        <w:rPr>
          <w:color w:val="0D0D0D"/>
        </w:rPr>
        <w:t>ambos</w:t>
      </w:r>
      <w:r>
        <w:rPr>
          <w:color w:val="0D0D0D"/>
          <w:spacing w:val="-15"/>
        </w:rPr>
        <w:t> </w:t>
      </w:r>
      <w:r>
        <w:rPr>
          <w:color w:val="0D0D0D"/>
        </w:rPr>
        <w:t>grupos</w:t>
      </w:r>
      <w:r>
        <w:rPr>
          <w:color w:val="0D0D0D"/>
          <w:spacing w:val="-15"/>
        </w:rPr>
        <w:t> </w:t>
      </w:r>
      <w:r>
        <w:rPr>
          <w:color w:val="0D0D0D"/>
        </w:rPr>
        <w:t>durante el periodo intraoperatorio. En el grupo intramuscular, el valor basal fue de 2,00 ± 0,00 segundos, mientras que el promedio intraoperatorio fue de 2,02 ± 0,08 segundos, con una diferencia de 0,02</w:t>
      </w:r>
      <w:r>
        <w:rPr>
          <w:color w:val="0D0D0D"/>
          <w:spacing w:val="-3"/>
        </w:rPr>
        <w:t> </w:t>
      </w:r>
      <w:r>
        <w:rPr>
          <w:color w:val="0D0D0D"/>
        </w:rPr>
        <w:t>± 0,08 segundos. En el grupo</w:t>
      </w:r>
      <w:r>
        <w:rPr>
          <w:color w:val="0D0D0D"/>
          <w:spacing w:val="-2"/>
        </w:rPr>
        <w:t> </w:t>
      </w:r>
      <w:r>
        <w:rPr>
          <w:color w:val="0D0D0D"/>
        </w:rPr>
        <w:t>intravenoso, el valor basal también fue de 2,00 ± 0,00 segundos, por su parte el promedio intraoperatorio</w:t>
      </w:r>
      <w:r>
        <w:rPr>
          <w:color w:val="0D0D0D"/>
          <w:spacing w:val="-1"/>
        </w:rPr>
        <w:t> </w:t>
      </w:r>
      <w:r>
        <w:rPr>
          <w:color w:val="0D0D0D"/>
        </w:rPr>
        <w:t>aumentó</w:t>
      </w:r>
      <w:r>
        <w:rPr>
          <w:color w:val="0D0D0D"/>
          <w:spacing w:val="-1"/>
        </w:rPr>
        <w:t> </w:t>
      </w:r>
      <w:r>
        <w:rPr>
          <w:color w:val="0D0D0D"/>
        </w:rPr>
        <w:t>a 2,07</w:t>
      </w:r>
      <w:r>
        <w:rPr>
          <w:color w:val="0D0D0D"/>
          <w:spacing w:val="-1"/>
        </w:rPr>
        <w:t> </w:t>
      </w:r>
      <w:r>
        <w:rPr>
          <w:color w:val="0D0D0D"/>
        </w:rPr>
        <w:t>±</w:t>
      </w:r>
      <w:r>
        <w:rPr>
          <w:color w:val="0D0D0D"/>
          <w:spacing w:val="-1"/>
        </w:rPr>
        <w:t> </w:t>
      </w:r>
      <w:r>
        <w:rPr>
          <w:color w:val="0D0D0D"/>
        </w:rPr>
        <w:t>0,26</w:t>
      </w:r>
      <w:r>
        <w:rPr>
          <w:color w:val="0D0D0D"/>
          <w:spacing w:val="-1"/>
        </w:rPr>
        <w:t> </w:t>
      </w:r>
      <w:r>
        <w:rPr>
          <w:color w:val="0D0D0D"/>
        </w:rPr>
        <w:t>segundos,</w:t>
      </w:r>
      <w:r>
        <w:rPr>
          <w:color w:val="0D0D0D"/>
          <w:spacing w:val="-1"/>
        </w:rPr>
        <w:t> </w:t>
      </w:r>
      <w:r>
        <w:rPr>
          <w:color w:val="0D0D0D"/>
        </w:rPr>
        <w:t>con</w:t>
      </w:r>
      <w:r>
        <w:rPr>
          <w:color w:val="0D0D0D"/>
          <w:spacing w:val="-1"/>
        </w:rPr>
        <w:t> </w:t>
      </w:r>
      <w:r>
        <w:rPr>
          <w:color w:val="0D0D0D"/>
        </w:rPr>
        <w:t>una diferencia de 0,07</w:t>
      </w:r>
      <w:r>
        <w:rPr>
          <w:color w:val="0D0D0D"/>
          <w:spacing w:val="-1"/>
        </w:rPr>
        <w:t> </w:t>
      </w:r>
      <w:r>
        <w:rPr>
          <w:color w:val="0D0D0D"/>
        </w:rPr>
        <w:t>±</w:t>
      </w:r>
      <w:r>
        <w:rPr>
          <w:color w:val="0D0D0D"/>
          <w:spacing w:val="-1"/>
        </w:rPr>
        <w:t> </w:t>
      </w:r>
      <w:r>
        <w:rPr>
          <w:color w:val="0D0D0D"/>
        </w:rPr>
        <w:t>0,26 segundos.</w:t>
      </w:r>
      <w:r>
        <w:rPr>
          <w:color w:val="0D0D0D"/>
          <w:spacing w:val="-12"/>
        </w:rPr>
        <w:t> </w:t>
      </w:r>
      <w:r>
        <w:rPr>
          <w:color w:val="0D0D0D"/>
        </w:rPr>
        <w:t>El</w:t>
      </w:r>
      <w:r>
        <w:rPr>
          <w:color w:val="0D0D0D"/>
          <w:spacing w:val="-10"/>
        </w:rPr>
        <w:t> </w:t>
      </w:r>
      <w:r>
        <w:rPr>
          <w:color w:val="0D0D0D"/>
        </w:rPr>
        <w:t>incremento</w:t>
      </w:r>
      <w:r>
        <w:rPr>
          <w:color w:val="0D0D0D"/>
          <w:spacing w:val="-15"/>
        </w:rPr>
        <w:t> </w:t>
      </w:r>
      <w:r>
        <w:rPr>
          <w:color w:val="0D0D0D"/>
        </w:rPr>
        <w:t>fue</w:t>
      </w:r>
      <w:r>
        <w:rPr>
          <w:color w:val="0D0D0D"/>
          <w:spacing w:val="-14"/>
        </w:rPr>
        <w:t> </w:t>
      </w:r>
      <w:r>
        <w:rPr>
          <w:color w:val="0D0D0D"/>
        </w:rPr>
        <w:t>ligeramente</w:t>
      </w:r>
      <w:r>
        <w:rPr>
          <w:color w:val="0D0D0D"/>
          <w:spacing w:val="-15"/>
        </w:rPr>
        <w:t> </w:t>
      </w:r>
      <w:r>
        <w:rPr>
          <w:color w:val="0D0D0D"/>
        </w:rPr>
        <w:t>mayor</w:t>
      </w:r>
      <w:r>
        <w:rPr>
          <w:color w:val="0D0D0D"/>
          <w:spacing w:val="-11"/>
        </w:rPr>
        <w:t> </w:t>
      </w:r>
      <w:r>
        <w:rPr>
          <w:color w:val="0D0D0D"/>
        </w:rPr>
        <w:t>en</w:t>
      </w:r>
      <w:r>
        <w:rPr>
          <w:color w:val="0D0D0D"/>
          <w:spacing w:val="-15"/>
        </w:rPr>
        <w:t> </w:t>
      </w:r>
      <w:r>
        <w:rPr>
          <w:color w:val="0D0D0D"/>
        </w:rPr>
        <w:t>el</w:t>
      </w:r>
      <w:r>
        <w:rPr>
          <w:color w:val="0D0D0D"/>
          <w:spacing w:val="-10"/>
        </w:rPr>
        <w:t> </w:t>
      </w:r>
      <w:r>
        <w:rPr>
          <w:color w:val="0D0D0D"/>
        </w:rPr>
        <w:t>grupo</w:t>
      </w:r>
      <w:r>
        <w:rPr>
          <w:color w:val="0D0D0D"/>
          <w:spacing w:val="-15"/>
        </w:rPr>
        <w:t> </w:t>
      </w:r>
      <w:r>
        <w:rPr>
          <w:color w:val="0D0D0D"/>
        </w:rPr>
        <w:t>intravenoso,</w:t>
      </w:r>
      <w:r>
        <w:rPr>
          <w:color w:val="0D0D0D"/>
          <w:spacing w:val="-6"/>
        </w:rPr>
        <w:t> </w:t>
      </w:r>
      <w:r>
        <w:rPr>
          <w:color w:val="0D0D0D"/>
        </w:rPr>
        <w:t>aun</w:t>
      </w:r>
      <w:r>
        <w:rPr>
          <w:color w:val="0D0D0D"/>
          <w:spacing w:val="-15"/>
        </w:rPr>
        <w:t> </w:t>
      </w:r>
      <w:r>
        <w:rPr>
          <w:color w:val="0D0D0D"/>
        </w:rPr>
        <w:t>así</w:t>
      </w:r>
      <w:r>
        <w:rPr>
          <w:color w:val="0D0D0D"/>
          <w:spacing w:val="-14"/>
        </w:rPr>
        <w:t> </w:t>
      </w:r>
      <w:r>
        <w:rPr>
          <w:color w:val="0D0D0D"/>
        </w:rPr>
        <w:t>los valores</w:t>
      </w:r>
      <w:r>
        <w:rPr>
          <w:color w:val="0D0D0D"/>
          <w:spacing w:val="-5"/>
        </w:rPr>
        <w:t> </w:t>
      </w:r>
      <w:r>
        <w:rPr>
          <w:color w:val="0D0D0D"/>
        </w:rPr>
        <w:t>se mantuvieron</w:t>
      </w:r>
      <w:r>
        <w:rPr>
          <w:color w:val="0D0D0D"/>
          <w:spacing w:val="-1"/>
        </w:rPr>
        <w:t> </w:t>
      </w:r>
      <w:r>
        <w:rPr>
          <w:color w:val="0D0D0D"/>
        </w:rPr>
        <w:t>cercanos</w:t>
      </w:r>
      <w:r>
        <w:rPr>
          <w:color w:val="0D0D0D"/>
          <w:spacing w:val="-7"/>
        </w:rPr>
        <w:t> </w:t>
      </w:r>
      <w:r>
        <w:rPr>
          <w:color w:val="0D0D0D"/>
        </w:rPr>
        <w:t>al registro basal en</w:t>
      </w:r>
      <w:r>
        <w:rPr>
          <w:color w:val="0D0D0D"/>
          <w:spacing w:val="-6"/>
        </w:rPr>
        <w:t> </w:t>
      </w:r>
      <w:r>
        <w:rPr>
          <w:color w:val="0D0D0D"/>
        </w:rPr>
        <w:t>ambas</w:t>
      </w:r>
      <w:r>
        <w:rPr>
          <w:color w:val="0D0D0D"/>
          <w:spacing w:val="-3"/>
        </w:rPr>
        <w:t> </w:t>
      </w:r>
      <w:r>
        <w:rPr>
          <w:color w:val="0D0D0D"/>
        </w:rPr>
        <w:t>vías</w:t>
      </w:r>
      <w:r>
        <w:rPr>
          <w:color w:val="0D0D0D"/>
          <w:spacing w:val="-3"/>
        </w:rPr>
        <w:t> </w:t>
      </w:r>
      <w:r>
        <w:rPr>
          <w:color w:val="0D0D0D"/>
        </w:rPr>
        <w:t>de</w:t>
      </w:r>
      <w:r>
        <w:rPr>
          <w:color w:val="0D0D0D"/>
          <w:spacing w:val="-3"/>
        </w:rPr>
        <w:t> </w:t>
      </w:r>
      <w:r>
        <w:rPr>
          <w:color w:val="0D0D0D"/>
          <w:spacing w:val="-2"/>
        </w:rPr>
        <w:t>administración.</w:t>
      </w:r>
    </w:p>
    <w:p>
      <w:pPr>
        <w:pStyle w:val="BodyText"/>
        <w:spacing w:line="480" w:lineRule="auto" w:before="242"/>
        <w:ind w:left="568" w:right="144"/>
        <w:jc w:val="both"/>
      </w:pPr>
      <w:r>
        <w:rPr>
          <w:color w:val="0D0D0D"/>
        </w:rPr>
        <w:t>Grubb (2020) define y corrobora que el tiempo de llenado capilar es un parámetro útil dentro de</w:t>
      </w:r>
      <w:r>
        <w:rPr>
          <w:color w:val="0D0D0D"/>
          <w:spacing w:val="-2"/>
        </w:rPr>
        <w:t> </w:t>
      </w:r>
      <w:r>
        <w:rPr>
          <w:color w:val="0D0D0D"/>
        </w:rPr>
        <w:t>la valoración periférica del</w:t>
      </w:r>
      <w:r>
        <w:rPr>
          <w:color w:val="0D0D0D"/>
          <w:spacing w:val="-6"/>
        </w:rPr>
        <w:t> </w:t>
      </w:r>
      <w:r>
        <w:rPr>
          <w:color w:val="0D0D0D"/>
        </w:rPr>
        <w:t>paciente</w:t>
      </w:r>
      <w:r>
        <w:rPr>
          <w:color w:val="0D0D0D"/>
          <w:spacing w:val="-2"/>
        </w:rPr>
        <w:t> </w:t>
      </w:r>
      <w:r>
        <w:rPr>
          <w:color w:val="0D0D0D"/>
        </w:rPr>
        <w:t>anestesiado, ya que permite una interpretación de la perfusión junto con otras variables que van desde la presión arterial, la frecuencia cardíaca, la temperatura, hasta la saturación periférica de oxígeno.</w:t>
      </w:r>
      <w:r>
        <w:rPr>
          <w:color w:val="0D0D0D"/>
          <w:spacing w:val="9"/>
        </w:rPr>
        <w:t> </w:t>
      </w:r>
      <w:r>
        <w:rPr>
          <w:color w:val="0D0D0D"/>
        </w:rPr>
        <w:t>En</w:t>
      </w:r>
      <w:r>
        <w:rPr>
          <w:color w:val="0D0D0D"/>
          <w:spacing w:val="5"/>
        </w:rPr>
        <w:t> </w:t>
      </w:r>
      <w:r>
        <w:rPr>
          <w:color w:val="0D0D0D"/>
        </w:rPr>
        <w:t>este</w:t>
      </w:r>
      <w:r>
        <w:rPr>
          <w:color w:val="0D0D0D"/>
          <w:spacing w:val="11"/>
        </w:rPr>
        <w:t> </w:t>
      </w:r>
      <w:r>
        <w:rPr>
          <w:color w:val="0D0D0D"/>
        </w:rPr>
        <w:t>estudio,</w:t>
      </w:r>
      <w:r>
        <w:rPr>
          <w:color w:val="0D0D0D"/>
          <w:spacing w:val="6"/>
        </w:rPr>
        <w:t> </w:t>
      </w:r>
      <w:r>
        <w:rPr>
          <w:color w:val="0D0D0D"/>
        </w:rPr>
        <w:t>los</w:t>
      </w:r>
      <w:r>
        <w:rPr>
          <w:color w:val="0D0D0D"/>
          <w:spacing w:val="8"/>
        </w:rPr>
        <w:t> </w:t>
      </w:r>
      <w:r>
        <w:rPr>
          <w:color w:val="0D0D0D"/>
        </w:rPr>
        <w:t>cambios</w:t>
      </w:r>
      <w:r>
        <w:rPr>
          <w:color w:val="0D0D0D"/>
          <w:spacing w:val="8"/>
        </w:rPr>
        <w:t> </w:t>
      </w:r>
      <w:r>
        <w:rPr>
          <w:color w:val="0D0D0D"/>
        </w:rPr>
        <w:t>observados</w:t>
      </w:r>
      <w:r>
        <w:rPr>
          <w:color w:val="0D0D0D"/>
          <w:spacing w:val="8"/>
        </w:rPr>
        <w:t> </w:t>
      </w:r>
      <w:r>
        <w:rPr>
          <w:color w:val="0D0D0D"/>
        </w:rPr>
        <w:t>fueron</w:t>
      </w:r>
      <w:r>
        <w:rPr>
          <w:color w:val="0D0D0D"/>
          <w:spacing w:val="6"/>
        </w:rPr>
        <w:t> </w:t>
      </w:r>
      <w:r>
        <w:rPr>
          <w:color w:val="0D0D0D"/>
        </w:rPr>
        <w:t>reducidos,</w:t>
      </w:r>
      <w:r>
        <w:rPr>
          <w:color w:val="0D0D0D"/>
          <w:spacing w:val="9"/>
        </w:rPr>
        <w:t> </w:t>
      </w:r>
      <w:r>
        <w:rPr>
          <w:color w:val="0D0D0D"/>
        </w:rPr>
        <w:t>además</w:t>
      </w:r>
      <w:r>
        <w:rPr>
          <w:color w:val="0D0D0D"/>
          <w:spacing w:val="8"/>
        </w:rPr>
        <w:t> </w:t>
      </w:r>
      <w:r>
        <w:rPr>
          <w:color w:val="0D0D0D"/>
        </w:rPr>
        <w:t>no</w:t>
      </w:r>
      <w:r>
        <w:rPr>
          <w:color w:val="0D0D0D"/>
          <w:spacing w:val="6"/>
        </w:rPr>
        <w:t> </w:t>
      </w:r>
      <w:r>
        <w:rPr>
          <w:color w:val="0D0D0D"/>
          <w:spacing w:val="-5"/>
        </w:rPr>
        <w:t>se</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8"/>
        <w:jc w:val="both"/>
      </w:pPr>
      <w:r>
        <w:rPr>
          <w:color w:val="0D0D0D"/>
        </w:rPr>
        <w:t>evidenció una prolongación marcada del tiempo de llenado capilar durante el periodo intraoperatorio. Las guías de anestesia veterinaria recomiendan la interpretación de este parámetro de una manera conjunta con otros signos clínicos y hemodinámicos.</w:t>
      </w:r>
    </w:p>
    <w:p>
      <w:pPr>
        <w:pStyle w:val="Heading3"/>
        <w:numPr>
          <w:ilvl w:val="2"/>
          <w:numId w:val="8"/>
        </w:numPr>
        <w:tabs>
          <w:tab w:pos="1288" w:val="left" w:leader="none"/>
        </w:tabs>
        <w:spacing w:line="240" w:lineRule="auto" w:before="1" w:after="0"/>
        <w:ind w:left="1288" w:right="0" w:hanging="720"/>
        <w:jc w:val="both"/>
      </w:pPr>
      <w:bookmarkStart w:name="_bookmark69" w:id="70"/>
      <w:bookmarkEnd w:id="70"/>
      <w:r>
        <w:rPr>
          <w:b w:val="0"/>
        </w:rPr>
      </w:r>
      <w:r>
        <w:rPr>
          <w:color w:val="0D0D0D"/>
        </w:rPr>
        <w:t>Condición</w:t>
      </w:r>
      <w:r>
        <w:rPr>
          <w:color w:val="0D0D0D"/>
          <w:spacing w:val="-4"/>
        </w:rPr>
        <w:t> </w:t>
      </w:r>
      <w:r>
        <w:rPr>
          <w:color w:val="0D0D0D"/>
        </w:rPr>
        <w:t>corporal</w:t>
      </w:r>
      <w:r>
        <w:rPr>
          <w:color w:val="0D0D0D"/>
          <w:spacing w:val="-1"/>
        </w:rPr>
        <w:t> </w:t>
      </w:r>
      <w:r>
        <w:rPr>
          <w:color w:val="0D0D0D"/>
          <w:spacing w:val="-4"/>
        </w:rPr>
        <w:t>(BCS)</w:t>
      </w:r>
    </w:p>
    <w:p>
      <w:pPr>
        <w:spacing w:before="275"/>
        <w:ind w:left="568" w:right="0" w:firstLine="0"/>
        <w:jc w:val="left"/>
        <w:rPr>
          <w:b/>
          <w:sz w:val="22"/>
        </w:rPr>
      </w:pPr>
      <w:bookmarkStart w:name="_bookmark70" w:id="71"/>
      <w:bookmarkEnd w:id="71"/>
      <w:r>
        <w:rPr/>
      </w:r>
      <w:r>
        <w:rPr>
          <w:b/>
          <w:spacing w:val="-2"/>
          <w:sz w:val="22"/>
        </w:rPr>
        <w:t>Tabla</w:t>
      </w:r>
      <w:r>
        <w:rPr>
          <w:b/>
          <w:spacing w:val="-10"/>
          <w:sz w:val="22"/>
        </w:rPr>
        <w:t> </w:t>
      </w:r>
      <w:r>
        <w:rPr>
          <w:b/>
          <w:spacing w:val="-5"/>
          <w:sz w:val="22"/>
        </w:rPr>
        <w:t>11.</w:t>
      </w:r>
    </w:p>
    <w:p>
      <w:pPr>
        <w:spacing w:before="127"/>
        <w:ind w:left="568" w:right="0" w:firstLine="0"/>
        <w:jc w:val="left"/>
        <w:rPr>
          <w:i/>
          <w:sz w:val="22"/>
        </w:rPr>
      </w:pPr>
      <w:r>
        <w:rPr>
          <w:i/>
          <w:sz w:val="22"/>
        </w:rPr>
        <w:t>Distribución</w:t>
      </w:r>
      <w:r>
        <w:rPr>
          <w:i/>
          <w:spacing w:val="-6"/>
          <w:sz w:val="22"/>
        </w:rPr>
        <w:t> </w:t>
      </w:r>
      <w:r>
        <w:rPr>
          <w:i/>
          <w:sz w:val="22"/>
        </w:rPr>
        <w:t>de</w:t>
      </w:r>
      <w:r>
        <w:rPr>
          <w:i/>
          <w:spacing w:val="-6"/>
          <w:sz w:val="22"/>
        </w:rPr>
        <w:t> </w:t>
      </w:r>
      <w:r>
        <w:rPr>
          <w:i/>
          <w:sz w:val="22"/>
        </w:rPr>
        <w:t>la</w:t>
      </w:r>
      <w:r>
        <w:rPr>
          <w:i/>
          <w:spacing w:val="-4"/>
          <w:sz w:val="22"/>
        </w:rPr>
        <w:t> </w:t>
      </w:r>
      <w:r>
        <w:rPr>
          <w:i/>
          <w:sz w:val="22"/>
        </w:rPr>
        <w:t>condición</w:t>
      </w:r>
      <w:r>
        <w:rPr>
          <w:i/>
          <w:spacing w:val="-4"/>
          <w:sz w:val="22"/>
        </w:rPr>
        <w:t> </w:t>
      </w:r>
      <w:r>
        <w:rPr>
          <w:i/>
          <w:sz w:val="22"/>
        </w:rPr>
        <w:t>corporal</w:t>
      </w:r>
      <w:r>
        <w:rPr>
          <w:i/>
          <w:spacing w:val="-6"/>
          <w:sz w:val="22"/>
        </w:rPr>
        <w:t> </w:t>
      </w:r>
      <w:r>
        <w:rPr>
          <w:i/>
          <w:sz w:val="22"/>
        </w:rPr>
        <w:t>registrada</w:t>
      </w:r>
      <w:r>
        <w:rPr>
          <w:i/>
          <w:spacing w:val="-4"/>
          <w:sz w:val="22"/>
        </w:rPr>
        <w:t> </w:t>
      </w:r>
      <w:r>
        <w:rPr>
          <w:i/>
          <w:sz w:val="22"/>
        </w:rPr>
        <w:t>en</w:t>
      </w:r>
      <w:r>
        <w:rPr>
          <w:i/>
          <w:spacing w:val="-7"/>
          <w:sz w:val="22"/>
        </w:rPr>
        <w:t> </w:t>
      </w:r>
      <w:r>
        <w:rPr>
          <w:i/>
          <w:sz w:val="22"/>
        </w:rPr>
        <w:t>las</w:t>
      </w:r>
      <w:r>
        <w:rPr>
          <w:i/>
          <w:spacing w:val="-6"/>
          <w:sz w:val="22"/>
        </w:rPr>
        <w:t> </w:t>
      </w:r>
      <w:r>
        <w:rPr>
          <w:i/>
          <w:sz w:val="22"/>
        </w:rPr>
        <w:t>fichas</w:t>
      </w:r>
      <w:r>
        <w:rPr>
          <w:i/>
          <w:spacing w:val="-6"/>
          <w:sz w:val="22"/>
        </w:rPr>
        <w:t> </w:t>
      </w:r>
      <w:r>
        <w:rPr>
          <w:i/>
          <w:spacing w:val="-2"/>
          <w:sz w:val="22"/>
        </w:rPr>
        <w:t>clínicas.</w:t>
      </w:r>
    </w:p>
    <w:p>
      <w:pPr>
        <w:pStyle w:val="BodyText"/>
        <w:spacing w:before="102"/>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68"/>
        <w:gridCol w:w="2795"/>
        <w:gridCol w:w="1981"/>
      </w:tblGrid>
      <w:tr>
        <w:trPr>
          <w:trHeight w:val="826" w:hRule="atLeast"/>
        </w:trPr>
        <w:tc>
          <w:tcPr>
            <w:tcW w:w="3168" w:type="dxa"/>
            <w:tcBorders>
              <w:top w:val="single" w:sz="4" w:space="0" w:color="000000"/>
              <w:bottom w:val="single" w:sz="4" w:space="0" w:color="000000"/>
            </w:tcBorders>
          </w:tcPr>
          <w:p>
            <w:pPr>
              <w:pStyle w:val="TableParagraph"/>
              <w:spacing w:line="275" w:lineRule="exact" w:before="0"/>
              <w:ind w:left="2" w:right="526"/>
              <w:rPr>
                <w:b/>
                <w:sz w:val="24"/>
              </w:rPr>
            </w:pPr>
            <w:r>
              <w:rPr>
                <w:b/>
                <w:color w:val="0D0D0D"/>
                <w:sz w:val="24"/>
              </w:rPr>
              <w:t>Categoría</w:t>
            </w:r>
            <w:r>
              <w:rPr>
                <w:b/>
                <w:color w:val="0D0D0D"/>
                <w:spacing w:val="1"/>
                <w:sz w:val="24"/>
              </w:rPr>
              <w:t> </w:t>
            </w:r>
            <w:r>
              <w:rPr>
                <w:b/>
                <w:color w:val="0D0D0D"/>
                <w:spacing w:val="-5"/>
                <w:sz w:val="24"/>
              </w:rPr>
              <w:t>BCS</w:t>
            </w:r>
          </w:p>
          <w:p>
            <w:pPr>
              <w:pStyle w:val="TableParagraph"/>
              <w:spacing w:before="140"/>
              <w:ind w:right="526"/>
              <w:rPr>
                <w:b/>
                <w:sz w:val="24"/>
              </w:rPr>
            </w:pPr>
            <w:r>
              <w:rPr>
                <w:b/>
                <w:color w:val="0D0D0D"/>
                <w:sz w:val="24"/>
              </w:rPr>
              <w:t>registrada</w:t>
            </w:r>
            <w:r>
              <w:rPr>
                <w:b/>
                <w:color w:val="0D0D0D"/>
                <w:spacing w:val="-3"/>
                <w:sz w:val="24"/>
              </w:rPr>
              <w:t> </w:t>
            </w:r>
            <w:r>
              <w:rPr>
                <w:b/>
                <w:color w:val="0D0D0D"/>
                <w:sz w:val="24"/>
              </w:rPr>
              <w:t>en</w:t>
            </w:r>
            <w:r>
              <w:rPr>
                <w:b/>
                <w:color w:val="0D0D0D"/>
                <w:spacing w:val="-3"/>
                <w:sz w:val="24"/>
              </w:rPr>
              <w:t> </w:t>
            </w:r>
            <w:r>
              <w:rPr>
                <w:b/>
                <w:color w:val="0D0D0D"/>
                <w:spacing w:val="-4"/>
                <w:sz w:val="24"/>
              </w:rPr>
              <w:t>ficha</w:t>
            </w:r>
          </w:p>
        </w:tc>
        <w:tc>
          <w:tcPr>
            <w:tcW w:w="2795" w:type="dxa"/>
            <w:tcBorders>
              <w:top w:val="single" w:sz="4" w:space="0" w:color="000000"/>
              <w:bottom w:val="single" w:sz="4" w:space="0" w:color="000000"/>
            </w:tcBorders>
          </w:tcPr>
          <w:p>
            <w:pPr>
              <w:pStyle w:val="TableParagraph"/>
              <w:spacing w:line="275" w:lineRule="exact" w:before="0"/>
              <w:ind w:right="770"/>
              <w:jc w:val="right"/>
              <w:rPr>
                <w:b/>
                <w:sz w:val="24"/>
              </w:rPr>
            </w:pPr>
            <w:r>
              <w:rPr>
                <w:b/>
                <w:color w:val="0D0D0D"/>
                <w:spacing w:val="-2"/>
                <w:sz w:val="24"/>
              </w:rPr>
              <w:t>Frecuencia</w:t>
            </w:r>
          </w:p>
        </w:tc>
        <w:tc>
          <w:tcPr>
            <w:tcW w:w="1981" w:type="dxa"/>
            <w:tcBorders>
              <w:top w:val="single" w:sz="4" w:space="0" w:color="000000"/>
              <w:bottom w:val="single" w:sz="4" w:space="0" w:color="000000"/>
            </w:tcBorders>
          </w:tcPr>
          <w:p>
            <w:pPr>
              <w:pStyle w:val="TableParagraph"/>
              <w:spacing w:line="275" w:lineRule="exact" w:before="0"/>
              <w:ind w:right="103"/>
              <w:jc w:val="right"/>
              <w:rPr>
                <w:b/>
                <w:sz w:val="24"/>
              </w:rPr>
            </w:pPr>
            <w:r>
              <w:rPr>
                <w:b/>
                <w:color w:val="0D0D0D"/>
                <w:spacing w:val="-2"/>
                <w:sz w:val="24"/>
              </w:rPr>
              <w:t>Porcentaje</w:t>
            </w:r>
          </w:p>
        </w:tc>
      </w:tr>
      <w:tr>
        <w:trPr>
          <w:trHeight w:val="352" w:hRule="atLeast"/>
        </w:trPr>
        <w:tc>
          <w:tcPr>
            <w:tcW w:w="3168" w:type="dxa"/>
            <w:tcBorders>
              <w:top w:val="single" w:sz="4" w:space="0" w:color="000000"/>
            </w:tcBorders>
          </w:tcPr>
          <w:p>
            <w:pPr>
              <w:pStyle w:val="TableParagraph"/>
              <w:spacing w:before="3"/>
              <w:ind w:left="1166"/>
              <w:jc w:val="left"/>
              <w:rPr>
                <w:sz w:val="24"/>
              </w:rPr>
            </w:pPr>
            <w:r>
              <w:rPr>
                <w:color w:val="0D0D0D"/>
                <w:spacing w:val="-5"/>
                <w:sz w:val="24"/>
              </w:rPr>
              <w:t>3/5</w:t>
            </w:r>
          </w:p>
        </w:tc>
        <w:tc>
          <w:tcPr>
            <w:tcW w:w="2795" w:type="dxa"/>
            <w:tcBorders>
              <w:top w:val="single" w:sz="4" w:space="0" w:color="000000"/>
            </w:tcBorders>
          </w:tcPr>
          <w:p>
            <w:pPr>
              <w:pStyle w:val="TableParagraph"/>
              <w:spacing w:before="3"/>
              <w:ind w:right="774"/>
              <w:jc w:val="right"/>
              <w:rPr>
                <w:sz w:val="24"/>
              </w:rPr>
            </w:pPr>
            <w:r>
              <w:rPr>
                <w:color w:val="0D0D0D"/>
                <w:spacing w:val="-5"/>
                <w:sz w:val="24"/>
              </w:rPr>
              <w:t>29</w:t>
            </w:r>
          </w:p>
        </w:tc>
        <w:tc>
          <w:tcPr>
            <w:tcW w:w="1981" w:type="dxa"/>
            <w:tcBorders>
              <w:top w:val="single" w:sz="4" w:space="0" w:color="000000"/>
            </w:tcBorders>
          </w:tcPr>
          <w:p>
            <w:pPr>
              <w:pStyle w:val="TableParagraph"/>
              <w:spacing w:before="3"/>
              <w:ind w:right="105"/>
              <w:jc w:val="right"/>
              <w:rPr>
                <w:sz w:val="24"/>
              </w:rPr>
            </w:pPr>
            <w:r>
              <w:rPr>
                <w:color w:val="0D0D0D"/>
                <w:sz w:val="24"/>
              </w:rPr>
              <w:t>96,7 </w:t>
            </w:r>
            <w:r>
              <w:rPr>
                <w:color w:val="0D0D0D"/>
                <w:spacing w:val="-10"/>
                <w:sz w:val="24"/>
              </w:rPr>
              <w:t>%</w:t>
            </w:r>
          </w:p>
        </w:tc>
      </w:tr>
      <w:tr>
        <w:trPr>
          <w:trHeight w:val="478" w:hRule="atLeast"/>
        </w:trPr>
        <w:tc>
          <w:tcPr>
            <w:tcW w:w="3168" w:type="dxa"/>
            <w:tcBorders>
              <w:bottom w:val="single" w:sz="4" w:space="0" w:color="000000"/>
            </w:tcBorders>
          </w:tcPr>
          <w:p>
            <w:pPr>
              <w:pStyle w:val="TableParagraph"/>
              <w:spacing w:before="63"/>
              <w:ind w:left="1166"/>
              <w:jc w:val="left"/>
              <w:rPr>
                <w:sz w:val="24"/>
              </w:rPr>
            </w:pPr>
            <w:r>
              <w:rPr>
                <w:color w:val="0D0D0D"/>
                <w:spacing w:val="-5"/>
                <w:sz w:val="24"/>
              </w:rPr>
              <w:t>4/5</w:t>
            </w:r>
          </w:p>
        </w:tc>
        <w:tc>
          <w:tcPr>
            <w:tcW w:w="2795" w:type="dxa"/>
            <w:tcBorders>
              <w:bottom w:val="single" w:sz="4" w:space="0" w:color="000000"/>
            </w:tcBorders>
          </w:tcPr>
          <w:p>
            <w:pPr>
              <w:pStyle w:val="TableParagraph"/>
              <w:spacing w:before="63"/>
              <w:ind w:right="773"/>
              <w:jc w:val="right"/>
              <w:rPr>
                <w:sz w:val="24"/>
              </w:rPr>
            </w:pPr>
            <w:r>
              <w:rPr>
                <w:color w:val="0D0D0D"/>
                <w:spacing w:val="-10"/>
                <w:sz w:val="24"/>
              </w:rPr>
              <w:t>1</w:t>
            </w:r>
          </w:p>
        </w:tc>
        <w:tc>
          <w:tcPr>
            <w:tcW w:w="1981" w:type="dxa"/>
            <w:tcBorders>
              <w:bottom w:val="single" w:sz="4" w:space="0" w:color="000000"/>
            </w:tcBorders>
          </w:tcPr>
          <w:p>
            <w:pPr>
              <w:pStyle w:val="TableParagraph"/>
              <w:spacing w:before="63"/>
              <w:ind w:right="105"/>
              <w:jc w:val="right"/>
              <w:rPr>
                <w:sz w:val="24"/>
              </w:rPr>
            </w:pPr>
            <w:r>
              <w:rPr>
                <w:color w:val="0D0D0D"/>
                <w:sz w:val="24"/>
              </w:rPr>
              <w:t>3,3 </w:t>
            </w:r>
            <w:r>
              <w:rPr>
                <w:color w:val="0D0D0D"/>
                <w:spacing w:val="-10"/>
                <w:sz w:val="24"/>
              </w:rPr>
              <w:t>%</w:t>
            </w:r>
          </w:p>
        </w:tc>
      </w:tr>
    </w:tbl>
    <w:p>
      <w:pPr>
        <w:pStyle w:val="BodyText"/>
        <w:rPr>
          <w:i/>
          <w:sz w:val="22"/>
        </w:rPr>
      </w:pPr>
    </w:p>
    <w:p>
      <w:pPr>
        <w:pStyle w:val="BodyText"/>
        <w:spacing w:before="103"/>
        <w:rPr>
          <w:i/>
          <w:sz w:val="22"/>
        </w:rPr>
      </w:pPr>
    </w:p>
    <w:p>
      <w:pPr>
        <w:spacing w:before="0"/>
        <w:ind w:left="568" w:right="0" w:firstLine="0"/>
        <w:jc w:val="left"/>
        <w:rPr>
          <w:b/>
          <w:sz w:val="22"/>
        </w:rPr>
      </w:pPr>
      <w:bookmarkStart w:name="_bookmark71" w:id="72"/>
      <w:bookmarkEnd w:id="72"/>
      <w:r>
        <w:rPr/>
      </w:r>
      <w:r>
        <w:rPr>
          <w:b/>
          <w:sz w:val="22"/>
        </w:rPr>
        <w:t>Figura</w:t>
      </w:r>
      <w:r>
        <w:rPr>
          <w:b/>
          <w:spacing w:val="-3"/>
          <w:sz w:val="22"/>
        </w:rPr>
        <w:t> </w:t>
      </w:r>
      <w:r>
        <w:rPr>
          <w:b/>
          <w:spacing w:val="-5"/>
          <w:sz w:val="22"/>
        </w:rPr>
        <w:t>12.</w:t>
      </w:r>
    </w:p>
    <w:p>
      <w:pPr>
        <w:spacing w:before="127"/>
        <w:ind w:left="568" w:right="0" w:firstLine="0"/>
        <w:jc w:val="left"/>
        <w:rPr>
          <w:i/>
          <w:sz w:val="22"/>
        </w:rPr>
      </w:pPr>
      <w:r>
        <w:rPr>
          <w:i/>
          <w:sz w:val="22"/>
        </w:rPr>
        <w:t>Condición</w:t>
      </w:r>
      <w:r>
        <w:rPr>
          <w:i/>
          <w:spacing w:val="-7"/>
          <w:sz w:val="22"/>
        </w:rPr>
        <w:t> </w:t>
      </w:r>
      <w:r>
        <w:rPr>
          <w:i/>
          <w:sz w:val="22"/>
        </w:rPr>
        <w:t>corporal</w:t>
      </w:r>
      <w:r>
        <w:rPr>
          <w:i/>
          <w:spacing w:val="-7"/>
          <w:sz w:val="22"/>
        </w:rPr>
        <w:t> </w:t>
      </w:r>
      <w:r>
        <w:rPr>
          <w:i/>
          <w:sz w:val="22"/>
        </w:rPr>
        <w:t>registrada</w:t>
      </w:r>
      <w:r>
        <w:rPr>
          <w:i/>
          <w:spacing w:val="-4"/>
          <w:sz w:val="22"/>
        </w:rPr>
        <w:t> </w:t>
      </w:r>
      <w:r>
        <w:rPr>
          <w:i/>
          <w:sz w:val="22"/>
        </w:rPr>
        <w:t>en</w:t>
      </w:r>
      <w:r>
        <w:rPr>
          <w:i/>
          <w:spacing w:val="-4"/>
          <w:sz w:val="22"/>
        </w:rPr>
        <w:t> </w:t>
      </w:r>
      <w:r>
        <w:rPr>
          <w:i/>
          <w:sz w:val="22"/>
        </w:rPr>
        <w:t>las</w:t>
      </w:r>
      <w:r>
        <w:rPr>
          <w:i/>
          <w:spacing w:val="-7"/>
          <w:sz w:val="22"/>
        </w:rPr>
        <w:t> </w:t>
      </w:r>
      <w:r>
        <w:rPr>
          <w:i/>
          <w:sz w:val="22"/>
        </w:rPr>
        <w:t>fichas</w:t>
      </w:r>
      <w:r>
        <w:rPr>
          <w:i/>
          <w:spacing w:val="-7"/>
          <w:sz w:val="22"/>
        </w:rPr>
        <w:t> </w:t>
      </w:r>
      <w:r>
        <w:rPr>
          <w:i/>
          <w:spacing w:val="-2"/>
          <w:sz w:val="22"/>
        </w:rPr>
        <w:t>clínicas</w:t>
      </w:r>
    </w:p>
    <w:p>
      <w:pPr>
        <w:pStyle w:val="BodyText"/>
        <w:spacing w:before="122"/>
        <w:rPr>
          <w:i/>
          <w:sz w:val="20"/>
        </w:rPr>
      </w:pPr>
      <w:r>
        <w:rPr>
          <w:i/>
          <w:sz w:val="20"/>
        </w:rPr>
        <w:drawing>
          <wp:anchor distT="0" distB="0" distL="0" distR="0" allowOverlap="1" layoutInCell="1" locked="0" behindDoc="1" simplePos="0" relativeHeight="487599104">
            <wp:simplePos x="0" y="0"/>
            <wp:positionH relativeFrom="page">
              <wp:posOffset>1469827</wp:posOffset>
            </wp:positionH>
            <wp:positionV relativeFrom="paragraph">
              <wp:posOffset>239092</wp:posOffset>
            </wp:positionV>
            <wp:extent cx="4122878" cy="2481072"/>
            <wp:effectExtent l="0" t="0" r="0" b="0"/>
            <wp:wrapTopAndBottom/>
            <wp:docPr id="28" name="Image 28"/>
            <wp:cNvGraphicFramePr>
              <a:graphicFrameLocks/>
            </wp:cNvGraphicFramePr>
            <a:graphic>
              <a:graphicData uri="http://schemas.openxmlformats.org/drawingml/2006/picture">
                <pic:pic>
                  <pic:nvPicPr>
                    <pic:cNvPr id="28" name="Image 28"/>
                    <pic:cNvPicPr/>
                  </pic:nvPicPr>
                  <pic:blipFill>
                    <a:blip r:embed="rId23" cstate="print"/>
                    <a:stretch>
                      <a:fillRect/>
                    </a:stretch>
                  </pic:blipFill>
                  <pic:spPr>
                    <a:xfrm>
                      <a:off x="0" y="0"/>
                      <a:ext cx="4122878" cy="2481072"/>
                    </a:xfrm>
                    <a:prstGeom prst="rect">
                      <a:avLst/>
                    </a:prstGeom>
                  </pic:spPr>
                </pic:pic>
              </a:graphicData>
            </a:graphic>
          </wp:anchor>
        </w:drawing>
      </w:r>
    </w:p>
    <w:p>
      <w:pPr>
        <w:pStyle w:val="BodyText"/>
        <w:spacing w:before="137"/>
        <w:rPr>
          <w:i/>
          <w:sz w:val="22"/>
        </w:rPr>
      </w:pPr>
    </w:p>
    <w:p>
      <w:pPr>
        <w:pStyle w:val="BodyText"/>
        <w:spacing w:line="480" w:lineRule="auto"/>
        <w:ind w:left="568" w:right="144"/>
        <w:jc w:val="both"/>
      </w:pPr>
      <w:r>
        <w:rPr>
          <w:color w:val="0D0D0D"/>
        </w:rPr>
        <w:t>La condición corporal registrada en las fichas clínicas evidenció una marcada concentración</w:t>
      </w:r>
      <w:r>
        <w:rPr>
          <w:color w:val="0D0D0D"/>
          <w:spacing w:val="-7"/>
        </w:rPr>
        <w:t> </w:t>
      </w:r>
      <w:r>
        <w:rPr>
          <w:color w:val="0D0D0D"/>
        </w:rPr>
        <w:t>de</w:t>
      </w:r>
      <w:r>
        <w:rPr>
          <w:color w:val="0D0D0D"/>
          <w:spacing w:val="-5"/>
        </w:rPr>
        <w:t> </w:t>
      </w:r>
      <w:r>
        <w:rPr>
          <w:color w:val="0D0D0D"/>
        </w:rPr>
        <w:t>pacientes</w:t>
      </w:r>
      <w:r>
        <w:rPr>
          <w:color w:val="0D0D0D"/>
          <w:spacing w:val="-8"/>
        </w:rPr>
        <w:t> </w:t>
      </w:r>
      <w:r>
        <w:rPr>
          <w:color w:val="0D0D0D"/>
        </w:rPr>
        <w:t>en</w:t>
      </w:r>
      <w:r>
        <w:rPr>
          <w:color w:val="0D0D0D"/>
          <w:spacing w:val="-7"/>
        </w:rPr>
        <w:t> </w:t>
      </w:r>
      <w:r>
        <w:rPr>
          <w:color w:val="0D0D0D"/>
        </w:rPr>
        <w:t>la</w:t>
      </w:r>
      <w:r>
        <w:rPr>
          <w:color w:val="0D0D0D"/>
          <w:spacing w:val="-5"/>
        </w:rPr>
        <w:t> </w:t>
      </w:r>
      <w:r>
        <w:rPr>
          <w:color w:val="0D0D0D"/>
        </w:rPr>
        <w:t>categoría</w:t>
      </w:r>
      <w:r>
        <w:rPr>
          <w:color w:val="0D0D0D"/>
          <w:spacing w:val="-9"/>
        </w:rPr>
        <w:t> </w:t>
      </w:r>
      <w:r>
        <w:rPr>
          <w:color w:val="0D0D0D"/>
        </w:rPr>
        <w:t>BCS</w:t>
      </w:r>
      <w:r>
        <w:rPr>
          <w:color w:val="0D0D0D"/>
          <w:spacing w:val="-8"/>
        </w:rPr>
        <w:t> </w:t>
      </w:r>
      <w:r>
        <w:rPr>
          <w:color w:val="0D0D0D"/>
        </w:rPr>
        <w:t>3/5,</w:t>
      </w:r>
      <w:r>
        <w:rPr>
          <w:color w:val="0D0D0D"/>
          <w:spacing w:val="-7"/>
        </w:rPr>
        <w:t> </w:t>
      </w:r>
      <w:r>
        <w:rPr>
          <w:color w:val="0D0D0D"/>
        </w:rPr>
        <w:t>con</w:t>
      </w:r>
      <w:r>
        <w:rPr>
          <w:color w:val="0D0D0D"/>
          <w:spacing w:val="-7"/>
        </w:rPr>
        <w:t> </w:t>
      </w:r>
      <w:r>
        <w:rPr>
          <w:color w:val="0D0D0D"/>
        </w:rPr>
        <w:t>29</w:t>
      </w:r>
      <w:r>
        <w:rPr>
          <w:color w:val="0D0D0D"/>
          <w:spacing w:val="-7"/>
        </w:rPr>
        <w:t> </w:t>
      </w:r>
      <w:r>
        <w:rPr>
          <w:color w:val="0D0D0D"/>
        </w:rPr>
        <w:t>caninos</w:t>
      </w:r>
      <w:r>
        <w:rPr>
          <w:color w:val="0D0D0D"/>
          <w:spacing w:val="-8"/>
        </w:rPr>
        <w:t> </w:t>
      </w:r>
      <w:r>
        <w:rPr>
          <w:color w:val="0D0D0D"/>
        </w:rPr>
        <w:t>equivalentes</w:t>
      </w:r>
      <w:r>
        <w:rPr>
          <w:color w:val="0D0D0D"/>
          <w:spacing w:val="-8"/>
        </w:rPr>
        <w:t> </w:t>
      </w:r>
      <w:r>
        <w:rPr>
          <w:color w:val="0D0D0D"/>
        </w:rPr>
        <w:t>al 96,7 % de la muestra, mientras que solo 1 paciente se ubicó en la categoría BCS 4/5,</w:t>
      </w:r>
      <w:r>
        <w:rPr>
          <w:color w:val="0D0D0D"/>
          <w:spacing w:val="-9"/>
        </w:rPr>
        <w:t> </w:t>
      </w:r>
      <w:r>
        <w:rPr>
          <w:color w:val="0D0D0D"/>
        </w:rPr>
        <w:t>correspondiente</w:t>
      </w:r>
      <w:r>
        <w:rPr>
          <w:color w:val="0D0D0D"/>
          <w:spacing w:val="-8"/>
        </w:rPr>
        <w:t> </w:t>
      </w:r>
      <w:r>
        <w:rPr>
          <w:color w:val="0D0D0D"/>
        </w:rPr>
        <w:t>al</w:t>
      </w:r>
      <w:r>
        <w:rPr>
          <w:color w:val="0D0D0D"/>
          <w:spacing w:val="-7"/>
        </w:rPr>
        <w:t> </w:t>
      </w:r>
      <w:r>
        <w:rPr>
          <w:color w:val="0D0D0D"/>
        </w:rPr>
        <w:t>3,3</w:t>
      </w:r>
      <w:r>
        <w:rPr>
          <w:color w:val="0D0D0D"/>
          <w:spacing w:val="-9"/>
        </w:rPr>
        <w:t> </w:t>
      </w:r>
      <w:r>
        <w:rPr>
          <w:color w:val="0D0D0D"/>
        </w:rPr>
        <w:t>%.</w:t>
      </w:r>
      <w:r>
        <w:rPr>
          <w:color w:val="0D0D0D"/>
          <w:spacing w:val="-8"/>
        </w:rPr>
        <w:t> </w:t>
      </w:r>
      <w:r>
        <w:rPr>
          <w:color w:val="0D0D0D"/>
        </w:rPr>
        <w:t>No</w:t>
      </w:r>
      <w:r>
        <w:rPr>
          <w:color w:val="0D0D0D"/>
          <w:spacing w:val="-9"/>
        </w:rPr>
        <w:t> </w:t>
      </w:r>
      <w:r>
        <w:rPr>
          <w:color w:val="0D0D0D"/>
        </w:rPr>
        <w:t>se</w:t>
      </w:r>
      <w:r>
        <w:rPr>
          <w:color w:val="0D0D0D"/>
          <w:spacing w:val="-8"/>
        </w:rPr>
        <w:t> </w:t>
      </w:r>
      <w:r>
        <w:rPr>
          <w:color w:val="0D0D0D"/>
        </w:rPr>
        <w:t>registraron</w:t>
      </w:r>
      <w:r>
        <w:rPr>
          <w:color w:val="0D0D0D"/>
          <w:spacing w:val="-8"/>
        </w:rPr>
        <w:t> </w:t>
      </w:r>
      <w:r>
        <w:rPr>
          <w:color w:val="0D0D0D"/>
        </w:rPr>
        <w:t>animales</w:t>
      </w:r>
      <w:r>
        <w:rPr>
          <w:color w:val="0D0D0D"/>
          <w:spacing w:val="-11"/>
        </w:rPr>
        <w:t> </w:t>
      </w:r>
      <w:r>
        <w:rPr>
          <w:color w:val="0D0D0D"/>
        </w:rPr>
        <w:t>en</w:t>
      </w:r>
      <w:r>
        <w:rPr>
          <w:color w:val="0D0D0D"/>
          <w:spacing w:val="-12"/>
        </w:rPr>
        <w:t> </w:t>
      </w:r>
      <w:r>
        <w:rPr>
          <w:color w:val="0D0D0D"/>
        </w:rPr>
        <w:t>categorías</w:t>
      </w:r>
      <w:r>
        <w:rPr>
          <w:color w:val="0D0D0D"/>
          <w:spacing w:val="-11"/>
        </w:rPr>
        <w:t> </w:t>
      </w:r>
      <w:r>
        <w:rPr>
          <w:color w:val="0D0D0D"/>
        </w:rPr>
        <w:t>extremas</w:t>
      </w:r>
      <w:r>
        <w:rPr>
          <w:color w:val="0D0D0D"/>
          <w:spacing w:val="-10"/>
        </w:rPr>
        <w:t> </w:t>
      </w:r>
      <w:r>
        <w:rPr>
          <w:color w:val="0D0D0D"/>
          <w:spacing w:val="-5"/>
        </w:rPr>
        <w:t>de</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43"/>
        <w:jc w:val="both"/>
      </w:pPr>
      <w:r>
        <w:rPr>
          <w:color w:val="0D0D0D"/>
        </w:rPr>
        <w:t>bajo peso u obesidad, lo cual indica que la mayor parte de los pacientes presentó una condición</w:t>
      </w:r>
      <w:r>
        <w:rPr>
          <w:color w:val="0D0D0D"/>
          <w:spacing w:val="-6"/>
        </w:rPr>
        <w:t> </w:t>
      </w:r>
      <w:r>
        <w:rPr>
          <w:color w:val="0D0D0D"/>
        </w:rPr>
        <w:t>corporal</w:t>
      </w:r>
      <w:r>
        <w:rPr>
          <w:color w:val="0D0D0D"/>
          <w:spacing w:val="-4"/>
        </w:rPr>
        <w:t> </w:t>
      </w:r>
      <w:r>
        <w:rPr>
          <w:color w:val="0D0D0D"/>
        </w:rPr>
        <w:t>cercana</w:t>
      </w:r>
      <w:r>
        <w:rPr>
          <w:color w:val="0D0D0D"/>
          <w:spacing w:val="-4"/>
        </w:rPr>
        <w:t> </w:t>
      </w:r>
      <w:r>
        <w:rPr>
          <w:color w:val="0D0D0D"/>
        </w:rPr>
        <w:t>al</w:t>
      </w:r>
      <w:r>
        <w:rPr>
          <w:color w:val="0D0D0D"/>
          <w:spacing w:val="-4"/>
        </w:rPr>
        <w:t> </w:t>
      </w:r>
      <w:r>
        <w:rPr>
          <w:color w:val="0D0D0D"/>
        </w:rPr>
        <w:t>rango</w:t>
      </w:r>
      <w:r>
        <w:rPr>
          <w:color w:val="0D0D0D"/>
          <w:spacing w:val="-6"/>
        </w:rPr>
        <w:t> </w:t>
      </w:r>
      <w:r>
        <w:rPr>
          <w:color w:val="0D0D0D"/>
        </w:rPr>
        <w:t>esperado</w:t>
      </w:r>
      <w:r>
        <w:rPr>
          <w:color w:val="0D0D0D"/>
          <w:spacing w:val="-2"/>
        </w:rPr>
        <w:t> </w:t>
      </w:r>
      <w:r>
        <w:rPr>
          <w:color w:val="0D0D0D"/>
        </w:rPr>
        <w:t>para procedimientos</w:t>
      </w:r>
      <w:r>
        <w:rPr>
          <w:color w:val="0D0D0D"/>
          <w:spacing w:val="-3"/>
        </w:rPr>
        <w:t> </w:t>
      </w:r>
      <w:r>
        <w:rPr>
          <w:color w:val="0D0D0D"/>
        </w:rPr>
        <w:t>quirúrgicos de rutina.</w:t>
      </w:r>
    </w:p>
    <w:p>
      <w:pPr>
        <w:pStyle w:val="BodyText"/>
        <w:spacing w:line="480" w:lineRule="auto" w:before="241"/>
        <w:ind w:left="568" w:right="137"/>
        <w:jc w:val="both"/>
      </w:pPr>
      <w:r>
        <w:rPr>
          <w:color w:val="0D0D0D"/>
        </w:rPr>
        <w:t>La condición corporal resulta importante en la evaluación del paciente porque permite</w:t>
      </w:r>
      <w:r>
        <w:rPr>
          <w:color w:val="0D0D0D"/>
          <w:spacing w:val="-3"/>
        </w:rPr>
        <w:t> </w:t>
      </w:r>
      <w:r>
        <w:rPr>
          <w:color w:val="0D0D0D"/>
        </w:rPr>
        <w:t>una</w:t>
      </w:r>
      <w:r>
        <w:rPr>
          <w:color w:val="0D0D0D"/>
          <w:spacing w:val="-4"/>
        </w:rPr>
        <w:t> </w:t>
      </w:r>
      <w:r>
        <w:rPr>
          <w:color w:val="0D0D0D"/>
        </w:rPr>
        <w:t>complementación</w:t>
      </w:r>
      <w:r>
        <w:rPr>
          <w:color w:val="0D0D0D"/>
          <w:spacing w:val="-6"/>
        </w:rPr>
        <w:t> </w:t>
      </w:r>
      <w:r>
        <w:rPr>
          <w:color w:val="0D0D0D"/>
        </w:rPr>
        <w:t>de</w:t>
      </w:r>
      <w:r>
        <w:rPr>
          <w:color w:val="0D0D0D"/>
          <w:spacing w:val="-4"/>
        </w:rPr>
        <w:t> </w:t>
      </w:r>
      <w:r>
        <w:rPr>
          <w:color w:val="0D0D0D"/>
        </w:rPr>
        <w:t>la</w:t>
      </w:r>
      <w:r>
        <w:rPr>
          <w:color w:val="0D0D0D"/>
          <w:spacing w:val="-4"/>
        </w:rPr>
        <w:t> </w:t>
      </w:r>
      <w:r>
        <w:rPr>
          <w:color w:val="0D0D0D"/>
        </w:rPr>
        <w:t>valoración</w:t>
      </w:r>
      <w:r>
        <w:rPr>
          <w:color w:val="0D0D0D"/>
          <w:spacing w:val="-6"/>
        </w:rPr>
        <w:t> </w:t>
      </w:r>
      <w:r>
        <w:rPr>
          <w:color w:val="0D0D0D"/>
        </w:rPr>
        <w:t>junto</w:t>
      </w:r>
      <w:r>
        <w:rPr>
          <w:color w:val="0D0D0D"/>
          <w:spacing w:val="-6"/>
        </w:rPr>
        <w:t> </w:t>
      </w:r>
      <w:r>
        <w:rPr>
          <w:color w:val="0D0D0D"/>
        </w:rPr>
        <w:t>con</w:t>
      </w:r>
      <w:r>
        <w:rPr>
          <w:color w:val="0D0D0D"/>
          <w:spacing w:val="-6"/>
        </w:rPr>
        <w:t> </w:t>
      </w:r>
      <w:r>
        <w:rPr>
          <w:color w:val="0D0D0D"/>
        </w:rPr>
        <w:t>el</w:t>
      </w:r>
      <w:r>
        <w:rPr>
          <w:color w:val="0D0D0D"/>
          <w:spacing w:val="-5"/>
        </w:rPr>
        <w:t> </w:t>
      </w:r>
      <w:r>
        <w:rPr>
          <w:color w:val="0D0D0D"/>
        </w:rPr>
        <w:t>peso,</w:t>
      </w:r>
      <w:r>
        <w:rPr>
          <w:color w:val="0D0D0D"/>
          <w:spacing w:val="-6"/>
        </w:rPr>
        <w:t> </w:t>
      </w:r>
      <w:r>
        <w:rPr>
          <w:color w:val="0D0D0D"/>
        </w:rPr>
        <w:t>la</w:t>
      </w:r>
      <w:r>
        <w:rPr>
          <w:color w:val="0D0D0D"/>
          <w:spacing w:val="-4"/>
        </w:rPr>
        <w:t> </w:t>
      </w:r>
      <w:r>
        <w:rPr>
          <w:color w:val="0D0D0D"/>
        </w:rPr>
        <w:t>edad,</w:t>
      </w:r>
      <w:r>
        <w:rPr>
          <w:color w:val="0D0D0D"/>
          <w:spacing w:val="-6"/>
        </w:rPr>
        <w:t> </w:t>
      </w:r>
      <w:r>
        <w:rPr>
          <w:color w:val="0D0D0D"/>
        </w:rPr>
        <w:t>el</w:t>
      </w:r>
      <w:r>
        <w:rPr>
          <w:color w:val="0D0D0D"/>
          <w:spacing w:val="-5"/>
        </w:rPr>
        <w:t> </w:t>
      </w:r>
      <w:r>
        <w:rPr>
          <w:color w:val="0D0D0D"/>
        </w:rPr>
        <w:t>estado general, adicional a los parámetros fisiológicos (Christie, Barnhard, Otto, &amp; Mallikarjun, 2024).</w:t>
      </w:r>
    </w:p>
    <w:p>
      <w:pPr>
        <w:pStyle w:val="BodyText"/>
        <w:spacing w:line="480" w:lineRule="auto" w:before="241"/>
        <w:ind w:left="568" w:right="137"/>
        <w:jc w:val="both"/>
      </w:pPr>
      <w:r>
        <w:rPr>
          <w:color w:val="0D0D0D"/>
        </w:rPr>
        <w:t>La</w:t>
      </w:r>
      <w:r>
        <w:rPr>
          <w:color w:val="0D0D0D"/>
          <w:spacing w:val="-2"/>
        </w:rPr>
        <w:t> </w:t>
      </w:r>
      <w:r>
        <w:rPr>
          <w:color w:val="0D0D0D"/>
        </w:rPr>
        <w:t>condición</w:t>
      </w:r>
      <w:r>
        <w:rPr>
          <w:color w:val="0D0D0D"/>
          <w:spacing w:val="-3"/>
        </w:rPr>
        <w:t> </w:t>
      </w:r>
      <w:r>
        <w:rPr>
          <w:color w:val="0D0D0D"/>
        </w:rPr>
        <w:t>corporal se</w:t>
      </w:r>
      <w:r>
        <w:rPr>
          <w:color w:val="0D0D0D"/>
          <w:spacing w:val="-2"/>
        </w:rPr>
        <w:t> </w:t>
      </w:r>
      <w:r>
        <w:rPr>
          <w:color w:val="0D0D0D"/>
        </w:rPr>
        <w:t>considera</w:t>
      </w:r>
      <w:r>
        <w:rPr>
          <w:color w:val="0D0D0D"/>
          <w:spacing w:val="-2"/>
        </w:rPr>
        <w:t> </w:t>
      </w:r>
      <w:r>
        <w:rPr>
          <w:color w:val="0D0D0D"/>
        </w:rPr>
        <w:t>una</w:t>
      </w:r>
      <w:r>
        <w:rPr>
          <w:color w:val="0D0D0D"/>
          <w:spacing w:val="-2"/>
        </w:rPr>
        <w:t> </w:t>
      </w:r>
      <w:r>
        <w:rPr>
          <w:color w:val="0D0D0D"/>
        </w:rPr>
        <w:t>herramienta</w:t>
      </w:r>
      <w:r>
        <w:rPr>
          <w:color w:val="0D0D0D"/>
          <w:spacing w:val="-2"/>
        </w:rPr>
        <w:t> </w:t>
      </w:r>
      <w:r>
        <w:rPr>
          <w:color w:val="0D0D0D"/>
        </w:rPr>
        <w:t>práctica</w:t>
      </w:r>
      <w:r>
        <w:rPr>
          <w:color w:val="0D0D0D"/>
          <w:spacing w:val="-2"/>
        </w:rPr>
        <w:t> </w:t>
      </w:r>
      <w:r>
        <w:rPr>
          <w:color w:val="0D0D0D"/>
        </w:rPr>
        <w:t>en</w:t>
      </w:r>
      <w:r>
        <w:rPr>
          <w:color w:val="0D0D0D"/>
          <w:spacing w:val="-8"/>
        </w:rPr>
        <w:t> </w:t>
      </w:r>
      <w:r>
        <w:rPr>
          <w:color w:val="0D0D0D"/>
        </w:rPr>
        <w:t>la</w:t>
      </w:r>
      <w:r>
        <w:rPr>
          <w:color w:val="0D0D0D"/>
          <w:spacing w:val="-2"/>
        </w:rPr>
        <w:t> </w:t>
      </w:r>
      <w:r>
        <w:rPr>
          <w:color w:val="0D0D0D"/>
        </w:rPr>
        <w:t>estimación</w:t>
      </w:r>
      <w:r>
        <w:rPr>
          <w:color w:val="0D0D0D"/>
          <w:spacing w:val="-3"/>
        </w:rPr>
        <w:t> </w:t>
      </w:r>
      <w:r>
        <w:rPr>
          <w:color w:val="0D0D0D"/>
        </w:rPr>
        <w:t>de</w:t>
      </w:r>
      <w:r>
        <w:rPr>
          <w:color w:val="0D0D0D"/>
          <w:spacing w:val="-2"/>
        </w:rPr>
        <w:t> </w:t>
      </w:r>
      <w:r>
        <w:rPr>
          <w:color w:val="0D0D0D"/>
        </w:rPr>
        <w:t>la condición corporal mediante observación y palpación, además aporta información sobre</w:t>
      </w:r>
      <w:r>
        <w:rPr>
          <w:color w:val="0D0D0D"/>
          <w:spacing w:val="-11"/>
        </w:rPr>
        <w:t> </w:t>
      </w:r>
      <w:r>
        <w:rPr>
          <w:color w:val="0D0D0D"/>
        </w:rPr>
        <w:t>el</w:t>
      </w:r>
      <w:r>
        <w:rPr>
          <w:color w:val="0D0D0D"/>
          <w:spacing w:val="-14"/>
        </w:rPr>
        <w:t> </w:t>
      </w:r>
      <w:r>
        <w:rPr>
          <w:color w:val="0D0D0D"/>
        </w:rPr>
        <w:t>balance</w:t>
      </w:r>
      <w:r>
        <w:rPr>
          <w:color w:val="0D0D0D"/>
          <w:spacing w:val="-14"/>
        </w:rPr>
        <w:t> </w:t>
      </w:r>
      <w:r>
        <w:rPr>
          <w:color w:val="0D0D0D"/>
        </w:rPr>
        <w:t>entre</w:t>
      </w:r>
      <w:r>
        <w:rPr>
          <w:color w:val="0D0D0D"/>
          <w:spacing w:val="-11"/>
        </w:rPr>
        <w:t> </w:t>
      </w:r>
      <w:r>
        <w:rPr>
          <w:color w:val="0D0D0D"/>
        </w:rPr>
        <w:t>grasa</w:t>
      </w:r>
      <w:r>
        <w:rPr>
          <w:color w:val="0D0D0D"/>
          <w:spacing w:val="-14"/>
        </w:rPr>
        <w:t> </w:t>
      </w:r>
      <w:r>
        <w:rPr>
          <w:color w:val="0D0D0D"/>
        </w:rPr>
        <w:t>corporal</w:t>
      </w:r>
      <w:r>
        <w:rPr>
          <w:color w:val="0D0D0D"/>
          <w:spacing w:val="-14"/>
        </w:rPr>
        <w:t> </w:t>
      </w:r>
      <w:r>
        <w:rPr>
          <w:color w:val="0D0D0D"/>
        </w:rPr>
        <w:t>y</w:t>
      </w:r>
      <w:r>
        <w:rPr>
          <w:color w:val="0D0D0D"/>
          <w:spacing w:val="-15"/>
        </w:rPr>
        <w:t> </w:t>
      </w:r>
      <w:r>
        <w:rPr>
          <w:color w:val="0D0D0D"/>
        </w:rPr>
        <w:t>condición</w:t>
      </w:r>
      <w:r>
        <w:rPr>
          <w:color w:val="0D0D0D"/>
          <w:spacing w:val="-12"/>
        </w:rPr>
        <w:t> </w:t>
      </w:r>
      <w:r>
        <w:rPr>
          <w:color w:val="0D0D0D"/>
        </w:rPr>
        <w:t>física</w:t>
      </w:r>
      <w:r>
        <w:rPr>
          <w:color w:val="0D0D0D"/>
          <w:spacing w:val="-11"/>
        </w:rPr>
        <w:t> </w:t>
      </w:r>
      <w:r>
        <w:rPr>
          <w:color w:val="0D0D0D"/>
        </w:rPr>
        <w:t>del</w:t>
      </w:r>
      <w:r>
        <w:rPr>
          <w:color w:val="0D0D0D"/>
          <w:spacing w:val="-11"/>
        </w:rPr>
        <w:t> </w:t>
      </w:r>
      <w:r>
        <w:rPr>
          <w:color w:val="0D0D0D"/>
        </w:rPr>
        <w:t>paciente</w:t>
      </w:r>
      <w:r>
        <w:rPr>
          <w:color w:val="0D0D0D"/>
          <w:spacing w:val="-8"/>
        </w:rPr>
        <w:t> </w:t>
      </w:r>
      <w:r>
        <w:rPr>
          <w:color w:val="0D0D0D"/>
        </w:rPr>
        <w:t>En</w:t>
      </w:r>
      <w:r>
        <w:rPr>
          <w:color w:val="0D0D0D"/>
          <w:spacing w:val="-15"/>
        </w:rPr>
        <w:t> </w:t>
      </w:r>
      <w:r>
        <w:rPr>
          <w:color w:val="0D0D0D"/>
        </w:rPr>
        <w:t>este</w:t>
      </w:r>
      <w:r>
        <w:rPr>
          <w:color w:val="0D0D0D"/>
          <w:spacing w:val="-14"/>
        </w:rPr>
        <w:t> </w:t>
      </w:r>
      <w:r>
        <w:rPr>
          <w:color w:val="0D0D0D"/>
        </w:rPr>
        <w:t>estudio, la alta proporción de caninos con BCS 3/5 favorece una muestra relativamente homogénea</w:t>
      </w:r>
      <w:r>
        <w:rPr>
          <w:color w:val="0D0D0D"/>
          <w:spacing w:val="-10"/>
        </w:rPr>
        <w:t> </w:t>
      </w:r>
      <w:r>
        <w:rPr>
          <w:color w:val="0D0D0D"/>
        </w:rPr>
        <w:t>en</w:t>
      </w:r>
      <w:r>
        <w:rPr>
          <w:color w:val="0D0D0D"/>
          <w:spacing w:val="-8"/>
        </w:rPr>
        <w:t> </w:t>
      </w:r>
      <w:r>
        <w:rPr>
          <w:color w:val="0D0D0D"/>
        </w:rPr>
        <w:t>términos</w:t>
      </w:r>
      <w:r>
        <w:rPr>
          <w:color w:val="0D0D0D"/>
          <w:spacing w:val="-9"/>
        </w:rPr>
        <w:t> </w:t>
      </w:r>
      <w:r>
        <w:rPr>
          <w:color w:val="0D0D0D"/>
        </w:rPr>
        <w:t>de</w:t>
      </w:r>
      <w:r>
        <w:rPr>
          <w:color w:val="0D0D0D"/>
          <w:spacing w:val="-10"/>
        </w:rPr>
        <w:t> </w:t>
      </w:r>
      <w:r>
        <w:rPr>
          <w:color w:val="0D0D0D"/>
        </w:rPr>
        <w:t>condición</w:t>
      </w:r>
      <w:r>
        <w:rPr>
          <w:color w:val="0D0D0D"/>
          <w:spacing w:val="-8"/>
        </w:rPr>
        <w:t> </w:t>
      </w:r>
      <w:r>
        <w:rPr>
          <w:color w:val="0D0D0D"/>
        </w:rPr>
        <w:t>corporal,</w:t>
      </w:r>
      <w:r>
        <w:rPr>
          <w:color w:val="0D0D0D"/>
          <w:spacing w:val="-8"/>
        </w:rPr>
        <w:t> </w:t>
      </w:r>
      <w:r>
        <w:rPr>
          <w:color w:val="0D0D0D"/>
        </w:rPr>
        <w:t>pero</w:t>
      </w:r>
      <w:r>
        <w:rPr>
          <w:color w:val="0D0D0D"/>
          <w:spacing w:val="-7"/>
        </w:rPr>
        <w:t> </w:t>
      </w:r>
      <w:r>
        <w:rPr>
          <w:color w:val="0D0D0D"/>
        </w:rPr>
        <w:t>también</w:t>
      </w:r>
      <w:r>
        <w:rPr>
          <w:color w:val="0D0D0D"/>
          <w:spacing w:val="-8"/>
        </w:rPr>
        <w:t> </w:t>
      </w:r>
      <w:r>
        <w:rPr>
          <w:color w:val="0D0D0D"/>
        </w:rPr>
        <w:t>limita</w:t>
      </w:r>
      <w:r>
        <w:rPr>
          <w:color w:val="0D0D0D"/>
          <w:spacing w:val="-6"/>
        </w:rPr>
        <w:t> </w:t>
      </w:r>
      <w:r>
        <w:rPr>
          <w:color w:val="0D0D0D"/>
        </w:rPr>
        <w:t>la</w:t>
      </w:r>
      <w:r>
        <w:rPr>
          <w:color w:val="0D0D0D"/>
          <w:spacing w:val="-6"/>
        </w:rPr>
        <w:t> </w:t>
      </w:r>
      <w:r>
        <w:rPr>
          <w:color w:val="0D0D0D"/>
        </w:rPr>
        <w:t>comparación entre categorías, debido a que solo se registró un paciente con BCS 4/5. En este caso los resultados hemodinámicos se interpretaron en base a una población conformada por animales con condición corporal cercana a la ideal, sin extrapolar directamente los resultados hacia pacientes con caquexia u obesidad.</w:t>
      </w:r>
    </w:p>
    <w:p>
      <w:pPr>
        <w:pStyle w:val="Heading3"/>
        <w:numPr>
          <w:ilvl w:val="2"/>
          <w:numId w:val="8"/>
        </w:numPr>
        <w:tabs>
          <w:tab w:pos="1288" w:val="left" w:leader="none"/>
        </w:tabs>
        <w:spacing w:line="240" w:lineRule="auto" w:before="1" w:after="0"/>
        <w:ind w:left="1288" w:right="0" w:hanging="720"/>
        <w:jc w:val="both"/>
      </w:pPr>
      <w:bookmarkStart w:name="_bookmark72" w:id="73"/>
      <w:bookmarkEnd w:id="73"/>
      <w:r>
        <w:rPr>
          <w:b w:val="0"/>
        </w:rPr>
      </w:r>
      <w:r>
        <w:rPr>
          <w:color w:val="0D0D0D"/>
        </w:rPr>
        <w:t>Efectos</w:t>
      </w:r>
      <w:r>
        <w:rPr>
          <w:color w:val="0D0D0D"/>
          <w:spacing w:val="-2"/>
        </w:rPr>
        <w:t> adversos</w:t>
      </w:r>
    </w:p>
    <w:p>
      <w:pPr>
        <w:spacing w:before="275"/>
        <w:ind w:left="568" w:right="0" w:firstLine="0"/>
        <w:jc w:val="both"/>
        <w:rPr>
          <w:b/>
          <w:sz w:val="22"/>
        </w:rPr>
      </w:pPr>
      <w:bookmarkStart w:name="_bookmark73" w:id="74"/>
      <w:bookmarkEnd w:id="74"/>
      <w:r>
        <w:rPr/>
      </w:r>
      <w:r>
        <w:rPr>
          <w:b/>
          <w:spacing w:val="-2"/>
          <w:sz w:val="22"/>
        </w:rPr>
        <w:t>Tabla</w:t>
      </w:r>
      <w:r>
        <w:rPr>
          <w:b/>
          <w:spacing w:val="-10"/>
          <w:sz w:val="22"/>
        </w:rPr>
        <w:t> </w:t>
      </w:r>
      <w:r>
        <w:rPr>
          <w:b/>
          <w:spacing w:val="-5"/>
          <w:sz w:val="22"/>
        </w:rPr>
        <w:t>12.</w:t>
      </w:r>
    </w:p>
    <w:p>
      <w:pPr>
        <w:spacing w:before="127"/>
        <w:ind w:left="568" w:right="0" w:firstLine="0"/>
        <w:jc w:val="both"/>
        <w:rPr>
          <w:i/>
          <w:sz w:val="22"/>
        </w:rPr>
      </w:pPr>
      <w:r>
        <w:rPr>
          <w:i/>
          <w:sz w:val="22"/>
        </w:rPr>
        <w:t>Frecuencia</w:t>
      </w:r>
      <w:r>
        <w:rPr>
          <w:i/>
          <w:spacing w:val="-4"/>
          <w:sz w:val="22"/>
        </w:rPr>
        <w:t> </w:t>
      </w:r>
      <w:r>
        <w:rPr>
          <w:i/>
          <w:sz w:val="22"/>
        </w:rPr>
        <w:t>de</w:t>
      </w:r>
      <w:r>
        <w:rPr>
          <w:i/>
          <w:spacing w:val="-5"/>
          <w:sz w:val="22"/>
        </w:rPr>
        <w:t> </w:t>
      </w:r>
      <w:r>
        <w:rPr>
          <w:i/>
          <w:sz w:val="22"/>
        </w:rPr>
        <w:t>efectos</w:t>
      </w:r>
      <w:r>
        <w:rPr>
          <w:i/>
          <w:spacing w:val="-4"/>
          <w:sz w:val="22"/>
        </w:rPr>
        <w:t> </w:t>
      </w:r>
      <w:r>
        <w:rPr>
          <w:i/>
          <w:sz w:val="22"/>
        </w:rPr>
        <w:t>adversos</w:t>
      </w:r>
      <w:r>
        <w:rPr>
          <w:i/>
          <w:spacing w:val="-5"/>
          <w:sz w:val="22"/>
        </w:rPr>
        <w:t> </w:t>
      </w:r>
      <w:r>
        <w:rPr>
          <w:i/>
          <w:sz w:val="22"/>
        </w:rPr>
        <w:t>en</w:t>
      </w:r>
      <w:r>
        <w:rPr>
          <w:i/>
          <w:spacing w:val="-2"/>
          <w:sz w:val="22"/>
        </w:rPr>
        <w:t> </w:t>
      </w:r>
      <w:r>
        <w:rPr>
          <w:i/>
          <w:sz w:val="22"/>
        </w:rPr>
        <w:t>la</w:t>
      </w:r>
      <w:r>
        <w:rPr>
          <w:i/>
          <w:spacing w:val="-2"/>
          <w:sz w:val="22"/>
        </w:rPr>
        <w:t> </w:t>
      </w:r>
      <w:r>
        <w:rPr>
          <w:i/>
          <w:sz w:val="22"/>
        </w:rPr>
        <w:t>muestra</w:t>
      </w:r>
      <w:r>
        <w:rPr>
          <w:i/>
          <w:spacing w:val="-1"/>
          <w:sz w:val="22"/>
        </w:rPr>
        <w:t> </w:t>
      </w:r>
      <w:r>
        <w:rPr>
          <w:i/>
          <w:sz w:val="22"/>
        </w:rPr>
        <w:t>total</w:t>
      </w:r>
      <w:r>
        <w:rPr>
          <w:i/>
          <w:spacing w:val="-5"/>
          <w:sz w:val="22"/>
        </w:rPr>
        <w:t> </w:t>
      </w:r>
      <w:r>
        <w:rPr>
          <w:i/>
          <w:sz w:val="22"/>
        </w:rPr>
        <w:t>y</w:t>
      </w:r>
      <w:r>
        <w:rPr>
          <w:i/>
          <w:spacing w:val="-5"/>
          <w:sz w:val="22"/>
        </w:rPr>
        <w:t> </w:t>
      </w:r>
      <w:r>
        <w:rPr>
          <w:i/>
          <w:sz w:val="22"/>
        </w:rPr>
        <w:t>según</w:t>
      </w:r>
      <w:r>
        <w:rPr>
          <w:i/>
          <w:spacing w:val="-1"/>
          <w:sz w:val="22"/>
        </w:rPr>
        <w:t> </w:t>
      </w:r>
      <w:r>
        <w:rPr>
          <w:i/>
          <w:sz w:val="22"/>
        </w:rPr>
        <w:t>vía</w:t>
      </w:r>
      <w:r>
        <w:rPr>
          <w:i/>
          <w:spacing w:val="-6"/>
          <w:sz w:val="22"/>
        </w:rPr>
        <w:t> </w:t>
      </w:r>
      <w:r>
        <w:rPr>
          <w:i/>
          <w:sz w:val="22"/>
        </w:rPr>
        <w:t>de</w:t>
      </w:r>
      <w:r>
        <w:rPr>
          <w:i/>
          <w:spacing w:val="-4"/>
          <w:sz w:val="22"/>
        </w:rPr>
        <w:t> </w:t>
      </w:r>
      <w:r>
        <w:rPr>
          <w:i/>
          <w:spacing w:val="-2"/>
          <w:sz w:val="22"/>
        </w:rPr>
        <w:t>administración</w:t>
      </w:r>
    </w:p>
    <w:p>
      <w:pPr>
        <w:pStyle w:val="BodyText"/>
        <w:spacing w:before="74"/>
        <w:rPr>
          <w:i/>
          <w:sz w:val="20"/>
        </w:rPr>
      </w:pPr>
      <w:r>
        <w:rPr>
          <w:i/>
          <w:sz w:val="20"/>
        </w:rPr>
        <mc:AlternateContent>
          <mc:Choice Requires="wps">
            <w:drawing>
              <wp:anchor distT="0" distB="0" distL="0" distR="0" allowOverlap="1" layoutInCell="1" locked="0" behindDoc="1" simplePos="0" relativeHeight="487599616">
                <wp:simplePos x="0" y="0"/>
                <wp:positionH relativeFrom="page">
                  <wp:posOffset>1440561</wp:posOffset>
                </wp:positionH>
                <wp:positionV relativeFrom="paragraph">
                  <wp:posOffset>208810</wp:posOffset>
                </wp:positionV>
                <wp:extent cx="5051425" cy="508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5051425" cy="5080"/>
                        </a:xfrm>
                        <a:custGeom>
                          <a:avLst/>
                          <a:gdLst/>
                          <a:ahLst/>
                          <a:cxnLst/>
                          <a:rect l="l" t="t" r="r" b="b"/>
                          <a:pathLst>
                            <a:path w="5051425" h="5080">
                              <a:moveTo>
                                <a:pt x="2495156" y="0"/>
                              </a:moveTo>
                              <a:lnTo>
                                <a:pt x="2490216" y="0"/>
                              </a:lnTo>
                              <a:lnTo>
                                <a:pt x="2490089" y="0"/>
                              </a:lnTo>
                              <a:lnTo>
                                <a:pt x="0" y="0"/>
                              </a:lnTo>
                              <a:lnTo>
                                <a:pt x="0" y="5067"/>
                              </a:lnTo>
                              <a:lnTo>
                                <a:pt x="2490089" y="5067"/>
                              </a:lnTo>
                              <a:lnTo>
                                <a:pt x="2490216" y="5067"/>
                              </a:lnTo>
                              <a:lnTo>
                                <a:pt x="2495156" y="5067"/>
                              </a:lnTo>
                              <a:lnTo>
                                <a:pt x="2495156" y="0"/>
                              </a:lnTo>
                              <a:close/>
                            </a:path>
                            <a:path w="5051425" h="5080">
                              <a:moveTo>
                                <a:pt x="3483533" y="0"/>
                              </a:moveTo>
                              <a:lnTo>
                                <a:pt x="2495169" y="0"/>
                              </a:lnTo>
                              <a:lnTo>
                                <a:pt x="2495169" y="5067"/>
                              </a:lnTo>
                              <a:lnTo>
                                <a:pt x="3483533" y="5067"/>
                              </a:lnTo>
                              <a:lnTo>
                                <a:pt x="3483533" y="0"/>
                              </a:lnTo>
                              <a:close/>
                            </a:path>
                            <a:path w="5051425" h="5080">
                              <a:moveTo>
                                <a:pt x="3488677" y="0"/>
                              </a:moveTo>
                              <a:lnTo>
                                <a:pt x="3483610" y="0"/>
                              </a:lnTo>
                              <a:lnTo>
                                <a:pt x="3483610" y="5067"/>
                              </a:lnTo>
                              <a:lnTo>
                                <a:pt x="3488677" y="5067"/>
                              </a:lnTo>
                              <a:lnTo>
                                <a:pt x="3488677" y="0"/>
                              </a:lnTo>
                              <a:close/>
                            </a:path>
                            <a:path w="5051425" h="5080">
                              <a:moveTo>
                                <a:pt x="4291571" y="0"/>
                              </a:moveTo>
                              <a:lnTo>
                                <a:pt x="4286567" y="0"/>
                              </a:lnTo>
                              <a:lnTo>
                                <a:pt x="3488690" y="0"/>
                              </a:lnTo>
                              <a:lnTo>
                                <a:pt x="3488690" y="5067"/>
                              </a:lnTo>
                              <a:lnTo>
                                <a:pt x="4286504" y="5067"/>
                              </a:lnTo>
                              <a:lnTo>
                                <a:pt x="4291571" y="5067"/>
                              </a:lnTo>
                              <a:lnTo>
                                <a:pt x="4291571" y="0"/>
                              </a:lnTo>
                              <a:close/>
                            </a:path>
                            <a:path w="5051425" h="5080">
                              <a:moveTo>
                                <a:pt x="5051044" y="0"/>
                              </a:moveTo>
                              <a:lnTo>
                                <a:pt x="4291584" y="0"/>
                              </a:lnTo>
                              <a:lnTo>
                                <a:pt x="4291584" y="5067"/>
                              </a:lnTo>
                              <a:lnTo>
                                <a:pt x="5051044" y="5067"/>
                              </a:lnTo>
                              <a:lnTo>
                                <a:pt x="50510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6.441811pt;width:397.75pt;height:.4pt;mso-position-horizontal-relative:page;mso-position-vertical-relative:paragraph;z-index:-15716864;mso-wrap-distance-left:0;mso-wrap-distance-right:0" id="docshape12" coordorigin="2269,329" coordsize="7955,8" path="m6198,329l6190,329,6190,329,2269,329,2269,337,6190,337,6190,337,6198,337,6198,329xm7754,329l6198,329,6198,337,7754,337,7754,329xm7763,329l7755,329,7755,337,7763,337,7763,329xm9027,329l9019,329,9019,329,7763,329,7763,337,9019,337,9019,337,9027,337,9027,329xm10223,329l9027,329,9027,337,10223,337,10223,329xe" filled="true" fillcolor="#000000" stroked="false">
                <v:path arrowok="t"/>
                <v:fill type="solid"/>
                <w10:wrap type="topAndBottom"/>
              </v:shape>
            </w:pict>
          </mc:Fallback>
        </mc:AlternateContent>
      </w:r>
    </w:p>
    <w:p>
      <w:pPr>
        <w:pStyle w:val="BodyText"/>
        <w:spacing w:before="20"/>
        <w:rPr>
          <w:i/>
          <w:sz w:val="20"/>
        </w:rPr>
      </w:pPr>
    </w:p>
    <w:tbl>
      <w:tblPr>
        <w:tblW w:w="0" w:type="auto"/>
        <w:jc w:val="left"/>
        <w:tblInd w:w="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60"/>
        <w:gridCol w:w="1671"/>
        <w:gridCol w:w="1260"/>
        <w:gridCol w:w="1168"/>
      </w:tblGrid>
      <w:tr>
        <w:trPr>
          <w:trHeight w:val="264" w:hRule="atLeast"/>
        </w:trPr>
        <w:tc>
          <w:tcPr>
            <w:tcW w:w="3860" w:type="dxa"/>
            <w:tcBorders>
              <w:bottom w:val="single" w:sz="4" w:space="0" w:color="000000"/>
            </w:tcBorders>
          </w:tcPr>
          <w:p>
            <w:pPr>
              <w:pStyle w:val="TableParagraph"/>
              <w:spacing w:line="245" w:lineRule="exact" w:before="0"/>
              <w:ind w:left="1118"/>
              <w:jc w:val="left"/>
              <w:rPr>
                <w:b/>
                <w:sz w:val="24"/>
              </w:rPr>
            </w:pPr>
            <w:r>
              <w:rPr>
                <w:b/>
                <w:spacing w:val="-2"/>
                <w:sz w:val="24"/>
              </w:rPr>
              <w:t>Evento/Hallazgo</w:t>
            </w:r>
          </w:p>
        </w:tc>
        <w:tc>
          <w:tcPr>
            <w:tcW w:w="1671" w:type="dxa"/>
            <w:tcBorders>
              <w:bottom w:val="single" w:sz="4" w:space="0" w:color="000000"/>
            </w:tcBorders>
          </w:tcPr>
          <w:p>
            <w:pPr>
              <w:pStyle w:val="TableParagraph"/>
              <w:spacing w:line="245" w:lineRule="exact" w:before="0"/>
              <w:ind w:right="141"/>
              <w:jc w:val="right"/>
              <w:rPr>
                <w:b/>
                <w:sz w:val="24"/>
              </w:rPr>
            </w:pPr>
            <w:r>
              <w:rPr>
                <w:b/>
                <w:sz w:val="24"/>
              </w:rPr>
              <w:t>Total,</w:t>
            </w:r>
            <w:r>
              <w:rPr>
                <w:b/>
                <w:spacing w:val="-2"/>
                <w:sz w:val="24"/>
              </w:rPr>
              <w:t> </w:t>
            </w:r>
            <w:r>
              <w:rPr>
                <w:b/>
                <w:sz w:val="24"/>
              </w:rPr>
              <w:t>n</w:t>
            </w:r>
            <w:r>
              <w:rPr>
                <w:b/>
                <w:spacing w:val="-1"/>
                <w:sz w:val="24"/>
              </w:rPr>
              <w:t> </w:t>
            </w:r>
            <w:r>
              <w:rPr>
                <w:b/>
                <w:spacing w:val="-5"/>
                <w:sz w:val="24"/>
              </w:rPr>
              <w:t>(%)</w:t>
            </w:r>
          </w:p>
        </w:tc>
        <w:tc>
          <w:tcPr>
            <w:tcW w:w="1260" w:type="dxa"/>
            <w:tcBorders>
              <w:bottom w:val="single" w:sz="4" w:space="0" w:color="000000"/>
            </w:tcBorders>
          </w:tcPr>
          <w:p>
            <w:pPr>
              <w:pStyle w:val="TableParagraph"/>
              <w:spacing w:line="245" w:lineRule="exact" w:before="0"/>
              <w:ind w:right="141"/>
              <w:jc w:val="right"/>
              <w:rPr>
                <w:b/>
                <w:sz w:val="24"/>
              </w:rPr>
            </w:pPr>
            <w:r>
              <w:rPr>
                <w:b/>
                <w:sz w:val="24"/>
              </w:rPr>
              <w:t>IM</w:t>
            </w:r>
            <w:r>
              <w:rPr>
                <w:b/>
                <w:spacing w:val="-1"/>
                <w:sz w:val="24"/>
              </w:rPr>
              <w:t> </w:t>
            </w:r>
            <w:r>
              <w:rPr>
                <w:b/>
                <w:sz w:val="24"/>
              </w:rPr>
              <w:t>n</w:t>
            </w:r>
            <w:r>
              <w:rPr>
                <w:b/>
                <w:spacing w:val="-2"/>
                <w:sz w:val="24"/>
              </w:rPr>
              <w:t> </w:t>
            </w:r>
            <w:r>
              <w:rPr>
                <w:b/>
                <w:spacing w:val="-5"/>
                <w:sz w:val="24"/>
              </w:rPr>
              <w:t>(%)</w:t>
            </w:r>
          </w:p>
        </w:tc>
        <w:tc>
          <w:tcPr>
            <w:tcW w:w="1168" w:type="dxa"/>
            <w:tcBorders>
              <w:bottom w:val="single" w:sz="4" w:space="0" w:color="000000"/>
            </w:tcBorders>
          </w:tcPr>
          <w:p>
            <w:pPr>
              <w:pStyle w:val="TableParagraph"/>
              <w:spacing w:line="245" w:lineRule="exact" w:before="0"/>
              <w:ind w:right="101"/>
              <w:jc w:val="right"/>
              <w:rPr>
                <w:b/>
                <w:sz w:val="24"/>
              </w:rPr>
            </w:pPr>
            <w:r>
              <w:rPr>
                <w:b/>
                <w:sz w:val="24"/>
              </w:rPr>
              <w:t>IV n</w:t>
            </w:r>
            <w:r>
              <w:rPr>
                <w:b/>
                <w:spacing w:val="-2"/>
                <w:sz w:val="24"/>
              </w:rPr>
              <w:t> </w:t>
            </w:r>
            <w:r>
              <w:rPr>
                <w:b/>
                <w:spacing w:val="-5"/>
                <w:sz w:val="24"/>
              </w:rPr>
              <w:t>(%)</w:t>
            </w:r>
          </w:p>
        </w:tc>
      </w:tr>
      <w:tr>
        <w:trPr>
          <w:trHeight w:val="644" w:hRule="atLeast"/>
        </w:trPr>
        <w:tc>
          <w:tcPr>
            <w:tcW w:w="3860" w:type="dxa"/>
            <w:tcBorders>
              <w:top w:val="single" w:sz="4" w:space="0" w:color="000000"/>
            </w:tcBorders>
          </w:tcPr>
          <w:p>
            <w:pPr>
              <w:pStyle w:val="TableParagraph"/>
              <w:spacing w:before="243"/>
              <w:ind w:left="114"/>
              <w:jc w:val="left"/>
              <w:rPr>
                <w:sz w:val="24"/>
              </w:rPr>
            </w:pPr>
            <w:r>
              <w:rPr>
                <w:sz w:val="24"/>
              </w:rPr>
              <w:t>Emesis </w:t>
            </w:r>
            <w:r>
              <w:rPr>
                <w:spacing w:val="-2"/>
                <w:sz w:val="24"/>
              </w:rPr>
              <w:t>pospremedicación</w:t>
            </w:r>
          </w:p>
        </w:tc>
        <w:tc>
          <w:tcPr>
            <w:tcW w:w="1671" w:type="dxa"/>
            <w:tcBorders>
              <w:top w:val="single" w:sz="4" w:space="0" w:color="000000"/>
            </w:tcBorders>
          </w:tcPr>
          <w:p>
            <w:pPr>
              <w:pStyle w:val="TableParagraph"/>
              <w:spacing w:before="243"/>
              <w:ind w:right="141"/>
              <w:jc w:val="right"/>
              <w:rPr>
                <w:sz w:val="24"/>
              </w:rPr>
            </w:pPr>
            <w:r>
              <w:rPr>
                <w:sz w:val="24"/>
              </w:rPr>
              <w:t>2 </w:t>
            </w:r>
            <w:r>
              <w:rPr>
                <w:spacing w:val="-2"/>
                <w:sz w:val="24"/>
              </w:rPr>
              <w:t>(6,7)</w:t>
            </w:r>
          </w:p>
        </w:tc>
        <w:tc>
          <w:tcPr>
            <w:tcW w:w="1260" w:type="dxa"/>
            <w:tcBorders>
              <w:top w:val="single" w:sz="4" w:space="0" w:color="000000"/>
            </w:tcBorders>
          </w:tcPr>
          <w:p>
            <w:pPr>
              <w:pStyle w:val="TableParagraph"/>
              <w:spacing w:before="243"/>
              <w:ind w:right="141"/>
              <w:jc w:val="right"/>
              <w:rPr>
                <w:sz w:val="24"/>
              </w:rPr>
            </w:pPr>
            <w:r>
              <w:rPr>
                <w:sz w:val="24"/>
              </w:rPr>
              <w:t>2 </w:t>
            </w:r>
            <w:r>
              <w:rPr>
                <w:spacing w:val="-2"/>
                <w:sz w:val="24"/>
              </w:rPr>
              <w:t>(13,3)</w:t>
            </w:r>
          </w:p>
        </w:tc>
        <w:tc>
          <w:tcPr>
            <w:tcW w:w="1168" w:type="dxa"/>
            <w:tcBorders>
              <w:top w:val="single" w:sz="4" w:space="0" w:color="000000"/>
            </w:tcBorders>
          </w:tcPr>
          <w:p>
            <w:pPr>
              <w:pStyle w:val="TableParagraph"/>
              <w:spacing w:before="243"/>
              <w:ind w:right="100"/>
              <w:jc w:val="right"/>
              <w:rPr>
                <w:sz w:val="24"/>
              </w:rPr>
            </w:pPr>
            <w:r>
              <w:rPr>
                <w:sz w:val="24"/>
              </w:rPr>
              <w:t>0 </w:t>
            </w:r>
            <w:r>
              <w:rPr>
                <w:spacing w:val="-2"/>
                <w:sz w:val="24"/>
              </w:rPr>
              <w:t>(0,0)</w:t>
            </w:r>
          </w:p>
        </w:tc>
      </w:tr>
      <w:tr>
        <w:trPr>
          <w:trHeight w:val="516" w:hRule="atLeast"/>
        </w:trPr>
        <w:tc>
          <w:tcPr>
            <w:tcW w:w="3860" w:type="dxa"/>
          </w:tcPr>
          <w:p>
            <w:pPr>
              <w:pStyle w:val="TableParagraph"/>
              <w:spacing w:before="115"/>
              <w:ind w:left="114"/>
              <w:jc w:val="left"/>
              <w:rPr>
                <w:sz w:val="24"/>
              </w:rPr>
            </w:pPr>
            <w:r>
              <w:rPr>
                <w:sz w:val="24"/>
              </w:rPr>
              <w:t>Recuperación</w:t>
            </w:r>
            <w:r>
              <w:rPr>
                <w:spacing w:val="-5"/>
                <w:sz w:val="24"/>
              </w:rPr>
              <w:t> </w:t>
            </w:r>
            <w:r>
              <w:rPr>
                <w:sz w:val="24"/>
              </w:rPr>
              <w:t>anestésica</w:t>
            </w:r>
            <w:r>
              <w:rPr>
                <w:spacing w:val="1"/>
                <w:sz w:val="24"/>
              </w:rPr>
              <w:t> </w:t>
            </w:r>
            <w:r>
              <w:rPr>
                <w:spacing w:val="-2"/>
                <w:sz w:val="24"/>
              </w:rPr>
              <w:t>precipitada</w:t>
            </w:r>
          </w:p>
        </w:tc>
        <w:tc>
          <w:tcPr>
            <w:tcW w:w="1671" w:type="dxa"/>
          </w:tcPr>
          <w:p>
            <w:pPr>
              <w:pStyle w:val="TableParagraph"/>
              <w:spacing w:before="115"/>
              <w:ind w:right="141"/>
              <w:jc w:val="right"/>
              <w:rPr>
                <w:sz w:val="24"/>
              </w:rPr>
            </w:pPr>
            <w:r>
              <w:rPr>
                <w:sz w:val="24"/>
              </w:rPr>
              <w:t>2 </w:t>
            </w:r>
            <w:r>
              <w:rPr>
                <w:spacing w:val="-2"/>
                <w:sz w:val="24"/>
              </w:rPr>
              <w:t>(6,7)</w:t>
            </w:r>
          </w:p>
        </w:tc>
        <w:tc>
          <w:tcPr>
            <w:tcW w:w="1260" w:type="dxa"/>
          </w:tcPr>
          <w:p>
            <w:pPr>
              <w:pStyle w:val="TableParagraph"/>
              <w:spacing w:before="115"/>
              <w:ind w:right="141"/>
              <w:jc w:val="right"/>
              <w:rPr>
                <w:sz w:val="24"/>
              </w:rPr>
            </w:pPr>
            <w:r>
              <w:rPr>
                <w:sz w:val="24"/>
              </w:rPr>
              <w:t>1 </w:t>
            </w:r>
            <w:r>
              <w:rPr>
                <w:spacing w:val="-2"/>
                <w:sz w:val="24"/>
              </w:rPr>
              <w:t>(6,7)</w:t>
            </w:r>
          </w:p>
        </w:tc>
        <w:tc>
          <w:tcPr>
            <w:tcW w:w="1168" w:type="dxa"/>
          </w:tcPr>
          <w:p>
            <w:pPr>
              <w:pStyle w:val="TableParagraph"/>
              <w:spacing w:before="115"/>
              <w:ind w:right="100"/>
              <w:jc w:val="right"/>
              <w:rPr>
                <w:sz w:val="24"/>
              </w:rPr>
            </w:pPr>
            <w:r>
              <w:rPr>
                <w:sz w:val="24"/>
              </w:rPr>
              <w:t>1 </w:t>
            </w:r>
            <w:r>
              <w:rPr>
                <w:spacing w:val="-2"/>
                <w:sz w:val="24"/>
              </w:rPr>
              <w:t>(6,7)</w:t>
            </w:r>
          </w:p>
        </w:tc>
      </w:tr>
      <w:tr>
        <w:trPr>
          <w:trHeight w:val="390" w:hRule="atLeast"/>
        </w:trPr>
        <w:tc>
          <w:tcPr>
            <w:tcW w:w="3860" w:type="dxa"/>
            <w:tcBorders>
              <w:bottom w:val="single" w:sz="4" w:space="0" w:color="000000"/>
            </w:tcBorders>
          </w:tcPr>
          <w:p>
            <w:pPr>
              <w:pStyle w:val="TableParagraph"/>
              <w:spacing w:line="256" w:lineRule="exact" w:before="115"/>
              <w:ind w:left="114"/>
              <w:jc w:val="left"/>
              <w:rPr>
                <w:sz w:val="24"/>
              </w:rPr>
            </w:pPr>
            <w:r>
              <w:rPr>
                <w:sz w:val="24"/>
              </w:rPr>
              <w:t>Bradicardia</w:t>
            </w:r>
            <w:r>
              <w:rPr>
                <w:spacing w:val="2"/>
                <w:sz w:val="24"/>
              </w:rPr>
              <w:t> </w:t>
            </w:r>
            <w:r>
              <w:rPr>
                <w:sz w:val="24"/>
              </w:rPr>
              <w:t>muy</w:t>
            </w:r>
            <w:r>
              <w:rPr>
                <w:spacing w:val="-4"/>
                <w:sz w:val="24"/>
              </w:rPr>
              <w:t> </w:t>
            </w:r>
            <w:r>
              <w:rPr>
                <w:spacing w:val="-2"/>
                <w:sz w:val="24"/>
              </w:rPr>
              <w:t>marcada</w:t>
            </w:r>
          </w:p>
        </w:tc>
        <w:tc>
          <w:tcPr>
            <w:tcW w:w="1671" w:type="dxa"/>
            <w:tcBorders>
              <w:bottom w:val="single" w:sz="4" w:space="0" w:color="000000"/>
            </w:tcBorders>
          </w:tcPr>
          <w:p>
            <w:pPr>
              <w:pStyle w:val="TableParagraph"/>
              <w:spacing w:line="256" w:lineRule="exact" w:before="115"/>
              <w:ind w:right="141"/>
              <w:jc w:val="right"/>
              <w:rPr>
                <w:sz w:val="24"/>
              </w:rPr>
            </w:pPr>
            <w:r>
              <w:rPr>
                <w:sz w:val="24"/>
              </w:rPr>
              <w:t>1 </w:t>
            </w:r>
            <w:r>
              <w:rPr>
                <w:spacing w:val="-2"/>
                <w:sz w:val="24"/>
              </w:rPr>
              <w:t>(3,3)</w:t>
            </w:r>
          </w:p>
        </w:tc>
        <w:tc>
          <w:tcPr>
            <w:tcW w:w="1260" w:type="dxa"/>
            <w:tcBorders>
              <w:bottom w:val="single" w:sz="4" w:space="0" w:color="000000"/>
            </w:tcBorders>
          </w:tcPr>
          <w:p>
            <w:pPr>
              <w:pStyle w:val="TableParagraph"/>
              <w:spacing w:line="256" w:lineRule="exact" w:before="115"/>
              <w:ind w:right="141"/>
              <w:jc w:val="right"/>
              <w:rPr>
                <w:sz w:val="24"/>
              </w:rPr>
            </w:pPr>
            <w:r>
              <w:rPr>
                <w:sz w:val="24"/>
              </w:rPr>
              <w:t>0 </w:t>
            </w:r>
            <w:r>
              <w:rPr>
                <w:spacing w:val="-2"/>
                <w:sz w:val="24"/>
              </w:rPr>
              <w:t>(0,0)</w:t>
            </w:r>
          </w:p>
        </w:tc>
        <w:tc>
          <w:tcPr>
            <w:tcW w:w="1168" w:type="dxa"/>
            <w:tcBorders>
              <w:bottom w:val="single" w:sz="4" w:space="0" w:color="000000"/>
            </w:tcBorders>
          </w:tcPr>
          <w:p>
            <w:pPr>
              <w:pStyle w:val="TableParagraph"/>
              <w:spacing w:line="256" w:lineRule="exact" w:before="115"/>
              <w:ind w:right="100"/>
              <w:jc w:val="right"/>
              <w:rPr>
                <w:sz w:val="24"/>
              </w:rPr>
            </w:pPr>
            <w:r>
              <w:rPr>
                <w:sz w:val="24"/>
              </w:rPr>
              <w:t>1 </w:t>
            </w:r>
            <w:r>
              <w:rPr>
                <w:spacing w:val="-2"/>
                <w:sz w:val="24"/>
              </w:rPr>
              <w:t>(6,7)</w:t>
            </w:r>
          </w:p>
        </w:tc>
      </w:tr>
    </w:tbl>
    <w:p>
      <w:pPr>
        <w:pStyle w:val="TableParagraph"/>
        <w:spacing w:after="0" w:line="256" w:lineRule="exact"/>
        <w:jc w:val="right"/>
        <w:rPr>
          <w:sz w:val="24"/>
        </w:rPr>
        <w:sectPr>
          <w:pgSz w:w="11910" w:h="16840"/>
          <w:pgMar w:header="0" w:footer="1038" w:top="1620" w:bottom="1220" w:left="1700" w:right="1559"/>
        </w:sectPr>
      </w:pPr>
    </w:p>
    <w:p>
      <w:pPr>
        <w:spacing w:before="63"/>
        <w:ind w:left="568" w:right="0" w:firstLine="0"/>
        <w:jc w:val="left"/>
        <w:rPr>
          <w:b/>
          <w:sz w:val="22"/>
        </w:rPr>
      </w:pPr>
      <w:bookmarkStart w:name="_bookmark74" w:id="75"/>
      <w:bookmarkEnd w:id="75"/>
      <w:r>
        <w:rPr/>
      </w:r>
      <w:r>
        <w:rPr>
          <w:b/>
          <w:sz w:val="22"/>
        </w:rPr>
        <w:t>Figura</w:t>
      </w:r>
      <w:r>
        <w:rPr>
          <w:b/>
          <w:spacing w:val="-3"/>
          <w:sz w:val="22"/>
        </w:rPr>
        <w:t> </w:t>
      </w:r>
      <w:r>
        <w:rPr>
          <w:b/>
          <w:spacing w:val="-5"/>
          <w:sz w:val="22"/>
        </w:rPr>
        <w:t>13.</w:t>
      </w:r>
    </w:p>
    <w:p>
      <w:pPr>
        <w:spacing w:before="127"/>
        <w:ind w:left="568" w:right="0" w:firstLine="0"/>
        <w:jc w:val="left"/>
        <w:rPr>
          <w:i/>
          <w:sz w:val="22"/>
        </w:rPr>
      </w:pPr>
      <w:r>
        <w:rPr>
          <w:i/>
          <w:sz w:val="22"/>
        </w:rPr>
        <w:t>Frecuencia</w:t>
      </w:r>
      <w:r>
        <w:rPr>
          <w:i/>
          <w:spacing w:val="-4"/>
          <w:sz w:val="22"/>
        </w:rPr>
        <w:t> </w:t>
      </w:r>
      <w:r>
        <w:rPr>
          <w:i/>
          <w:sz w:val="22"/>
        </w:rPr>
        <w:t>de</w:t>
      </w:r>
      <w:r>
        <w:rPr>
          <w:i/>
          <w:spacing w:val="-5"/>
          <w:sz w:val="22"/>
        </w:rPr>
        <w:t> </w:t>
      </w:r>
      <w:r>
        <w:rPr>
          <w:i/>
          <w:sz w:val="22"/>
        </w:rPr>
        <w:t>efectos</w:t>
      </w:r>
      <w:r>
        <w:rPr>
          <w:i/>
          <w:spacing w:val="-4"/>
          <w:sz w:val="22"/>
        </w:rPr>
        <w:t> </w:t>
      </w:r>
      <w:r>
        <w:rPr>
          <w:i/>
          <w:sz w:val="22"/>
        </w:rPr>
        <w:t>adversos</w:t>
      </w:r>
      <w:r>
        <w:rPr>
          <w:i/>
          <w:spacing w:val="-5"/>
          <w:sz w:val="22"/>
        </w:rPr>
        <w:t> </w:t>
      </w:r>
      <w:r>
        <w:rPr>
          <w:i/>
          <w:sz w:val="22"/>
        </w:rPr>
        <w:t>en</w:t>
      </w:r>
      <w:r>
        <w:rPr>
          <w:i/>
          <w:spacing w:val="-2"/>
          <w:sz w:val="22"/>
        </w:rPr>
        <w:t> </w:t>
      </w:r>
      <w:r>
        <w:rPr>
          <w:i/>
          <w:sz w:val="22"/>
        </w:rPr>
        <w:t>la</w:t>
      </w:r>
      <w:r>
        <w:rPr>
          <w:i/>
          <w:spacing w:val="-2"/>
          <w:sz w:val="22"/>
        </w:rPr>
        <w:t> </w:t>
      </w:r>
      <w:r>
        <w:rPr>
          <w:i/>
          <w:sz w:val="22"/>
        </w:rPr>
        <w:t>muestra</w:t>
      </w:r>
      <w:r>
        <w:rPr>
          <w:i/>
          <w:spacing w:val="-1"/>
          <w:sz w:val="22"/>
        </w:rPr>
        <w:t> </w:t>
      </w:r>
      <w:r>
        <w:rPr>
          <w:i/>
          <w:sz w:val="22"/>
        </w:rPr>
        <w:t>total</w:t>
      </w:r>
      <w:r>
        <w:rPr>
          <w:i/>
          <w:spacing w:val="-5"/>
          <w:sz w:val="22"/>
        </w:rPr>
        <w:t> </w:t>
      </w:r>
      <w:r>
        <w:rPr>
          <w:i/>
          <w:sz w:val="22"/>
        </w:rPr>
        <w:t>y</w:t>
      </w:r>
      <w:r>
        <w:rPr>
          <w:i/>
          <w:spacing w:val="-5"/>
          <w:sz w:val="22"/>
        </w:rPr>
        <w:t> </w:t>
      </w:r>
      <w:r>
        <w:rPr>
          <w:i/>
          <w:sz w:val="22"/>
        </w:rPr>
        <w:t>según</w:t>
      </w:r>
      <w:r>
        <w:rPr>
          <w:i/>
          <w:spacing w:val="-1"/>
          <w:sz w:val="22"/>
        </w:rPr>
        <w:t> </w:t>
      </w:r>
      <w:r>
        <w:rPr>
          <w:i/>
          <w:sz w:val="22"/>
        </w:rPr>
        <w:t>vía</w:t>
      </w:r>
      <w:r>
        <w:rPr>
          <w:i/>
          <w:spacing w:val="-6"/>
          <w:sz w:val="22"/>
        </w:rPr>
        <w:t> </w:t>
      </w:r>
      <w:r>
        <w:rPr>
          <w:i/>
          <w:sz w:val="22"/>
        </w:rPr>
        <w:t>de</w:t>
      </w:r>
      <w:r>
        <w:rPr>
          <w:i/>
          <w:spacing w:val="-4"/>
          <w:sz w:val="22"/>
        </w:rPr>
        <w:t> </w:t>
      </w:r>
      <w:r>
        <w:rPr>
          <w:i/>
          <w:spacing w:val="-2"/>
          <w:sz w:val="22"/>
        </w:rPr>
        <w:t>administración</w:t>
      </w:r>
    </w:p>
    <w:p>
      <w:pPr>
        <w:pStyle w:val="BodyText"/>
        <w:spacing w:before="198"/>
        <w:rPr>
          <w:i/>
          <w:sz w:val="20"/>
        </w:rPr>
      </w:pPr>
      <w:r>
        <w:rPr>
          <w:i/>
          <w:sz w:val="20"/>
        </w:rPr>
        <w:drawing>
          <wp:anchor distT="0" distB="0" distL="0" distR="0" allowOverlap="1" layoutInCell="1" locked="0" behindDoc="1" simplePos="0" relativeHeight="487600128">
            <wp:simplePos x="0" y="0"/>
            <wp:positionH relativeFrom="page">
              <wp:posOffset>1619260</wp:posOffset>
            </wp:positionH>
            <wp:positionV relativeFrom="paragraph">
              <wp:posOffset>287442</wp:posOffset>
            </wp:positionV>
            <wp:extent cx="4646660" cy="2914650"/>
            <wp:effectExtent l="0" t="0" r="0" b="0"/>
            <wp:wrapTopAndBottom/>
            <wp:docPr id="30" name="Image 30"/>
            <wp:cNvGraphicFramePr>
              <a:graphicFrameLocks/>
            </wp:cNvGraphicFramePr>
            <a:graphic>
              <a:graphicData uri="http://schemas.openxmlformats.org/drawingml/2006/picture">
                <pic:pic>
                  <pic:nvPicPr>
                    <pic:cNvPr id="30" name="Image 30"/>
                    <pic:cNvPicPr/>
                  </pic:nvPicPr>
                  <pic:blipFill>
                    <a:blip r:embed="rId24" cstate="print"/>
                    <a:stretch>
                      <a:fillRect/>
                    </a:stretch>
                  </pic:blipFill>
                  <pic:spPr>
                    <a:xfrm>
                      <a:off x="0" y="0"/>
                      <a:ext cx="4646660" cy="2914650"/>
                    </a:xfrm>
                    <a:prstGeom prst="rect">
                      <a:avLst/>
                    </a:prstGeom>
                  </pic:spPr>
                </pic:pic>
              </a:graphicData>
            </a:graphic>
          </wp:anchor>
        </w:drawing>
      </w:r>
    </w:p>
    <w:p>
      <w:pPr>
        <w:pStyle w:val="BodyText"/>
        <w:rPr>
          <w:i/>
          <w:sz w:val="22"/>
        </w:rPr>
      </w:pPr>
    </w:p>
    <w:p>
      <w:pPr>
        <w:pStyle w:val="BodyText"/>
        <w:spacing w:before="9"/>
        <w:rPr>
          <w:i/>
          <w:sz w:val="22"/>
        </w:rPr>
      </w:pPr>
    </w:p>
    <w:p>
      <w:pPr>
        <w:pStyle w:val="BodyText"/>
        <w:spacing w:line="480" w:lineRule="auto"/>
        <w:ind w:left="568" w:right="138"/>
        <w:jc w:val="both"/>
      </w:pPr>
      <w:r>
        <w:rPr>
          <w:color w:val="0D0D0D"/>
        </w:rPr>
        <w:t>En</w:t>
      </w:r>
      <w:r>
        <w:rPr>
          <w:color w:val="0D0D0D"/>
          <w:spacing w:val="-8"/>
        </w:rPr>
        <w:t> </w:t>
      </w:r>
      <w:r>
        <w:rPr>
          <w:color w:val="0D0D0D"/>
        </w:rPr>
        <w:t>el</w:t>
      </w:r>
      <w:r>
        <w:rPr>
          <w:color w:val="0D0D0D"/>
          <w:spacing w:val="-7"/>
        </w:rPr>
        <w:t> </w:t>
      </w:r>
      <w:r>
        <w:rPr>
          <w:color w:val="0D0D0D"/>
        </w:rPr>
        <w:t>registro</w:t>
      </w:r>
      <w:r>
        <w:rPr>
          <w:color w:val="0D0D0D"/>
          <w:spacing w:val="-7"/>
        </w:rPr>
        <w:t> </w:t>
      </w:r>
      <w:r>
        <w:rPr>
          <w:color w:val="0D0D0D"/>
        </w:rPr>
        <w:t>de</w:t>
      </w:r>
      <w:r>
        <w:rPr>
          <w:color w:val="0D0D0D"/>
          <w:spacing w:val="-10"/>
        </w:rPr>
        <w:t> </w:t>
      </w:r>
      <w:r>
        <w:rPr>
          <w:color w:val="0D0D0D"/>
        </w:rPr>
        <w:t>efectos</w:t>
      </w:r>
      <w:r>
        <w:rPr>
          <w:color w:val="0D0D0D"/>
          <w:spacing w:val="-9"/>
        </w:rPr>
        <w:t> </w:t>
      </w:r>
      <w:r>
        <w:rPr>
          <w:color w:val="0D0D0D"/>
        </w:rPr>
        <w:t>adversos</w:t>
      </w:r>
      <w:r>
        <w:rPr>
          <w:color w:val="0D0D0D"/>
          <w:spacing w:val="-6"/>
        </w:rPr>
        <w:t> </w:t>
      </w:r>
      <w:r>
        <w:rPr>
          <w:color w:val="0D0D0D"/>
        </w:rPr>
        <w:t>se</w:t>
      </w:r>
      <w:r>
        <w:rPr>
          <w:color w:val="0D0D0D"/>
          <w:spacing w:val="-5"/>
        </w:rPr>
        <w:t> </w:t>
      </w:r>
      <w:r>
        <w:rPr>
          <w:color w:val="0D0D0D"/>
        </w:rPr>
        <w:t>evidenció</w:t>
      </w:r>
      <w:r>
        <w:rPr>
          <w:color w:val="0D0D0D"/>
          <w:spacing w:val="-8"/>
        </w:rPr>
        <w:t> </w:t>
      </w:r>
      <w:r>
        <w:rPr>
          <w:color w:val="0D0D0D"/>
        </w:rPr>
        <w:t>una</w:t>
      </w:r>
      <w:r>
        <w:rPr>
          <w:color w:val="0D0D0D"/>
          <w:spacing w:val="-6"/>
        </w:rPr>
        <w:t> </w:t>
      </w:r>
      <w:r>
        <w:rPr>
          <w:color w:val="0D0D0D"/>
        </w:rPr>
        <w:t>baja</w:t>
      </w:r>
      <w:r>
        <w:rPr>
          <w:color w:val="0D0D0D"/>
          <w:spacing w:val="-6"/>
        </w:rPr>
        <w:t> </w:t>
      </w:r>
      <w:r>
        <w:rPr>
          <w:color w:val="0D0D0D"/>
        </w:rPr>
        <w:t>frecuencia</w:t>
      </w:r>
      <w:r>
        <w:rPr>
          <w:color w:val="0D0D0D"/>
          <w:spacing w:val="-6"/>
        </w:rPr>
        <w:t> </w:t>
      </w:r>
      <w:r>
        <w:rPr>
          <w:color w:val="0D0D0D"/>
        </w:rPr>
        <w:t>de</w:t>
      </w:r>
      <w:r>
        <w:rPr>
          <w:color w:val="0D0D0D"/>
          <w:spacing w:val="-6"/>
        </w:rPr>
        <w:t> </w:t>
      </w:r>
      <w:r>
        <w:rPr>
          <w:color w:val="0D0D0D"/>
        </w:rPr>
        <w:t>eventos</w:t>
      </w:r>
      <w:r>
        <w:rPr>
          <w:color w:val="0D0D0D"/>
          <w:spacing w:val="-9"/>
        </w:rPr>
        <w:t> </w:t>
      </w:r>
      <w:r>
        <w:rPr>
          <w:color w:val="0D0D0D"/>
        </w:rPr>
        <w:t>en</w:t>
      </w:r>
      <w:r>
        <w:rPr>
          <w:color w:val="0D0D0D"/>
          <w:spacing w:val="-10"/>
        </w:rPr>
        <w:t> </w:t>
      </w:r>
      <w:r>
        <w:rPr>
          <w:color w:val="0D0D0D"/>
        </w:rPr>
        <w:t>la muestra evaluada, por una parte la emesis pospremedicación se presentó en 2 pacientes, equivalente al 6,7 % del total y ambos casos correspondieron al grupo intramuscular, representando el 13,3 % dentro de este grupo. La recuperación anestésica precipitada también se registró en 2 pacientes con 1 caso en el grupo intramuscular y</w:t>
      </w:r>
      <w:r>
        <w:rPr>
          <w:color w:val="0D0D0D"/>
          <w:spacing w:val="-3"/>
        </w:rPr>
        <w:t> </w:t>
      </w:r>
      <w:r>
        <w:rPr>
          <w:color w:val="0D0D0D"/>
        </w:rPr>
        <w:t>1</w:t>
      </w:r>
      <w:r>
        <w:rPr>
          <w:color w:val="0D0D0D"/>
          <w:spacing w:val="-2"/>
        </w:rPr>
        <w:t> </w:t>
      </w:r>
      <w:r>
        <w:rPr>
          <w:color w:val="0D0D0D"/>
        </w:rPr>
        <w:t>caso en</w:t>
      </w:r>
      <w:r>
        <w:rPr>
          <w:color w:val="0D0D0D"/>
          <w:spacing w:val="-3"/>
        </w:rPr>
        <w:t> </w:t>
      </w:r>
      <w:r>
        <w:rPr>
          <w:color w:val="0D0D0D"/>
        </w:rPr>
        <w:t>el</w:t>
      </w:r>
      <w:r>
        <w:rPr>
          <w:color w:val="0D0D0D"/>
          <w:spacing w:val="-1"/>
        </w:rPr>
        <w:t> </w:t>
      </w:r>
      <w:r>
        <w:rPr>
          <w:color w:val="0D0D0D"/>
        </w:rPr>
        <w:t>grupo intravenoso, lo que representó</w:t>
      </w:r>
      <w:r>
        <w:rPr>
          <w:color w:val="0D0D0D"/>
          <w:spacing w:val="-3"/>
        </w:rPr>
        <w:t> </w:t>
      </w:r>
      <w:r>
        <w:rPr>
          <w:color w:val="0D0D0D"/>
        </w:rPr>
        <w:t>el 6,7 %</w:t>
      </w:r>
      <w:r>
        <w:rPr>
          <w:color w:val="0D0D0D"/>
          <w:spacing w:val="-2"/>
        </w:rPr>
        <w:t> </w:t>
      </w:r>
      <w:r>
        <w:rPr>
          <w:color w:val="0D0D0D"/>
        </w:rPr>
        <w:t>en</w:t>
      </w:r>
      <w:r>
        <w:rPr>
          <w:color w:val="0D0D0D"/>
          <w:spacing w:val="-2"/>
        </w:rPr>
        <w:t> </w:t>
      </w:r>
      <w:r>
        <w:rPr>
          <w:color w:val="0D0D0D"/>
        </w:rPr>
        <w:t>cada vía.</w:t>
      </w:r>
      <w:r>
        <w:rPr>
          <w:color w:val="0D0D0D"/>
          <w:spacing w:val="-8"/>
        </w:rPr>
        <w:t> </w:t>
      </w:r>
      <w:r>
        <w:rPr>
          <w:color w:val="0D0D0D"/>
        </w:rPr>
        <w:t>La</w:t>
      </w:r>
      <w:r>
        <w:rPr>
          <w:color w:val="0D0D0D"/>
          <w:spacing w:val="-6"/>
        </w:rPr>
        <w:t> </w:t>
      </w:r>
      <w:r>
        <w:rPr>
          <w:color w:val="0D0D0D"/>
        </w:rPr>
        <w:t>bradicardia</w:t>
      </w:r>
      <w:r>
        <w:rPr>
          <w:color w:val="0D0D0D"/>
          <w:spacing w:val="-6"/>
        </w:rPr>
        <w:t> </w:t>
      </w:r>
      <w:r>
        <w:rPr>
          <w:color w:val="0D0D0D"/>
        </w:rPr>
        <w:t>muy</w:t>
      </w:r>
      <w:r>
        <w:rPr>
          <w:color w:val="0D0D0D"/>
          <w:spacing w:val="-11"/>
        </w:rPr>
        <w:t> </w:t>
      </w:r>
      <w:r>
        <w:rPr>
          <w:color w:val="0D0D0D"/>
        </w:rPr>
        <w:t>marcada</w:t>
      </w:r>
      <w:r>
        <w:rPr>
          <w:color w:val="0D0D0D"/>
          <w:spacing w:val="-10"/>
        </w:rPr>
        <w:t> </w:t>
      </w:r>
      <w:r>
        <w:rPr>
          <w:color w:val="0D0D0D"/>
        </w:rPr>
        <w:t>se</w:t>
      </w:r>
      <w:r>
        <w:rPr>
          <w:color w:val="0D0D0D"/>
          <w:spacing w:val="-6"/>
        </w:rPr>
        <w:t> </w:t>
      </w:r>
      <w:r>
        <w:rPr>
          <w:color w:val="0D0D0D"/>
        </w:rPr>
        <w:t>observó</w:t>
      </w:r>
      <w:r>
        <w:rPr>
          <w:color w:val="0D0D0D"/>
          <w:spacing w:val="-8"/>
        </w:rPr>
        <w:t> </w:t>
      </w:r>
      <w:r>
        <w:rPr>
          <w:color w:val="0D0D0D"/>
        </w:rPr>
        <w:t>en</w:t>
      </w:r>
      <w:r>
        <w:rPr>
          <w:color w:val="0D0D0D"/>
          <w:spacing w:val="-8"/>
        </w:rPr>
        <w:t> </w:t>
      </w:r>
      <w:r>
        <w:rPr>
          <w:color w:val="0D0D0D"/>
        </w:rPr>
        <w:t>1</w:t>
      </w:r>
      <w:r>
        <w:rPr>
          <w:color w:val="0D0D0D"/>
          <w:spacing w:val="-8"/>
        </w:rPr>
        <w:t> </w:t>
      </w:r>
      <w:r>
        <w:rPr>
          <w:color w:val="0D0D0D"/>
        </w:rPr>
        <w:t>paciente,</w:t>
      </w:r>
      <w:r>
        <w:rPr>
          <w:color w:val="0D0D0D"/>
          <w:spacing w:val="-10"/>
        </w:rPr>
        <w:t> </w:t>
      </w:r>
      <w:r>
        <w:rPr>
          <w:color w:val="0D0D0D"/>
        </w:rPr>
        <w:t>equivalente</w:t>
      </w:r>
      <w:r>
        <w:rPr>
          <w:color w:val="0D0D0D"/>
          <w:spacing w:val="-6"/>
        </w:rPr>
        <w:t> </w:t>
      </w:r>
      <w:r>
        <w:rPr>
          <w:color w:val="0D0D0D"/>
        </w:rPr>
        <w:t>al</w:t>
      </w:r>
      <w:r>
        <w:rPr>
          <w:color w:val="0D0D0D"/>
          <w:spacing w:val="-7"/>
        </w:rPr>
        <w:t> </w:t>
      </w:r>
      <w:r>
        <w:rPr>
          <w:color w:val="0D0D0D"/>
        </w:rPr>
        <w:t>3,3</w:t>
      </w:r>
      <w:r>
        <w:rPr>
          <w:color w:val="0D0D0D"/>
          <w:spacing w:val="-8"/>
        </w:rPr>
        <w:t> </w:t>
      </w:r>
      <w:r>
        <w:rPr>
          <w:color w:val="0D0D0D"/>
        </w:rPr>
        <w:t>%</w:t>
      </w:r>
      <w:r>
        <w:rPr>
          <w:color w:val="0D0D0D"/>
          <w:spacing w:val="-7"/>
        </w:rPr>
        <w:t> </w:t>
      </w:r>
      <w:r>
        <w:rPr>
          <w:color w:val="0D0D0D"/>
        </w:rPr>
        <w:t>del total, y se presentó únicamente en el grupo intravenoso, correspondiente al 6,7 % dentro de dicho grupo.</w:t>
      </w:r>
    </w:p>
    <w:p>
      <w:pPr>
        <w:pStyle w:val="BodyText"/>
        <w:spacing w:line="480" w:lineRule="auto" w:before="237"/>
        <w:ind w:left="568" w:right="136"/>
        <w:jc w:val="both"/>
      </w:pPr>
      <w:r>
        <w:rPr>
          <w:color w:val="0D0D0D"/>
        </w:rPr>
        <w:t>La presencia de emesis únicamente en el grupo intramuscular se relaciona con la respuesta individual de algunos pacientes frente a la premedicación con agonistas α2-adrenérgicos, los cuales han sido asociados con efectos adversos tales como vómito,</w:t>
      </w:r>
      <w:r>
        <w:rPr>
          <w:color w:val="0D0D0D"/>
          <w:spacing w:val="22"/>
        </w:rPr>
        <w:t> </w:t>
      </w:r>
      <w:r>
        <w:rPr>
          <w:color w:val="0D0D0D"/>
        </w:rPr>
        <w:t>bradicardia,</w:t>
      </w:r>
      <w:r>
        <w:rPr>
          <w:color w:val="0D0D0D"/>
          <w:spacing w:val="23"/>
        </w:rPr>
        <w:t> </w:t>
      </w:r>
      <w:r>
        <w:rPr>
          <w:color w:val="0D0D0D"/>
        </w:rPr>
        <w:t>así</w:t>
      </w:r>
      <w:r>
        <w:rPr>
          <w:color w:val="0D0D0D"/>
          <w:spacing w:val="20"/>
        </w:rPr>
        <w:t> </w:t>
      </w:r>
      <w:r>
        <w:rPr>
          <w:color w:val="0D0D0D"/>
        </w:rPr>
        <w:t>como</w:t>
      </w:r>
      <w:r>
        <w:rPr>
          <w:color w:val="0D0D0D"/>
          <w:spacing w:val="19"/>
        </w:rPr>
        <w:t> </w:t>
      </w:r>
      <w:r>
        <w:rPr>
          <w:color w:val="0D0D0D"/>
        </w:rPr>
        <w:t>también</w:t>
      </w:r>
      <w:r>
        <w:rPr>
          <w:color w:val="0D0D0D"/>
          <w:spacing w:val="23"/>
        </w:rPr>
        <w:t> </w:t>
      </w:r>
      <w:r>
        <w:rPr>
          <w:color w:val="0D0D0D"/>
        </w:rPr>
        <w:t>variaciones</w:t>
      </w:r>
      <w:r>
        <w:rPr>
          <w:color w:val="0D0D0D"/>
          <w:spacing w:val="21"/>
        </w:rPr>
        <w:t> </w:t>
      </w:r>
      <w:r>
        <w:rPr>
          <w:color w:val="0D0D0D"/>
        </w:rPr>
        <w:t>cardiovasculares</w:t>
      </w:r>
      <w:r>
        <w:rPr>
          <w:color w:val="0D0D0D"/>
          <w:spacing w:val="18"/>
        </w:rPr>
        <w:t> </w:t>
      </w:r>
      <w:r>
        <w:rPr>
          <w:color w:val="0D0D0D"/>
        </w:rPr>
        <w:t>en</w:t>
      </w:r>
      <w:r>
        <w:rPr>
          <w:color w:val="0D0D0D"/>
          <w:spacing w:val="23"/>
        </w:rPr>
        <w:t> </w:t>
      </w:r>
      <w:r>
        <w:rPr>
          <w:color w:val="0D0D0D"/>
          <w:spacing w:val="-2"/>
        </w:rPr>
        <w:t>pequeños</w:t>
      </w:r>
    </w:p>
    <w:p>
      <w:pPr>
        <w:pStyle w:val="BodyText"/>
        <w:spacing w:after="0" w:line="480" w:lineRule="auto"/>
        <w:jc w:val="both"/>
        <w:sectPr>
          <w:pgSz w:w="11910" w:h="16840"/>
          <w:pgMar w:header="0" w:footer="1038" w:top="1620" w:bottom="1220" w:left="1700" w:right="1559"/>
        </w:sectPr>
      </w:pPr>
    </w:p>
    <w:p>
      <w:pPr>
        <w:pStyle w:val="BodyText"/>
        <w:spacing w:line="480" w:lineRule="auto" w:before="64"/>
        <w:ind w:left="568" w:right="137"/>
        <w:jc w:val="both"/>
      </w:pPr>
      <w:r>
        <w:rPr>
          <w:color w:val="0D0D0D"/>
        </w:rPr>
        <w:t>animales</w:t>
      </w:r>
      <w:r>
        <w:rPr>
          <w:color w:val="0D0D0D"/>
          <w:spacing w:val="-15"/>
        </w:rPr>
        <w:t> </w:t>
      </w:r>
      <w:r>
        <w:rPr>
          <w:color w:val="0D0D0D"/>
        </w:rPr>
        <w:t>(Pan</w:t>
      </w:r>
      <w:r>
        <w:rPr>
          <w:color w:val="0D0D0D"/>
          <w:spacing w:val="-11"/>
        </w:rPr>
        <w:t> </w:t>
      </w:r>
      <w:r>
        <w:rPr>
          <w:color w:val="0D0D0D"/>
        </w:rPr>
        <w:t>et</w:t>
      </w:r>
      <w:r>
        <w:rPr>
          <w:color w:val="0D0D0D"/>
          <w:spacing w:val="-10"/>
        </w:rPr>
        <w:t> </w:t>
      </w:r>
      <w:r>
        <w:rPr>
          <w:color w:val="0D0D0D"/>
        </w:rPr>
        <w:t>al.,</w:t>
      </w:r>
      <w:r>
        <w:rPr>
          <w:color w:val="0D0D0D"/>
          <w:spacing w:val="-11"/>
        </w:rPr>
        <w:t> </w:t>
      </w:r>
      <w:r>
        <w:rPr>
          <w:color w:val="0D0D0D"/>
        </w:rPr>
        <w:t>2021;</w:t>
      </w:r>
      <w:r>
        <w:rPr>
          <w:color w:val="0D0D0D"/>
          <w:spacing w:val="-10"/>
        </w:rPr>
        <w:t> </w:t>
      </w:r>
      <w:r>
        <w:rPr>
          <w:color w:val="0D0D0D"/>
        </w:rPr>
        <w:t>Di</w:t>
      </w:r>
      <w:r>
        <w:rPr>
          <w:color w:val="0D0D0D"/>
          <w:spacing w:val="-10"/>
        </w:rPr>
        <w:t> </w:t>
      </w:r>
      <w:r>
        <w:rPr>
          <w:color w:val="0D0D0D"/>
        </w:rPr>
        <w:t>Franco</w:t>
      </w:r>
      <w:r>
        <w:rPr>
          <w:color w:val="0D0D0D"/>
          <w:spacing w:val="-11"/>
        </w:rPr>
        <w:t> </w:t>
      </w:r>
      <w:r>
        <w:rPr>
          <w:color w:val="0D0D0D"/>
        </w:rPr>
        <w:t>et</w:t>
      </w:r>
      <w:r>
        <w:rPr>
          <w:color w:val="0D0D0D"/>
          <w:spacing w:val="-14"/>
        </w:rPr>
        <w:t> </w:t>
      </w:r>
      <w:r>
        <w:rPr>
          <w:color w:val="0D0D0D"/>
        </w:rPr>
        <w:t>al.,</w:t>
      </w:r>
      <w:r>
        <w:rPr>
          <w:color w:val="0D0D0D"/>
          <w:spacing w:val="-15"/>
        </w:rPr>
        <w:t> </w:t>
      </w:r>
      <w:r>
        <w:rPr>
          <w:color w:val="0D0D0D"/>
        </w:rPr>
        <w:t>2023).</w:t>
      </w:r>
      <w:r>
        <w:rPr>
          <w:color w:val="0D0D0D"/>
          <w:spacing w:val="-15"/>
        </w:rPr>
        <w:t> </w:t>
      </w:r>
      <w:r>
        <w:rPr>
          <w:color w:val="0D0D0D"/>
        </w:rPr>
        <w:t>Al</w:t>
      </w:r>
      <w:r>
        <w:rPr>
          <w:color w:val="0D0D0D"/>
          <w:spacing w:val="-10"/>
        </w:rPr>
        <w:t> </w:t>
      </w:r>
      <w:r>
        <w:rPr>
          <w:color w:val="0D0D0D"/>
        </w:rPr>
        <w:t>tratarse</w:t>
      </w:r>
      <w:r>
        <w:rPr>
          <w:color w:val="0D0D0D"/>
          <w:spacing w:val="-10"/>
        </w:rPr>
        <w:t> </w:t>
      </w:r>
      <w:r>
        <w:rPr>
          <w:color w:val="0D0D0D"/>
        </w:rPr>
        <w:t>de</w:t>
      </w:r>
      <w:r>
        <w:rPr>
          <w:color w:val="0D0D0D"/>
          <w:spacing w:val="-9"/>
        </w:rPr>
        <w:t> </w:t>
      </w:r>
      <w:r>
        <w:rPr>
          <w:color w:val="0D0D0D"/>
        </w:rPr>
        <w:t>solo</w:t>
      </w:r>
      <w:r>
        <w:rPr>
          <w:color w:val="0D0D0D"/>
          <w:spacing w:val="-11"/>
        </w:rPr>
        <w:t> </w:t>
      </w:r>
      <w:r>
        <w:rPr>
          <w:color w:val="0D0D0D"/>
        </w:rPr>
        <w:t>2</w:t>
      </w:r>
      <w:r>
        <w:rPr>
          <w:color w:val="0D0D0D"/>
          <w:spacing w:val="-15"/>
        </w:rPr>
        <w:t> </w:t>
      </w:r>
      <w:r>
        <w:rPr>
          <w:color w:val="0D0D0D"/>
        </w:rPr>
        <w:t>casos</w:t>
      </w:r>
      <w:r>
        <w:rPr>
          <w:color w:val="0D0D0D"/>
          <w:spacing w:val="-13"/>
        </w:rPr>
        <w:t> </w:t>
      </w:r>
      <w:r>
        <w:rPr>
          <w:color w:val="0D0D0D"/>
        </w:rPr>
        <w:t>dentro de una muestra de 30 pacientes, este resultado no se interpretó como una complicación frecuente del protocolo.</w:t>
      </w:r>
    </w:p>
    <w:p>
      <w:pPr>
        <w:pStyle w:val="BodyText"/>
        <w:spacing w:line="480" w:lineRule="auto" w:before="241"/>
        <w:ind w:left="568" w:right="135"/>
        <w:jc w:val="both"/>
      </w:pPr>
      <w:r>
        <w:rPr>
          <w:color w:val="0D0D0D"/>
        </w:rPr>
        <w:t>Aarnes</w:t>
      </w:r>
      <w:r>
        <w:rPr>
          <w:color w:val="0D0D0D"/>
          <w:spacing w:val="-11"/>
        </w:rPr>
        <w:t> </w:t>
      </w:r>
      <w:r>
        <w:rPr>
          <w:color w:val="0D0D0D"/>
        </w:rPr>
        <w:t>(2023)</w:t>
      </w:r>
      <w:r>
        <w:rPr>
          <w:color w:val="0D0D0D"/>
          <w:spacing w:val="-11"/>
        </w:rPr>
        <w:t> </w:t>
      </w:r>
      <w:r>
        <w:rPr>
          <w:color w:val="0D0D0D"/>
        </w:rPr>
        <w:t>junto</w:t>
      </w:r>
      <w:r>
        <w:rPr>
          <w:color w:val="0D0D0D"/>
          <w:spacing w:val="-11"/>
        </w:rPr>
        <w:t> </w:t>
      </w:r>
      <w:r>
        <w:rPr>
          <w:color w:val="0D0D0D"/>
        </w:rPr>
        <w:t>con</w:t>
      </w:r>
      <w:r>
        <w:rPr>
          <w:color w:val="0D0D0D"/>
          <w:spacing w:val="-10"/>
        </w:rPr>
        <w:t> </w:t>
      </w:r>
      <w:r>
        <w:rPr>
          <w:color w:val="0D0D0D"/>
        </w:rPr>
        <w:t>Sant’Ana</w:t>
      </w:r>
      <w:r>
        <w:rPr>
          <w:color w:val="0D0D0D"/>
          <w:spacing w:val="-9"/>
        </w:rPr>
        <w:t> </w:t>
      </w:r>
      <w:r>
        <w:rPr>
          <w:color w:val="0D0D0D"/>
        </w:rPr>
        <w:t>(2024)</w:t>
      </w:r>
      <w:r>
        <w:rPr>
          <w:color w:val="0D0D0D"/>
          <w:spacing w:val="-11"/>
        </w:rPr>
        <w:t> </w:t>
      </w:r>
      <w:r>
        <w:rPr>
          <w:color w:val="0D0D0D"/>
        </w:rPr>
        <w:t>describen</w:t>
      </w:r>
      <w:r>
        <w:rPr>
          <w:color w:val="0D0D0D"/>
          <w:spacing w:val="-11"/>
        </w:rPr>
        <w:t> </w:t>
      </w:r>
      <w:r>
        <w:rPr>
          <w:color w:val="0D0D0D"/>
        </w:rPr>
        <w:t>que</w:t>
      </w:r>
      <w:r>
        <w:rPr>
          <w:color w:val="0D0D0D"/>
          <w:spacing w:val="-10"/>
        </w:rPr>
        <w:t> </w:t>
      </w:r>
      <w:r>
        <w:rPr>
          <w:color w:val="0D0D0D"/>
        </w:rPr>
        <w:t>la</w:t>
      </w:r>
      <w:r>
        <w:rPr>
          <w:color w:val="0D0D0D"/>
          <w:spacing w:val="-10"/>
        </w:rPr>
        <w:t> </w:t>
      </w:r>
      <w:r>
        <w:rPr>
          <w:color w:val="0D0D0D"/>
        </w:rPr>
        <w:t>dexmedetomidina,</w:t>
      </w:r>
      <w:r>
        <w:rPr>
          <w:color w:val="0D0D0D"/>
          <w:spacing w:val="-11"/>
        </w:rPr>
        <w:t> </w:t>
      </w:r>
      <w:r>
        <w:rPr>
          <w:color w:val="0D0D0D"/>
        </w:rPr>
        <w:t>tanto por vía intramuscular como por vía intravenosa, genera cambios cardiovasculares que requieren monitorización durante el procedimiento anestésico. Los eventos adversos</w:t>
      </w:r>
      <w:r>
        <w:rPr>
          <w:color w:val="0D0D0D"/>
          <w:spacing w:val="-1"/>
        </w:rPr>
        <w:t> </w:t>
      </w:r>
      <w:r>
        <w:rPr>
          <w:color w:val="0D0D0D"/>
        </w:rPr>
        <w:t>fueron poco frecuentes</w:t>
      </w:r>
      <w:r>
        <w:rPr>
          <w:color w:val="0D0D0D"/>
          <w:spacing w:val="-1"/>
        </w:rPr>
        <w:t> </w:t>
      </w:r>
      <w:r>
        <w:rPr>
          <w:color w:val="0D0D0D"/>
        </w:rPr>
        <w:t>en esta investigación, sin embargo, los</w:t>
      </w:r>
      <w:r>
        <w:rPr>
          <w:color w:val="0D0D0D"/>
          <w:spacing w:val="-1"/>
        </w:rPr>
        <w:t> </w:t>
      </w:r>
      <w:r>
        <w:rPr>
          <w:color w:val="0D0D0D"/>
        </w:rPr>
        <w:t>resultados respaldan la necesidad de mantener una vigilancia clínica continua sobre la frecuencia cardíaca y la respuesta cardiovascular durante el uso de </w:t>
      </w:r>
      <w:r>
        <w:rPr>
          <w:color w:val="0D0D0D"/>
          <w:spacing w:val="-2"/>
        </w:rPr>
        <w:t>dexmedetomidina.</w:t>
      </w:r>
    </w:p>
    <w:p>
      <w:pPr>
        <w:pStyle w:val="BodyText"/>
        <w:spacing w:after="0" w:line="480" w:lineRule="auto"/>
        <w:jc w:val="both"/>
        <w:sectPr>
          <w:pgSz w:w="11910" w:h="16840"/>
          <w:pgMar w:header="0" w:footer="1038" w:top="1620" w:bottom="1220" w:left="1700" w:right="1559"/>
        </w:sectPr>
      </w:pPr>
    </w:p>
    <w:p>
      <w:pPr>
        <w:pStyle w:val="Heading3"/>
        <w:numPr>
          <w:ilvl w:val="1"/>
          <w:numId w:val="8"/>
        </w:numPr>
        <w:tabs>
          <w:tab w:pos="1144" w:val="left" w:leader="none"/>
        </w:tabs>
        <w:spacing w:line="240" w:lineRule="auto" w:before="64" w:after="0"/>
        <w:ind w:left="1144" w:right="0" w:hanging="576"/>
        <w:jc w:val="left"/>
      </w:pPr>
      <w:bookmarkStart w:name="_bookmark76" w:id="76"/>
      <w:bookmarkEnd w:id="76"/>
      <w:r>
        <w:rPr>
          <w:b w:val="0"/>
        </w:rPr>
      </w:r>
      <w:bookmarkStart w:name="_bookmark75" w:id="77"/>
      <w:bookmarkEnd w:id="77"/>
      <w:r>
        <w:rPr>
          <w:b w:val="0"/>
        </w:rPr>
      </w:r>
      <w:r>
        <w:rPr/>
        <w:t>Comprobación</w:t>
      </w:r>
      <w:r>
        <w:rPr>
          <w:spacing w:val="-9"/>
        </w:rPr>
        <w:t> </w:t>
      </w:r>
      <w:r>
        <w:rPr/>
        <w:t>de</w:t>
      </w:r>
      <w:r>
        <w:rPr>
          <w:spacing w:val="-5"/>
        </w:rPr>
        <w:t> </w:t>
      </w:r>
      <w:r>
        <w:rPr>
          <w:spacing w:val="-2"/>
        </w:rPr>
        <w:t>hipótesis</w:t>
      </w:r>
    </w:p>
    <w:p>
      <w:pPr>
        <w:pStyle w:val="BodyText"/>
        <w:spacing w:before="240"/>
        <w:rPr>
          <w:b/>
        </w:rPr>
      </w:pPr>
    </w:p>
    <w:p>
      <w:pPr>
        <w:pStyle w:val="BodyText"/>
        <w:spacing w:line="480" w:lineRule="auto"/>
        <w:ind w:left="568" w:right="139"/>
        <w:jc w:val="both"/>
      </w:pPr>
      <w:r>
        <w:rPr>
          <w:color w:val="0D0D0D"/>
        </w:rPr>
        <w:t>La</w:t>
      </w:r>
      <w:r>
        <w:rPr>
          <w:color w:val="0D0D0D"/>
          <w:spacing w:val="-10"/>
        </w:rPr>
        <w:t> </w:t>
      </w:r>
      <w:r>
        <w:rPr>
          <w:color w:val="0D0D0D"/>
        </w:rPr>
        <w:t>prueba</w:t>
      </w:r>
      <w:r>
        <w:rPr>
          <w:color w:val="0D0D0D"/>
          <w:spacing w:val="-10"/>
        </w:rPr>
        <w:t> </w:t>
      </w:r>
      <w:r>
        <w:rPr>
          <w:color w:val="0D0D0D"/>
        </w:rPr>
        <w:t>no</w:t>
      </w:r>
      <w:r>
        <w:rPr>
          <w:color w:val="0D0D0D"/>
          <w:spacing w:val="-11"/>
        </w:rPr>
        <w:t> </w:t>
      </w:r>
      <w:r>
        <w:rPr>
          <w:color w:val="0D0D0D"/>
        </w:rPr>
        <w:t>paramétrica</w:t>
      </w:r>
      <w:r>
        <w:rPr>
          <w:color w:val="0D0D0D"/>
          <w:spacing w:val="-10"/>
        </w:rPr>
        <w:t> </w:t>
      </w:r>
      <w:r>
        <w:rPr>
          <w:color w:val="0D0D0D"/>
        </w:rPr>
        <w:t>U</w:t>
      </w:r>
      <w:r>
        <w:rPr>
          <w:color w:val="0D0D0D"/>
          <w:spacing w:val="-13"/>
        </w:rPr>
        <w:t> </w:t>
      </w:r>
      <w:r>
        <w:rPr>
          <w:color w:val="0D0D0D"/>
        </w:rPr>
        <w:t>de</w:t>
      </w:r>
      <w:r>
        <w:rPr>
          <w:color w:val="0D0D0D"/>
          <w:spacing w:val="-10"/>
        </w:rPr>
        <w:t> </w:t>
      </w:r>
      <w:r>
        <w:rPr>
          <w:color w:val="0D0D0D"/>
        </w:rPr>
        <w:t>Mann-Whitney</w:t>
      </w:r>
      <w:r>
        <w:rPr>
          <w:color w:val="0D0D0D"/>
          <w:spacing w:val="-11"/>
        </w:rPr>
        <w:t> </w:t>
      </w:r>
      <w:r>
        <w:rPr>
          <w:color w:val="0D0D0D"/>
        </w:rPr>
        <w:t>demostró</w:t>
      </w:r>
      <w:r>
        <w:rPr>
          <w:color w:val="0D0D0D"/>
          <w:spacing w:val="-11"/>
        </w:rPr>
        <w:t> </w:t>
      </w:r>
      <w:r>
        <w:rPr>
          <w:color w:val="0D0D0D"/>
        </w:rPr>
        <w:t>que</w:t>
      </w:r>
      <w:r>
        <w:rPr>
          <w:color w:val="0D0D0D"/>
          <w:spacing w:val="-10"/>
        </w:rPr>
        <w:t> </w:t>
      </w:r>
      <w:r>
        <w:rPr>
          <w:color w:val="0D0D0D"/>
        </w:rPr>
        <w:t>no</w:t>
      </w:r>
      <w:r>
        <w:rPr>
          <w:color w:val="0D0D0D"/>
          <w:spacing w:val="-11"/>
        </w:rPr>
        <w:t> </w:t>
      </w:r>
      <w:r>
        <w:rPr>
          <w:color w:val="0D0D0D"/>
        </w:rPr>
        <w:t>existen</w:t>
      </w:r>
      <w:r>
        <w:rPr>
          <w:color w:val="0D0D0D"/>
          <w:spacing w:val="-11"/>
        </w:rPr>
        <w:t> </w:t>
      </w:r>
      <w:r>
        <w:rPr>
          <w:color w:val="0D0D0D"/>
        </w:rPr>
        <w:t>diferencias estadísticamente significativas en las constantes fisiológicas evaluadas durante el periodo intraoperatorio al comparar las vías de administración intramuscular e intravenosa de dexmedetomidina. Al analizar las diferencias netas entre el valor basal y el promedio intraoperatorio, todos los valores de significancia resultaron superiores a 0,05, confirmando la homogeneidad entre ambos grupos de estudio: frecuencia</w:t>
      </w:r>
      <w:r>
        <w:rPr>
          <w:color w:val="0D0D0D"/>
          <w:spacing w:val="-15"/>
        </w:rPr>
        <w:t> </w:t>
      </w:r>
      <w:r>
        <w:rPr>
          <w:color w:val="0D0D0D"/>
        </w:rPr>
        <w:t>cardíaca</w:t>
      </w:r>
      <w:r>
        <w:rPr>
          <w:color w:val="0D0D0D"/>
          <w:spacing w:val="-15"/>
        </w:rPr>
        <w:t> </w:t>
      </w:r>
      <w:r>
        <w:rPr>
          <w:color w:val="0D0D0D"/>
        </w:rPr>
        <w:t>(p</w:t>
      </w:r>
      <w:r>
        <w:rPr>
          <w:color w:val="0D0D0D"/>
          <w:spacing w:val="-15"/>
        </w:rPr>
        <w:t> </w:t>
      </w:r>
      <w:r>
        <w:rPr>
          <w:color w:val="0D0D0D"/>
        </w:rPr>
        <w:t>=</w:t>
      </w:r>
      <w:r>
        <w:rPr>
          <w:color w:val="0D0D0D"/>
          <w:spacing w:val="-15"/>
        </w:rPr>
        <w:t> </w:t>
      </w:r>
      <w:r>
        <w:rPr>
          <w:color w:val="0D0D0D"/>
        </w:rPr>
        <w:t>0,237),</w:t>
      </w:r>
      <w:r>
        <w:rPr>
          <w:color w:val="0D0D0D"/>
          <w:spacing w:val="-15"/>
        </w:rPr>
        <w:t> </w:t>
      </w:r>
      <w:r>
        <w:rPr>
          <w:color w:val="0D0D0D"/>
        </w:rPr>
        <w:t>presión</w:t>
      </w:r>
      <w:r>
        <w:rPr>
          <w:color w:val="0D0D0D"/>
          <w:spacing w:val="-15"/>
        </w:rPr>
        <w:t> </w:t>
      </w:r>
      <w:r>
        <w:rPr>
          <w:color w:val="0D0D0D"/>
        </w:rPr>
        <w:t>arterial</w:t>
      </w:r>
      <w:r>
        <w:rPr>
          <w:color w:val="0D0D0D"/>
          <w:spacing w:val="-15"/>
        </w:rPr>
        <w:t> </w:t>
      </w:r>
      <w:r>
        <w:rPr>
          <w:color w:val="0D0D0D"/>
        </w:rPr>
        <w:t>sistólica</w:t>
      </w:r>
      <w:r>
        <w:rPr>
          <w:color w:val="0D0D0D"/>
          <w:spacing w:val="-15"/>
        </w:rPr>
        <w:t> </w:t>
      </w:r>
      <w:r>
        <w:rPr>
          <w:color w:val="0D0D0D"/>
        </w:rPr>
        <w:t>(p</w:t>
      </w:r>
      <w:r>
        <w:rPr>
          <w:color w:val="0D0D0D"/>
          <w:spacing w:val="-15"/>
        </w:rPr>
        <w:t> </w:t>
      </w:r>
      <w:r>
        <w:rPr>
          <w:color w:val="0D0D0D"/>
        </w:rPr>
        <w:t>=</w:t>
      </w:r>
      <w:r>
        <w:rPr>
          <w:color w:val="0D0D0D"/>
          <w:spacing w:val="-15"/>
        </w:rPr>
        <w:t> </w:t>
      </w:r>
      <w:r>
        <w:rPr>
          <w:color w:val="0D0D0D"/>
        </w:rPr>
        <w:t>0,950),</w:t>
      </w:r>
      <w:r>
        <w:rPr>
          <w:color w:val="0D0D0D"/>
          <w:spacing w:val="-15"/>
        </w:rPr>
        <w:t> </w:t>
      </w:r>
      <w:r>
        <w:rPr>
          <w:color w:val="0D0D0D"/>
        </w:rPr>
        <w:t>presión</w:t>
      </w:r>
      <w:r>
        <w:rPr>
          <w:color w:val="0D0D0D"/>
          <w:spacing w:val="-15"/>
        </w:rPr>
        <w:t> </w:t>
      </w:r>
      <w:r>
        <w:rPr>
          <w:color w:val="0D0D0D"/>
        </w:rPr>
        <w:t>arterial diastólica (p = 0,361), presión arterial media (p = 0,547), SpO₂ (p = 0,454), temperatura</w:t>
      </w:r>
      <w:r>
        <w:rPr>
          <w:color w:val="0D0D0D"/>
          <w:spacing w:val="-2"/>
        </w:rPr>
        <w:t> </w:t>
      </w:r>
      <w:r>
        <w:rPr>
          <w:color w:val="0D0D0D"/>
        </w:rPr>
        <w:t>corporal</w:t>
      </w:r>
      <w:r>
        <w:rPr>
          <w:color w:val="0D0D0D"/>
          <w:spacing w:val="-2"/>
        </w:rPr>
        <w:t> </w:t>
      </w:r>
      <w:r>
        <w:rPr>
          <w:color w:val="0D0D0D"/>
        </w:rPr>
        <w:t>(p</w:t>
      </w:r>
      <w:r>
        <w:rPr>
          <w:color w:val="0D0D0D"/>
          <w:spacing w:val="-7"/>
        </w:rPr>
        <w:t> </w:t>
      </w:r>
      <w:r>
        <w:rPr>
          <w:color w:val="0D0D0D"/>
        </w:rPr>
        <w:t>=</w:t>
      </w:r>
      <w:r>
        <w:rPr>
          <w:color w:val="0D0D0D"/>
          <w:spacing w:val="-3"/>
        </w:rPr>
        <w:t> </w:t>
      </w:r>
      <w:r>
        <w:rPr>
          <w:color w:val="0D0D0D"/>
        </w:rPr>
        <w:t>0,233)</w:t>
      </w:r>
      <w:r>
        <w:rPr>
          <w:color w:val="0D0D0D"/>
          <w:spacing w:val="-3"/>
        </w:rPr>
        <w:t> </w:t>
      </w:r>
      <w:r>
        <w:rPr>
          <w:color w:val="0D0D0D"/>
        </w:rPr>
        <w:t>y</w:t>
      </w:r>
      <w:r>
        <w:rPr>
          <w:color w:val="0D0D0D"/>
          <w:spacing w:val="-7"/>
        </w:rPr>
        <w:t> </w:t>
      </w:r>
      <w:r>
        <w:rPr>
          <w:color w:val="0D0D0D"/>
        </w:rPr>
        <w:t>tiempo</w:t>
      </w:r>
      <w:r>
        <w:rPr>
          <w:color w:val="0D0D0D"/>
          <w:spacing w:val="-8"/>
        </w:rPr>
        <w:t> </w:t>
      </w:r>
      <w:r>
        <w:rPr>
          <w:color w:val="0D0D0D"/>
        </w:rPr>
        <w:t>de</w:t>
      </w:r>
      <w:r>
        <w:rPr>
          <w:color w:val="0D0D0D"/>
          <w:spacing w:val="-2"/>
        </w:rPr>
        <w:t> </w:t>
      </w:r>
      <w:r>
        <w:rPr>
          <w:color w:val="0D0D0D"/>
        </w:rPr>
        <w:t>llenado</w:t>
      </w:r>
      <w:r>
        <w:rPr>
          <w:color w:val="0D0D0D"/>
          <w:spacing w:val="-8"/>
        </w:rPr>
        <w:t> </w:t>
      </w:r>
      <w:r>
        <w:rPr>
          <w:color w:val="0D0D0D"/>
        </w:rPr>
        <w:t>capilar</w:t>
      </w:r>
      <w:r>
        <w:rPr>
          <w:color w:val="0D0D0D"/>
          <w:spacing w:val="-3"/>
        </w:rPr>
        <w:t> </w:t>
      </w:r>
      <w:r>
        <w:rPr>
          <w:color w:val="0D0D0D"/>
        </w:rPr>
        <w:t>(p</w:t>
      </w:r>
      <w:r>
        <w:rPr>
          <w:color w:val="0D0D0D"/>
          <w:spacing w:val="-3"/>
        </w:rPr>
        <w:t> </w:t>
      </w:r>
      <w:r>
        <w:rPr>
          <w:color w:val="0D0D0D"/>
        </w:rPr>
        <w:t>=</w:t>
      </w:r>
      <w:r>
        <w:rPr>
          <w:color w:val="0D0D0D"/>
          <w:spacing w:val="-7"/>
        </w:rPr>
        <w:t> </w:t>
      </w:r>
      <w:r>
        <w:rPr>
          <w:color w:val="0D0D0D"/>
        </w:rPr>
        <w:t>1,000).</w:t>
      </w:r>
      <w:r>
        <w:rPr>
          <w:color w:val="0D0D0D"/>
          <w:spacing w:val="-3"/>
        </w:rPr>
        <w:t> </w:t>
      </w:r>
      <w:r>
        <w:rPr>
          <w:color w:val="0D0D0D"/>
        </w:rPr>
        <w:t>Con</w:t>
      </w:r>
      <w:r>
        <w:rPr>
          <w:color w:val="0D0D0D"/>
          <w:spacing w:val="-3"/>
        </w:rPr>
        <w:t> </w:t>
      </w:r>
      <w:r>
        <w:rPr>
          <w:color w:val="0D0D0D"/>
        </w:rPr>
        <w:t>base en estos hallazgos, se acepta la hipótesis</w:t>
      </w:r>
      <w:r>
        <w:rPr>
          <w:color w:val="0D0D0D"/>
          <w:spacing w:val="-1"/>
        </w:rPr>
        <w:t> </w:t>
      </w:r>
      <w:r>
        <w:rPr>
          <w:color w:val="0D0D0D"/>
        </w:rPr>
        <w:t>nula y se rechaza la hipótesis alternativa, concluyendo que las variaciones registradas en las constantes fisiológicas no dependieron</w:t>
      </w:r>
      <w:r>
        <w:rPr>
          <w:color w:val="0D0D0D"/>
          <w:spacing w:val="-10"/>
        </w:rPr>
        <w:t> </w:t>
      </w:r>
      <w:r>
        <w:rPr>
          <w:color w:val="0D0D0D"/>
        </w:rPr>
        <w:t>de</w:t>
      </w:r>
      <w:r>
        <w:rPr>
          <w:color w:val="0D0D0D"/>
          <w:spacing w:val="-9"/>
        </w:rPr>
        <w:t> </w:t>
      </w:r>
      <w:r>
        <w:rPr>
          <w:color w:val="0D0D0D"/>
        </w:rPr>
        <w:t>la</w:t>
      </w:r>
      <w:r>
        <w:rPr>
          <w:color w:val="0D0D0D"/>
          <w:spacing w:val="-9"/>
        </w:rPr>
        <w:t> </w:t>
      </w:r>
      <w:r>
        <w:rPr>
          <w:color w:val="0D0D0D"/>
        </w:rPr>
        <w:t>vía</w:t>
      </w:r>
      <w:r>
        <w:rPr>
          <w:color w:val="0D0D0D"/>
          <w:spacing w:val="-9"/>
        </w:rPr>
        <w:t> </w:t>
      </w:r>
      <w:r>
        <w:rPr>
          <w:color w:val="0D0D0D"/>
        </w:rPr>
        <w:t>de</w:t>
      </w:r>
      <w:r>
        <w:rPr>
          <w:color w:val="0D0D0D"/>
          <w:spacing w:val="-9"/>
        </w:rPr>
        <w:t> </w:t>
      </w:r>
      <w:r>
        <w:rPr>
          <w:color w:val="0D0D0D"/>
        </w:rPr>
        <w:t>administración</w:t>
      </w:r>
      <w:r>
        <w:rPr>
          <w:color w:val="0D0D0D"/>
          <w:spacing w:val="-10"/>
        </w:rPr>
        <w:t> </w:t>
      </w:r>
      <w:r>
        <w:rPr>
          <w:color w:val="0D0D0D"/>
        </w:rPr>
        <w:t>empleada;</w:t>
      </w:r>
      <w:r>
        <w:rPr>
          <w:color w:val="0D0D0D"/>
          <w:spacing w:val="-6"/>
        </w:rPr>
        <w:t> </w:t>
      </w:r>
      <w:r>
        <w:rPr>
          <w:color w:val="0D0D0D"/>
        </w:rPr>
        <w:t>por</w:t>
      </w:r>
      <w:r>
        <w:rPr>
          <w:color w:val="0D0D0D"/>
          <w:spacing w:val="-6"/>
        </w:rPr>
        <w:t> </w:t>
      </w:r>
      <w:r>
        <w:rPr>
          <w:color w:val="0D0D0D"/>
        </w:rPr>
        <w:t>lo</w:t>
      </w:r>
      <w:r>
        <w:rPr>
          <w:color w:val="0D0D0D"/>
          <w:spacing w:val="-11"/>
        </w:rPr>
        <w:t> </w:t>
      </w:r>
      <w:r>
        <w:rPr>
          <w:color w:val="0D0D0D"/>
        </w:rPr>
        <w:t>tanto,</w:t>
      </w:r>
      <w:r>
        <w:rPr>
          <w:color w:val="0D0D0D"/>
          <w:spacing w:val="-7"/>
        </w:rPr>
        <w:t> </w:t>
      </w:r>
      <w:r>
        <w:rPr>
          <w:color w:val="0D0D0D"/>
        </w:rPr>
        <w:t>ambas</w:t>
      </w:r>
      <w:r>
        <w:rPr>
          <w:color w:val="0D0D0D"/>
          <w:spacing w:val="-8"/>
        </w:rPr>
        <w:t> </w:t>
      </w:r>
      <w:r>
        <w:rPr>
          <w:color w:val="0D0D0D"/>
        </w:rPr>
        <w:t>vías</w:t>
      </w:r>
      <w:r>
        <w:rPr>
          <w:color w:val="0D0D0D"/>
          <w:spacing w:val="-8"/>
        </w:rPr>
        <w:t> </w:t>
      </w:r>
      <w:r>
        <w:rPr>
          <w:color w:val="0D0D0D"/>
        </w:rPr>
        <w:t>ofrecen un comportamiento clínico equivalente y resultados similares en términos de estabilidad hemodinámica, oxigenación y perfusión periférica en la muestra </w:t>
      </w:r>
      <w:r>
        <w:rPr>
          <w:color w:val="0D0D0D"/>
          <w:spacing w:val="-2"/>
        </w:rPr>
        <w:t>estudiada.</w:t>
      </w:r>
    </w:p>
    <w:p>
      <w:pPr>
        <w:pStyle w:val="BodyText"/>
        <w:spacing w:after="0" w:line="480" w:lineRule="auto"/>
        <w:jc w:val="both"/>
        <w:sectPr>
          <w:pgSz w:w="11910" w:h="16840"/>
          <w:pgMar w:header="0" w:footer="1038" w:top="1620" w:bottom="1220" w:left="1700" w:right="1559"/>
        </w:sectPr>
      </w:pPr>
    </w:p>
    <w:p>
      <w:pPr>
        <w:pStyle w:val="Heading2"/>
        <w:jc w:val="both"/>
      </w:pPr>
      <w:r>
        <w:rPr/>
        <w:t>CAPÍTULO</w:t>
      </w:r>
      <w:r>
        <w:rPr>
          <w:spacing w:val="-12"/>
        </w:rPr>
        <w:t> </w:t>
      </w:r>
      <w:r>
        <w:rPr>
          <w:spacing w:val="-10"/>
        </w:rPr>
        <w:t>V</w:t>
      </w:r>
    </w:p>
    <w:p>
      <w:pPr>
        <w:pStyle w:val="BodyText"/>
        <w:spacing w:before="160"/>
        <w:rPr>
          <w:b/>
        </w:rPr>
      </w:pPr>
    </w:p>
    <w:p>
      <w:pPr>
        <w:pStyle w:val="Heading2"/>
        <w:numPr>
          <w:ilvl w:val="1"/>
          <w:numId w:val="11"/>
        </w:numPr>
        <w:tabs>
          <w:tab w:pos="1204" w:val="left" w:leader="none"/>
        </w:tabs>
        <w:spacing w:line="240" w:lineRule="auto" w:before="0" w:after="0"/>
        <w:ind w:left="1204" w:right="0" w:hanging="636"/>
        <w:jc w:val="left"/>
      </w:pPr>
      <w:bookmarkStart w:name="_bookmark77" w:id="78"/>
      <w:bookmarkEnd w:id="78"/>
      <w:r>
        <w:rPr>
          <w:spacing w:val="-2"/>
        </w:rPr>
        <w:t>C</w:t>
      </w:r>
      <w:r>
        <w:rPr>
          <w:spacing w:val="-2"/>
        </w:rPr>
        <w:t>ONCLUSIONES</w:t>
      </w:r>
    </w:p>
    <w:p>
      <w:pPr>
        <w:pStyle w:val="BodyText"/>
        <w:spacing w:before="80"/>
        <w:rPr>
          <w:b/>
        </w:rPr>
      </w:pPr>
    </w:p>
    <w:p>
      <w:pPr>
        <w:pStyle w:val="BodyText"/>
        <w:spacing w:line="480" w:lineRule="auto"/>
        <w:ind w:left="568" w:right="137"/>
        <w:jc w:val="both"/>
      </w:pPr>
      <w:r>
        <w:rPr>
          <w:color w:val="0D0D0D"/>
        </w:rPr>
        <w:t>Al finalizar el estudio, se concluye que la anestesia multimodal con dexmedetomidina produjo cambios hemodinámicos leves y clínicamente aceptables.</w:t>
      </w:r>
      <w:r>
        <w:rPr>
          <w:color w:val="0D0D0D"/>
          <w:spacing w:val="-3"/>
        </w:rPr>
        <w:t> </w:t>
      </w:r>
      <w:r>
        <w:rPr>
          <w:color w:val="0D0D0D"/>
        </w:rPr>
        <w:t>La</w:t>
      </w:r>
      <w:r>
        <w:rPr>
          <w:color w:val="0D0D0D"/>
          <w:spacing w:val="-2"/>
        </w:rPr>
        <w:t> </w:t>
      </w:r>
      <w:r>
        <w:rPr>
          <w:color w:val="0D0D0D"/>
        </w:rPr>
        <w:t>frecuencia</w:t>
      </w:r>
      <w:r>
        <w:rPr>
          <w:color w:val="0D0D0D"/>
          <w:spacing w:val="-6"/>
        </w:rPr>
        <w:t> </w:t>
      </w:r>
      <w:r>
        <w:rPr>
          <w:color w:val="0D0D0D"/>
        </w:rPr>
        <w:t>cardíaca</w:t>
      </w:r>
      <w:r>
        <w:rPr>
          <w:color w:val="0D0D0D"/>
          <w:spacing w:val="-2"/>
        </w:rPr>
        <w:t> </w:t>
      </w:r>
      <w:r>
        <w:rPr>
          <w:color w:val="0D0D0D"/>
        </w:rPr>
        <w:t>presentó</w:t>
      </w:r>
      <w:r>
        <w:rPr>
          <w:color w:val="0D0D0D"/>
          <w:spacing w:val="-3"/>
        </w:rPr>
        <w:t> </w:t>
      </w:r>
      <w:r>
        <w:rPr>
          <w:color w:val="0D0D0D"/>
        </w:rPr>
        <w:t>la</w:t>
      </w:r>
      <w:r>
        <w:rPr>
          <w:color w:val="0D0D0D"/>
          <w:spacing w:val="-2"/>
        </w:rPr>
        <w:t> </w:t>
      </w:r>
      <w:r>
        <w:rPr>
          <w:color w:val="0D0D0D"/>
        </w:rPr>
        <w:t>mayor</w:t>
      </w:r>
      <w:r>
        <w:rPr>
          <w:color w:val="0D0D0D"/>
          <w:spacing w:val="-3"/>
        </w:rPr>
        <w:t> </w:t>
      </w:r>
      <w:r>
        <w:rPr>
          <w:color w:val="0D0D0D"/>
        </w:rPr>
        <w:t>disminución</w:t>
      </w:r>
      <w:r>
        <w:rPr>
          <w:color w:val="0D0D0D"/>
          <w:spacing w:val="-3"/>
        </w:rPr>
        <w:t> </w:t>
      </w:r>
      <w:r>
        <w:rPr>
          <w:color w:val="0D0D0D"/>
        </w:rPr>
        <w:t>(-15,1</w:t>
      </w:r>
      <w:r>
        <w:rPr>
          <w:color w:val="0D0D0D"/>
          <w:spacing w:val="-3"/>
        </w:rPr>
        <w:t> </w:t>
      </w:r>
      <w:r>
        <w:rPr>
          <w:color w:val="0D0D0D"/>
        </w:rPr>
        <w:t>±</w:t>
      </w:r>
      <w:r>
        <w:rPr>
          <w:color w:val="0D0D0D"/>
          <w:spacing w:val="-7"/>
        </w:rPr>
        <w:t> </w:t>
      </w:r>
      <w:r>
        <w:rPr>
          <w:color w:val="0D0D0D"/>
        </w:rPr>
        <w:t>8,7</w:t>
      </w:r>
      <w:r>
        <w:rPr>
          <w:color w:val="0D0D0D"/>
          <w:spacing w:val="-3"/>
        </w:rPr>
        <w:t> </w:t>
      </w:r>
      <w:r>
        <w:rPr>
          <w:color w:val="0D0D0D"/>
        </w:rPr>
        <w:t>lpm en el grupo IM y -18,3 ± 8,0 lpm en el grupo IV), mientras que la presión arterial mostró incrementos discretos. La SpO₂, la temperatura corporal y el tiempo de llenado</w:t>
      </w:r>
      <w:r>
        <w:rPr>
          <w:color w:val="0D0D0D"/>
          <w:spacing w:val="-15"/>
        </w:rPr>
        <w:t> </w:t>
      </w:r>
      <w:r>
        <w:rPr>
          <w:color w:val="0D0D0D"/>
        </w:rPr>
        <w:t>capilar</w:t>
      </w:r>
      <w:r>
        <w:rPr>
          <w:color w:val="0D0D0D"/>
          <w:spacing w:val="-12"/>
        </w:rPr>
        <w:t> </w:t>
      </w:r>
      <w:r>
        <w:rPr>
          <w:color w:val="0D0D0D"/>
        </w:rPr>
        <w:t>permanecieron</w:t>
      </w:r>
      <w:r>
        <w:rPr>
          <w:color w:val="0D0D0D"/>
          <w:spacing w:val="-12"/>
        </w:rPr>
        <w:t> </w:t>
      </w:r>
      <w:r>
        <w:rPr>
          <w:color w:val="0D0D0D"/>
        </w:rPr>
        <w:t>dentro</w:t>
      </w:r>
      <w:r>
        <w:rPr>
          <w:color w:val="0D0D0D"/>
          <w:spacing w:val="-12"/>
        </w:rPr>
        <w:t> </w:t>
      </w:r>
      <w:r>
        <w:rPr>
          <w:color w:val="0D0D0D"/>
        </w:rPr>
        <w:t>de</w:t>
      </w:r>
      <w:r>
        <w:rPr>
          <w:color w:val="0D0D0D"/>
          <w:spacing w:val="-11"/>
        </w:rPr>
        <w:t> </w:t>
      </w:r>
      <w:r>
        <w:rPr>
          <w:color w:val="0D0D0D"/>
        </w:rPr>
        <w:t>rangos</w:t>
      </w:r>
      <w:r>
        <w:rPr>
          <w:color w:val="0D0D0D"/>
          <w:spacing w:val="-14"/>
        </w:rPr>
        <w:t> </w:t>
      </w:r>
      <w:r>
        <w:rPr>
          <w:color w:val="0D0D0D"/>
        </w:rPr>
        <w:t>normales,</w:t>
      </w:r>
      <w:r>
        <w:rPr>
          <w:color w:val="0D0D0D"/>
          <w:spacing w:val="-12"/>
        </w:rPr>
        <w:t> </w:t>
      </w:r>
      <w:r>
        <w:rPr>
          <w:color w:val="0D0D0D"/>
        </w:rPr>
        <w:t>evidenciando</w:t>
      </w:r>
      <w:r>
        <w:rPr>
          <w:color w:val="0D0D0D"/>
          <w:spacing w:val="-12"/>
        </w:rPr>
        <w:t> </w:t>
      </w:r>
      <w:r>
        <w:rPr>
          <w:color w:val="0D0D0D"/>
        </w:rPr>
        <w:t>estabilidad fisiológica durante el procedimiento.</w:t>
      </w:r>
    </w:p>
    <w:p>
      <w:pPr>
        <w:pStyle w:val="BodyText"/>
        <w:spacing w:line="480" w:lineRule="auto" w:before="1"/>
        <w:ind w:left="568" w:right="146"/>
        <w:jc w:val="both"/>
      </w:pPr>
      <w:r>
        <w:rPr>
          <w:color w:val="0D0D0D"/>
        </w:rPr>
        <w:t>Los efectos adversos fueron poco frecuentes, observándose emesis en 2 pacientes del grupo IM, recuperación anestésica precipitada en 2 pacientes y bradicardia marcada en 1 paciente del grupo IV.</w:t>
      </w:r>
    </w:p>
    <w:p>
      <w:pPr>
        <w:pStyle w:val="BodyText"/>
        <w:spacing w:line="480" w:lineRule="auto" w:before="1"/>
        <w:ind w:left="568" w:right="144"/>
        <w:jc w:val="both"/>
      </w:pPr>
      <w:r>
        <w:rPr>
          <w:color w:val="0D0D0D"/>
        </w:rPr>
        <w:t>No se encontraron diferencias significativas entre las vías intramuscular e intravenosa,</w:t>
      </w:r>
      <w:r>
        <w:rPr>
          <w:color w:val="0D0D0D"/>
          <w:spacing w:val="-15"/>
        </w:rPr>
        <w:t> </w:t>
      </w:r>
      <w:r>
        <w:rPr>
          <w:color w:val="0D0D0D"/>
        </w:rPr>
        <w:t>por</w:t>
      </w:r>
      <w:r>
        <w:rPr>
          <w:color w:val="0D0D0D"/>
          <w:spacing w:val="-11"/>
        </w:rPr>
        <w:t> </w:t>
      </w:r>
      <w:r>
        <w:rPr>
          <w:color w:val="0D0D0D"/>
        </w:rPr>
        <w:t>lo</w:t>
      </w:r>
      <w:r>
        <w:rPr>
          <w:color w:val="0D0D0D"/>
          <w:spacing w:val="-15"/>
        </w:rPr>
        <w:t> </w:t>
      </w:r>
      <w:r>
        <w:rPr>
          <w:color w:val="0D0D0D"/>
        </w:rPr>
        <w:t>que</w:t>
      </w:r>
      <w:r>
        <w:rPr>
          <w:color w:val="0D0D0D"/>
          <w:spacing w:val="-14"/>
        </w:rPr>
        <w:t> </w:t>
      </w:r>
      <w:r>
        <w:rPr>
          <w:color w:val="0D0D0D"/>
        </w:rPr>
        <w:t>ambas</w:t>
      </w:r>
      <w:r>
        <w:rPr>
          <w:color w:val="0D0D0D"/>
          <w:spacing w:val="-13"/>
        </w:rPr>
        <w:t> </w:t>
      </w:r>
      <w:r>
        <w:rPr>
          <w:color w:val="0D0D0D"/>
        </w:rPr>
        <w:t>pueden</w:t>
      </w:r>
      <w:r>
        <w:rPr>
          <w:color w:val="0D0D0D"/>
          <w:spacing w:val="-15"/>
        </w:rPr>
        <w:t> </w:t>
      </w:r>
      <w:r>
        <w:rPr>
          <w:color w:val="0D0D0D"/>
        </w:rPr>
        <w:t>considerarse</w:t>
      </w:r>
      <w:r>
        <w:rPr>
          <w:color w:val="0D0D0D"/>
          <w:spacing w:val="-10"/>
        </w:rPr>
        <w:t> </w:t>
      </w:r>
      <w:r>
        <w:rPr>
          <w:color w:val="0D0D0D"/>
        </w:rPr>
        <w:t>seguras</w:t>
      </w:r>
      <w:r>
        <w:rPr>
          <w:color w:val="0D0D0D"/>
          <w:spacing w:val="-13"/>
        </w:rPr>
        <w:t> </w:t>
      </w:r>
      <w:r>
        <w:rPr>
          <w:color w:val="0D0D0D"/>
        </w:rPr>
        <w:t>y</w:t>
      </w:r>
      <w:r>
        <w:rPr>
          <w:color w:val="0D0D0D"/>
          <w:spacing w:val="-11"/>
        </w:rPr>
        <w:t> </w:t>
      </w:r>
      <w:r>
        <w:rPr>
          <w:color w:val="0D0D0D"/>
        </w:rPr>
        <w:t>eficaces</w:t>
      </w:r>
      <w:r>
        <w:rPr>
          <w:color w:val="0D0D0D"/>
          <w:spacing w:val="-13"/>
        </w:rPr>
        <w:t> </w:t>
      </w:r>
      <w:r>
        <w:rPr>
          <w:color w:val="0D0D0D"/>
        </w:rPr>
        <w:t>en</w:t>
      </w:r>
      <w:r>
        <w:rPr>
          <w:color w:val="0D0D0D"/>
          <w:spacing w:val="-15"/>
        </w:rPr>
        <w:t> </w:t>
      </w:r>
      <w:r>
        <w:rPr>
          <w:color w:val="0D0D0D"/>
        </w:rPr>
        <w:t>protocolos anestésicos multimodales para caninos clínicamente estables.</w:t>
      </w:r>
    </w:p>
    <w:p>
      <w:pPr>
        <w:pStyle w:val="BodyText"/>
        <w:spacing w:after="0" w:line="480" w:lineRule="auto"/>
        <w:jc w:val="both"/>
        <w:sectPr>
          <w:pgSz w:w="11910" w:h="16840"/>
          <w:pgMar w:header="0" w:footer="1038" w:top="1620" w:bottom="1220" w:left="1700" w:right="1559"/>
        </w:sectPr>
      </w:pPr>
    </w:p>
    <w:p>
      <w:pPr>
        <w:pStyle w:val="Heading2"/>
        <w:numPr>
          <w:ilvl w:val="1"/>
          <w:numId w:val="11"/>
        </w:numPr>
        <w:tabs>
          <w:tab w:pos="1144" w:val="left" w:leader="none"/>
        </w:tabs>
        <w:spacing w:line="240" w:lineRule="auto" w:before="64" w:after="0"/>
        <w:ind w:left="1144" w:right="0" w:hanging="576"/>
        <w:jc w:val="left"/>
      </w:pPr>
      <w:bookmarkStart w:name="_bookmark78" w:id="79"/>
      <w:bookmarkEnd w:id="79"/>
      <w:r>
        <w:rPr>
          <w:b w:val="0"/>
        </w:rPr>
      </w:r>
      <w:r>
        <w:rPr>
          <w:spacing w:val="-2"/>
        </w:rPr>
        <w:t>RECOMENDACIONES</w:t>
      </w:r>
    </w:p>
    <w:p>
      <w:pPr>
        <w:pStyle w:val="BodyText"/>
        <w:spacing w:before="240"/>
        <w:rPr>
          <w:b/>
        </w:rPr>
      </w:pPr>
    </w:p>
    <w:p>
      <w:pPr>
        <w:pStyle w:val="BodyText"/>
        <w:spacing w:line="480" w:lineRule="auto"/>
        <w:ind w:left="568" w:right="148"/>
        <w:jc w:val="both"/>
      </w:pPr>
      <w:r>
        <w:rPr>
          <w:color w:val="0D0D0D"/>
        </w:rPr>
        <w:t>Seleccionar la vía de administración de dexmedetomidina de acuerdo con las condiciones</w:t>
      </w:r>
      <w:r>
        <w:rPr>
          <w:color w:val="0D0D0D"/>
          <w:spacing w:val="-5"/>
        </w:rPr>
        <w:t> </w:t>
      </w:r>
      <w:r>
        <w:rPr>
          <w:color w:val="0D0D0D"/>
        </w:rPr>
        <w:t>clínicas</w:t>
      </w:r>
      <w:r>
        <w:rPr>
          <w:color w:val="0D0D0D"/>
          <w:spacing w:val="-5"/>
        </w:rPr>
        <w:t> </w:t>
      </w:r>
      <w:r>
        <w:rPr>
          <w:color w:val="0D0D0D"/>
        </w:rPr>
        <w:t>del</w:t>
      </w:r>
      <w:r>
        <w:rPr>
          <w:color w:val="0D0D0D"/>
          <w:spacing w:val="-2"/>
        </w:rPr>
        <w:t> </w:t>
      </w:r>
      <w:r>
        <w:rPr>
          <w:color w:val="0D0D0D"/>
        </w:rPr>
        <w:t>paciente,</w:t>
      </w:r>
      <w:r>
        <w:rPr>
          <w:color w:val="0D0D0D"/>
          <w:spacing w:val="-3"/>
        </w:rPr>
        <w:t> </w:t>
      </w:r>
      <w:r>
        <w:rPr>
          <w:color w:val="0D0D0D"/>
        </w:rPr>
        <w:t>la</w:t>
      </w:r>
      <w:r>
        <w:rPr>
          <w:color w:val="0D0D0D"/>
          <w:spacing w:val="-2"/>
        </w:rPr>
        <w:t> </w:t>
      </w:r>
      <w:r>
        <w:rPr>
          <w:color w:val="0D0D0D"/>
        </w:rPr>
        <w:t>facilidad</w:t>
      </w:r>
      <w:r>
        <w:rPr>
          <w:color w:val="0D0D0D"/>
          <w:spacing w:val="-3"/>
        </w:rPr>
        <w:t> </w:t>
      </w:r>
      <w:r>
        <w:rPr>
          <w:color w:val="0D0D0D"/>
        </w:rPr>
        <w:t>de</w:t>
      </w:r>
      <w:r>
        <w:rPr>
          <w:color w:val="0D0D0D"/>
          <w:spacing w:val="-2"/>
        </w:rPr>
        <w:t> </w:t>
      </w:r>
      <w:r>
        <w:rPr>
          <w:color w:val="0D0D0D"/>
        </w:rPr>
        <w:t>manejo,</w:t>
      </w:r>
      <w:r>
        <w:rPr>
          <w:color w:val="0D0D0D"/>
          <w:spacing w:val="-3"/>
        </w:rPr>
        <w:t> </w:t>
      </w:r>
      <w:r>
        <w:rPr>
          <w:color w:val="0D0D0D"/>
        </w:rPr>
        <w:t>el</w:t>
      </w:r>
      <w:r>
        <w:rPr>
          <w:color w:val="0D0D0D"/>
          <w:spacing w:val="-2"/>
        </w:rPr>
        <w:t> </w:t>
      </w:r>
      <w:r>
        <w:rPr>
          <w:color w:val="0D0D0D"/>
        </w:rPr>
        <w:t>tipo</w:t>
      </w:r>
      <w:r>
        <w:rPr>
          <w:color w:val="0D0D0D"/>
          <w:spacing w:val="-3"/>
        </w:rPr>
        <w:t> </w:t>
      </w:r>
      <w:r>
        <w:rPr>
          <w:color w:val="0D0D0D"/>
        </w:rPr>
        <w:t>de</w:t>
      </w:r>
      <w:r>
        <w:rPr>
          <w:color w:val="0D0D0D"/>
          <w:spacing w:val="-2"/>
        </w:rPr>
        <w:t> </w:t>
      </w:r>
      <w:r>
        <w:rPr>
          <w:color w:val="0D0D0D"/>
        </w:rPr>
        <w:t>procedimiento, puesto que no se evidenciaron diferencias estadísticamente significativas entre la vía intramuscular con la vía intravenosa en las variables fisiológicas evaluadas.</w:t>
      </w:r>
    </w:p>
    <w:p>
      <w:pPr>
        <w:pStyle w:val="BodyText"/>
        <w:spacing w:line="480" w:lineRule="auto" w:before="241"/>
        <w:ind w:left="568" w:right="137"/>
        <w:jc w:val="both"/>
      </w:pPr>
      <w:r>
        <w:rPr>
          <w:color w:val="0D0D0D"/>
        </w:rPr>
        <w:t>Mantener una monitorización continua de los parámetros fisiológicos durante la anestesia</w:t>
      </w:r>
      <w:r>
        <w:rPr>
          <w:color w:val="0D0D0D"/>
          <w:spacing w:val="-15"/>
        </w:rPr>
        <w:t> </w:t>
      </w:r>
      <w:r>
        <w:rPr>
          <w:color w:val="0D0D0D"/>
        </w:rPr>
        <w:t>general,</w:t>
      </w:r>
      <w:r>
        <w:rPr>
          <w:color w:val="0D0D0D"/>
          <w:spacing w:val="-15"/>
        </w:rPr>
        <w:t> </w:t>
      </w:r>
      <w:r>
        <w:rPr>
          <w:color w:val="0D0D0D"/>
        </w:rPr>
        <w:t>considerando</w:t>
      </w:r>
      <w:r>
        <w:rPr>
          <w:color w:val="0D0D0D"/>
          <w:spacing w:val="-14"/>
        </w:rPr>
        <w:t> </w:t>
      </w:r>
      <w:r>
        <w:rPr>
          <w:color w:val="0D0D0D"/>
        </w:rPr>
        <w:t>frecuencia</w:t>
      </w:r>
      <w:r>
        <w:rPr>
          <w:color w:val="0D0D0D"/>
          <w:spacing w:val="-15"/>
        </w:rPr>
        <w:t> </w:t>
      </w:r>
      <w:r>
        <w:rPr>
          <w:color w:val="0D0D0D"/>
        </w:rPr>
        <w:t>cardíaca,</w:t>
      </w:r>
      <w:r>
        <w:rPr>
          <w:color w:val="0D0D0D"/>
          <w:spacing w:val="-12"/>
        </w:rPr>
        <w:t> </w:t>
      </w:r>
      <w:r>
        <w:rPr>
          <w:color w:val="0D0D0D"/>
        </w:rPr>
        <w:t>presión</w:t>
      </w:r>
      <w:r>
        <w:rPr>
          <w:color w:val="0D0D0D"/>
          <w:spacing w:val="-15"/>
        </w:rPr>
        <w:t> </w:t>
      </w:r>
      <w:r>
        <w:rPr>
          <w:color w:val="0D0D0D"/>
        </w:rPr>
        <w:t>arterial,</w:t>
      </w:r>
      <w:r>
        <w:rPr>
          <w:color w:val="0D0D0D"/>
          <w:spacing w:val="-12"/>
        </w:rPr>
        <w:t> </w:t>
      </w:r>
      <w:r>
        <w:rPr>
          <w:color w:val="0D0D0D"/>
        </w:rPr>
        <w:t>SpO₂,</w:t>
      </w:r>
      <w:r>
        <w:rPr>
          <w:color w:val="0D0D0D"/>
          <w:spacing w:val="-12"/>
        </w:rPr>
        <w:t> </w:t>
      </w:r>
      <w:r>
        <w:rPr>
          <w:color w:val="0D0D0D"/>
        </w:rPr>
        <w:t>detectar oportunamente cambios hemodinámicos durante el procedimiento.</w:t>
      </w:r>
    </w:p>
    <w:p>
      <w:pPr>
        <w:pStyle w:val="BodyText"/>
        <w:spacing w:line="480" w:lineRule="auto" w:before="241"/>
        <w:ind w:left="568" w:right="148"/>
        <w:jc w:val="both"/>
      </w:pPr>
      <w:r>
        <w:rPr>
          <w:color w:val="0D0D0D"/>
        </w:rPr>
        <w:t>Vigilar con mayor atención la frecuencia cardíaca en pacientes que reciban dexmedetomidina por vía intravenosa, debido al riesgo de bradicardia marcada.</w:t>
      </w:r>
    </w:p>
    <w:p>
      <w:pPr>
        <w:pStyle w:val="BodyText"/>
        <w:spacing w:line="480" w:lineRule="auto" w:before="240"/>
        <w:ind w:left="568" w:right="136"/>
        <w:jc w:val="both"/>
      </w:pPr>
      <w:r>
        <w:rPr>
          <w:color w:val="0D0D0D"/>
        </w:rPr>
        <w:t>Ampliar el tamaño de la muestra en futuras investigaciones e incluir una distribución más equilibrada según edad, peso, sexo, condición corporal, clasificación ASA, así como el tipo de procedimiento quirúrgico, con el fin de fortalecer la comparación entre vías de administración e incluso para obtener resultados con mayor alcance clínico.</w:t>
      </w:r>
    </w:p>
    <w:p>
      <w:pPr>
        <w:pStyle w:val="BodyText"/>
        <w:spacing w:after="0" w:line="480" w:lineRule="auto"/>
        <w:jc w:val="both"/>
        <w:sectPr>
          <w:pgSz w:w="11910" w:h="16840"/>
          <w:pgMar w:header="0" w:footer="1038" w:top="1620" w:bottom="1220" w:left="1700" w:right="1559"/>
        </w:sectPr>
      </w:pPr>
    </w:p>
    <w:p>
      <w:pPr>
        <w:pStyle w:val="Heading2"/>
      </w:pPr>
      <w:bookmarkStart w:name="_bookmark79" w:id="80"/>
      <w:bookmarkEnd w:id="80"/>
      <w:r>
        <w:rPr>
          <w:b w:val="0"/>
        </w:rPr>
      </w:r>
      <w:r>
        <w:rPr>
          <w:spacing w:val="-2"/>
        </w:rPr>
        <w:t>BIBLIOGRAFÍA</w:t>
      </w:r>
    </w:p>
    <w:p>
      <w:pPr>
        <w:pStyle w:val="BodyText"/>
        <w:spacing w:before="103"/>
        <w:rPr>
          <w:b/>
        </w:rPr>
      </w:pPr>
    </w:p>
    <w:p>
      <w:pPr>
        <w:spacing w:line="360" w:lineRule="auto" w:before="0"/>
        <w:ind w:left="1288" w:right="142" w:hanging="721"/>
        <w:jc w:val="both"/>
        <w:rPr>
          <w:sz w:val="22"/>
        </w:rPr>
      </w:pPr>
      <w:r>
        <w:rPr>
          <w:sz w:val="22"/>
        </w:rPr>
        <w:t>Aarnes, T. K., Dent , B. T., Lakritz, J., KuKanich, B., Wavreille , V.</w:t>
      </w:r>
      <w:r>
        <w:rPr>
          <w:spacing w:val="-1"/>
          <w:sz w:val="22"/>
        </w:rPr>
        <w:t> </w:t>
      </w:r>
      <w:r>
        <w:rPr>
          <w:sz w:val="22"/>
        </w:rPr>
        <w:t>A., Lerche, P., . . . Bednarski, R. M. (2023). </w:t>
      </w:r>
      <w:r>
        <w:rPr>
          <w:i/>
          <w:sz w:val="22"/>
        </w:rPr>
        <w:t>Pharmacokinetics and pharmacodynamics of intramuscular dexmedetomidine in dogs </w:t>
      </w:r>
      <w:r>
        <w:rPr>
          <w:sz w:val="22"/>
        </w:rPr>
        <w:t>(Vol. 84). Am J Vet Res. </w:t>
      </w:r>
      <w:r>
        <w:rPr>
          <w:spacing w:val="-2"/>
          <w:sz w:val="22"/>
        </w:rPr>
        <w:t>doi:10.2460/ajvr.22.10.0184</w:t>
      </w:r>
    </w:p>
    <w:p>
      <w:pPr>
        <w:spacing w:line="360" w:lineRule="auto" w:before="238"/>
        <w:ind w:left="1288" w:right="134" w:hanging="721"/>
        <w:jc w:val="both"/>
        <w:rPr>
          <w:sz w:val="22"/>
        </w:rPr>
      </w:pPr>
      <w:r>
        <w:rPr>
          <w:sz w:val="22"/>
        </w:rPr>
        <w:t>Aguilera-Fuentes,</w:t>
      </w:r>
      <w:r>
        <w:rPr>
          <w:spacing w:val="-14"/>
          <w:sz w:val="22"/>
        </w:rPr>
        <w:t> </w:t>
      </w:r>
      <w:r>
        <w:rPr>
          <w:sz w:val="22"/>
        </w:rPr>
        <w:t>S.,</w:t>
      </w:r>
      <w:r>
        <w:rPr>
          <w:spacing w:val="-9"/>
          <w:sz w:val="22"/>
        </w:rPr>
        <w:t> </w:t>
      </w:r>
      <w:r>
        <w:rPr>
          <w:sz w:val="22"/>
        </w:rPr>
        <w:t>Magaña-Acosta,</w:t>
      </w:r>
      <w:r>
        <w:rPr>
          <w:spacing w:val="-7"/>
          <w:sz w:val="22"/>
        </w:rPr>
        <w:t> </w:t>
      </w:r>
      <w:r>
        <w:rPr>
          <w:sz w:val="22"/>
        </w:rPr>
        <w:t>N.</w:t>
      </w:r>
      <w:r>
        <w:rPr>
          <w:spacing w:val="-11"/>
          <w:sz w:val="22"/>
        </w:rPr>
        <w:t> </w:t>
      </w:r>
      <w:r>
        <w:rPr>
          <w:sz w:val="22"/>
        </w:rPr>
        <w:t>M.,</w:t>
      </w:r>
      <w:r>
        <w:rPr>
          <w:spacing w:val="-11"/>
          <w:sz w:val="22"/>
        </w:rPr>
        <w:t> </w:t>
      </w:r>
      <w:r>
        <w:rPr>
          <w:sz w:val="22"/>
        </w:rPr>
        <w:t>Salazar-Conde,</w:t>
      </w:r>
      <w:r>
        <w:rPr>
          <w:spacing w:val="-7"/>
          <w:sz w:val="22"/>
        </w:rPr>
        <w:t> </w:t>
      </w:r>
      <w:r>
        <w:rPr>
          <w:sz w:val="22"/>
        </w:rPr>
        <w:t>J.</w:t>
      </w:r>
      <w:r>
        <w:rPr>
          <w:spacing w:val="-11"/>
          <w:sz w:val="22"/>
        </w:rPr>
        <w:t> </w:t>
      </w:r>
      <w:r>
        <w:rPr>
          <w:sz w:val="22"/>
        </w:rPr>
        <w:t>C.,</w:t>
      </w:r>
      <w:r>
        <w:rPr>
          <w:spacing w:val="-11"/>
          <w:sz w:val="22"/>
        </w:rPr>
        <w:t> </w:t>
      </w:r>
      <w:r>
        <w:rPr>
          <w:sz w:val="22"/>
        </w:rPr>
        <w:t>&amp;</w:t>
      </w:r>
      <w:r>
        <w:rPr>
          <w:spacing w:val="-14"/>
          <w:sz w:val="22"/>
        </w:rPr>
        <w:t> </w:t>
      </w:r>
      <w:r>
        <w:rPr>
          <w:sz w:val="22"/>
        </w:rPr>
        <w:t>Arcos-Streber,</w:t>
      </w:r>
      <w:r>
        <w:rPr>
          <w:spacing w:val="-7"/>
          <w:sz w:val="22"/>
        </w:rPr>
        <w:t> </w:t>
      </w:r>
      <w:r>
        <w:rPr>
          <w:sz w:val="22"/>
        </w:rPr>
        <w:t>G.</w:t>
      </w:r>
      <w:r>
        <w:rPr>
          <w:spacing w:val="-14"/>
          <w:sz w:val="22"/>
        </w:rPr>
        <w:t> </w:t>
      </w:r>
      <w:r>
        <w:rPr>
          <w:sz w:val="22"/>
        </w:rPr>
        <w:t>A. (2021). </w:t>
      </w:r>
      <w:r>
        <w:rPr>
          <w:i/>
          <w:sz w:val="22"/>
        </w:rPr>
        <w:t>Eficacia de la Ketamina comparda con dexmede tomidina en el transoperatorio para prevenr el delirium posopertaorio en pacientes geriatricos intervenidos de cirugía abdominal mayor y ortopédica bajo anestesia general balanceada. </w:t>
      </w:r>
      <w:r>
        <w:rPr>
          <w:sz w:val="22"/>
        </w:rPr>
        <w:t>[Trabajo de</w:t>
      </w:r>
      <w:r>
        <w:rPr>
          <w:spacing w:val="-1"/>
          <w:sz w:val="22"/>
        </w:rPr>
        <w:t> </w:t>
      </w:r>
      <w:r>
        <w:rPr>
          <w:sz w:val="22"/>
        </w:rPr>
        <w:t>Posgrado Universdad</w:t>
      </w:r>
      <w:r>
        <w:rPr>
          <w:spacing w:val="-9"/>
          <w:sz w:val="22"/>
        </w:rPr>
        <w:t> </w:t>
      </w:r>
      <w:r>
        <w:rPr>
          <w:sz w:val="22"/>
        </w:rPr>
        <w:t>Autónoma del</w:t>
      </w:r>
      <w:r>
        <w:rPr>
          <w:spacing w:val="-1"/>
          <w:sz w:val="22"/>
        </w:rPr>
        <w:t> </w:t>
      </w:r>
      <w:r>
        <w:rPr>
          <w:sz w:val="22"/>
        </w:rPr>
        <w:t>Estado de México], Toluca. Récupéré sur </w:t>
      </w:r>
      <w:hyperlink r:id="rId25">
        <w:r>
          <w:rPr>
            <w:sz w:val="22"/>
          </w:rPr>
          <w:t>https://files01.core.ac.uk/download/pdf/489462654.pdf</w:t>
        </w:r>
      </w:hyperlink>
    </w:p>
    <w:p>
      <w:pPr>
        <w:spacing w:line="360" w:lineRule="auto" w:before="240"/>
        <w:ind w:left="1288" w:right="138" w:hanging="721"/>
        <w:jc w:val="both"/>
        <w:rPr>
          <w:sz w:val="22"/>
        </w:rPr>
      </w:pPr>
      <w:r>
        <w:rPr>
          <w:sz w:val="22"/>
        </w:rPr>
        <w:t>Akashi</w:t>
      </w:r>
      <w:r>
        <w:rPr>
          <w:spacing w:val="-14"/>
          <w:sz w:val="22"/>
        </w:rPr>
        <w:t> </w:t>
      </w:r>
      <w:r>
        <w:rPr>
          <w:sz w:val="22"/>
        </w:rPr>
        <w:t>,</w:t>
      </w:r>
      <w:r>
        <w:rPr>
          <w:spacing w:val="-14"/>
          <w:sz w:val="22"/>
        </w:rPr>
        <w:t> </w:t>
      </w:r>
      <w:r>
        <w:rPr>
          <w:sz w:val="22"/>
        </w:rPr>
        <w:t>N.,</w:t>
      </w:r>
      <w:r>
        <w:rPr>
          <w:spacing w:val="-14"/>
          <w:sz w:val="22"/>
        </w:rPr>
        <w:t> </w:t>
      </w:r>
      <w:r>
        <w:rPr>
          <w:sz w:val="22"/>
        </w:rPr>
        <w:t>Murahata</w:t>
      </w:r>
      <w:r>
        <w:rPr>
          <w:spacing w:val="-13"/>
          <w:sz w:val="22"/>
        </w:rPr>
        <w:t> </w:t>
      </w:r>
      <w:r>
        <w:rPr>
          <w:sz w:val="22"/>
        </w:rPr>
        <w:t>,</w:t>
      </w:r>
      <w:r>
        <w:rPr>
          <w:spacing w:val="-14"/>
          <w:sz w:val="22"/>
        </w:rPr>
        <w:t> </w:t>
      </w:r>
      <w:r>
        <w:rPr>
          <w:sz w:val="22"/>
        </w:rPr>
        <w:t>Y.,</w:t>
      </w:r>
      <w:r>
        <w:rPr>
          <w:spacing w:val="-14"/>
          <w:sz w:val="22"/>
        </w:rPr>
        <w:t> </w:t>
      </w:r>
      <w:r>
        <w:rPr>
          <w:sz w:val="22"/>
        </w:rPr>
        <w:t>Hosokawa</w:t>
      </w:r>
      <w:r>
        <w:rPr>
          <w:spacing w:val="-14"/>
          <w:sz w:val="22"/>
        </w:rPr>
        <w:t> </w:t>
      </w:r>
      <w:r>
        <w:rPr>
          <w:sz w:val="22"/>
        </w:rPr>
        <w:t>,</w:t>
      </w:r>
      <w:r>
        <w:rPr>
          <w:spacing w:val="-13"/>
          <w:sz w:val="22"/>
        </w:rPr>
        <w:t> </w:t>
      </w:r>
      <w:r>
        <w:rPr>
          <w:sz w:val="22"/>
        </w:rPr>
        <w:t>M.,</w:t>
      </w:r>
      <w:r>
        <w:rPr>
          <w:spacing w:val="-14"/>
          <w:sz w:val="22"/>
        </w:rPr>
        <w:t> </w:t>
      </w:r>
      <w:r>
        <w:rPr>
          <w:sz w:val="22"/>
        </w:rPr>
        <w:t>Hikasa</w:t>
      </w:r>
      <w:r>
        <w:rPr>
          <w:spacing w:val="-14"/>
          <w:sz w:val="22"/>
        </w:rPr>
        <w:t> </w:t>
      </w:r>
      <w:r>
        <w:rPr>
          <w:sz w:val="22"/>
        </w:rPr>
        <w:t>,</w:t>
      </w:r>
      <w:r>
        <w:rPr>
          <w:spacing w:val="-14"/>
          <w:sz w:val="22"/>
        </w:rPr>
        <w:t> </w:t>
      </w:r>
      <w:r>
        <w:rPr>
          <w:sz w:val="22"/>
        </w:rPr>
        <w:t>Y.,</w:t>
      </w:r>
      <w:r>
        <w:rPr>
          <w:spacing w:val="-13"/>
          <w:sz w:val="22"/>
        </w:rPr>
        <w:t> </w:t>
      </w:r>
      <w:r>
        <w:rPr>
          <w:sz w:val="22"/>
        </w:rPr>
        <w:t>Okamot,</w:t>
      </w:r>
      <w:r>
        <w:rPr>
          <w:spacing w:val="-14"/>
          <w:sz w:val="22"/>
        </w:rPr>
        <w:t> </w:t>
      </w:r>
      <w:r>
        <w:rPr>
          <w:sz w:val="22"/>
        </w:rPr>
        <w:t>Y.,</w:t>
      </w:r>
      <w:r>
        <w:rPr>
          <w:spacing w:val="-14"/>
          <w:sz w:val="22"/>
        </w:rPr>
        <w:t> </w:t>
      </w:r>
      <w:r>
        <w:rPr>
          <w:sz w:val="22"/>
        </w:rPr>
        <w:t>&amp;</w:t>
      </w:r>
      <w:r>
        <w:rPr>
          <w:spacing w:val="-12"/>
          <w:sz w:val="22"/>
        </w:rPr>
        <w:t> </w:t>
      </w:r>
      <w:r>
        <w:rPr>
          <w:sz w:val="22"/>
        </w:rPr>
        <w:t>Imagawa</w:t>
      </w:r>
      <w:r>
        <w:rPr>
          <w:spacing w:val="-13"/>
          <w:sz w:val="22"/>
        </w:rPr>
        <w:t> </w:t>
      </w:r>
      <w:r>
        <w:rPr>
          <w:sz w:val="22"/>
        </w:rPr>
        <w:t>,</w:t>
      </w:r>
      <w:r>
        <w:rPr>
          <w:spacing w:val="-14"/>
          <w:sz w:val="22"/>
        </w:rPr>
        <w:t> </w:t>
      </w:r>
      <w:r>
        <w:rPr>
          <w:sz w:val="22"/>
        </w:rPr>
        <w:t>T.</w:t>
      </w:r>
      <w:r>
        <w:rPr>
          <w:spacing w:val="-13"/>
          <w:sz w:val="22"/>
        </w:rPr>
        <w:t> </w:t>
      </w:r>
      <w:r>
        <w:rPr>
          <w:sz w:val="22"/>
        </w:rPr>
        <w:t>(2020, 12 11). Efectos cardiovasculares y renales de infusiones a velocidad constante de remifentanilo, dexmedetomidina y su combinación en perros anestesiados con sevoflurano.</w:t>
      </w:r>
      <w:r>
        <w:rPr>
          <w:spacing w:val="22"/>
          <w:sz w:val="22"/>
        </w:rPr>
        <w:t> </w:t>
      </w:r>
      <w:r>
        <w:rPr>
          <w:i/>
          <w:sz w:val="22"/>
        </w:rPr>
        <w:t>Veterinary Medical Science, 83</w:t>
      </w:r>
      <w:r>
        <w:rPr>
          <w:sz w:val="22"/>
        </w:rPr>
        <w:t>(2), 285–296. doi:10.1292/jvms.20-</w:t>
      </w:r>
    </w:p>
    <w:p>
      <w:pPr>
        <w:spacing w:before="3"/>
        <w:ind w:left="1288" w:right="0" w:firstLine="0"/>
        <w:jc w:val="left"/>
        <w:rPr>
          <w:sz w:val="22"/>
        </w:rPr>
      </w:pPr>
      <w:r>
        <w:rPr>
          <w:spacing w:val="-4"/>
          <w:sz w:val="22"/>
        </w:rPr>
        <w:t>0457</w:t>
      </w:r>
    </w:p>
    <w:p>
      <w:pPr>
        <w:pStyle w:val="BodyText"/>
        <w:spacing w:before="114"/>
        <w:rPr>
          <w:sz w:val="22"/>
        </w:rPr>
      </w:pPr>
    </w:p>
    <w:p>
      <w:pPr>
        <w:spacing w:line="357" w:lineRule="auto" w:before="0"/>
        <w:ind w:left="1288" w:right="137" w:hanging="721"/>
        <w:jc w:val="both"/>
        <w:rPr>
          <w:sz w:val="22"/>
        </w:rPr>
      </w:pPr>
      <w:r>
        <w:rPr>
          <w:sz w:val="22"/>
        </w:rPr>
        <w:t>Arias De la Vega, G. Y., Paredes-Peña, J. C., Pumisacho-Benavides,</w:t>
      </w:r>
      <w:r>
        <w:rPr>
          <w:spacing w:val="-3"/>
          <w:sz w:val="22"/>
        </w:rPr>
        <w:t> </w:t>
      </w:r>
      <w:r>
        <w:rPr>
          <w:sz w:val="22"/>
        </w:rPr>
        <w:t>A. P., &amp; Villagrán-Ochoa, G. E. (2025, 7 18). Importancia de los efectos adversos postanestésicos. </w:t>
      </w:r>
      <w:r>
        <w:rPr>
          <w:i/>
          <w:sz w:val="22"/>
        </w:rPr>
        <w:t>Artículo</w:t>
      </w:r>
      <w:r>
        <w:rPr>
          <w:i/>
          <w:spacing w:val="77"/>
          <w:w w:val="150"/>
          <w:sz w:val="22"/>
        </w:rPr>
        <w:t>   </w:t>
      </w:r>
      <w:r>
        <w:rPr>
          <w:i/>
          <w:sz w:val="22"/>
        </w:rPr>
        <w:t>de</w:t>
      </w:r>
      <w:r>
        <w:rPr>
          <w:i/>
          <w:spacing w:val="76"/>
          <w:w w:val="150"/>
          <w:sz w:val="22"/>
        </w:rPr>
        <w:t>   </w:t>
      </w:r>
      <w:r>
        <w:rPr>
          <w:i/>
          <w:sz w:val="22"/>
        </w:rPr>
        <w:t>Revisión.</w:t>
      </w:r>
      <w:r>
        <w:rPr>
          <w:i/>
          <w:spacing w:val="76"/>
          <w:w w:val="150"/>
          <w:sz w:val="22"/>
        </w:rPr>
        <w:t>   </w:t>
      </w:r>
      <w:r>
        <w:rPr>
          <w:i/>
          <w:sz w:val="22"/>
        </w:rPr>
        <w:t>Ciencia</w:t>
      </w:r>
      <w:r>
        <w:rPr>
          <w:i/>
          <w:spacing w:val="76"/>
          <w:w w:val="150"/>
          <w:sz w:val="22"/>
        </w:rPr>
        <w:t>   </w:t>
      </w:r>
      <w:r>
        <w:rPr>
          <w:i/>
          <w:sz w:val="22"/>
        </w:rPr>
        <w:t>Ecuador,</w:t>
      </w:r>
      <w:r>
        <w:rPr>
          <w:i/>
          <w:spacing w:val="77"/>
          <w:w w:val="150"/>
          <w:sz w:val="22"/>
        </w:rPr>
        <w:t>   </w:t>
      </w:r>
      <w:r>
        <w:rPr>
          <w:i/>
          <w:sz w:val="22"/>
        </w:rPr>
        <w:t>7</w:t>
      </w:r>
      <w:r>
        <w:rPr>
          <w:sz w:val="22"/>
        </w:rPr>
        <w:t>(31),</w:t>
      </w:r>
      <w:r>
        <w:rPr>
          <w:spacing w:val="75"/>
          <w:w w:val="150"/>
          <w:sz w:val="22"/>
        </w:rPr>
        <w:t>   </w:t>
      </w:r>
      <w:r>
        <w:rPr>
          <w:sz w:val="22"/>
        </w:rPr>
        <w:t>51-</w:t>
      </w:r>
      <w:r>
        <w:rPr>
          <w:spacing w:val="-5"/>
          <w:sz w:val="22"/>
        </w:rPr>
        <w:t>61.</w:t>
      </w:r>
    </w:p>
    <w:p>
      <w:pPr>
        <w:spacing w:before="6"/>
        <w:ind w:left="1288" w:right="0" w:firstLine="0"/>
        <w:jc w:val="left"/>
        <w:rPr>
          <w:sz w:val="22"/>
        </w:rPr>
      </w:pPr>
      <w:r>
        <w:rPr>
          <w:spacing w:val="-2"/>
          <w:sz w:val="22"/>
        </w:rPr>
        <w:t>doi:10.69825/cienec.v7i31.331</w:t>
      </w:r>
    </w:p>
    <w:p>
      <w:pPr>
        <w:pStyle w:val="BodyText"/>
        <w:spacing w:before="113"/>
        <w:rPr>
          <w:sz w:val="22"/>
        </w:rPr>
      </w:pPr>
    </w:p>
    <w:p>
      <w:pPr>
        <w:tabs>
          <w:tab w:pos="2791" w:val="left" w:leader="none"/>
          <w:tab w:pos="3431" w:val="left" w:leader="none"/>
          <w:tab w:pos="4798" w:val="left" w:leader="none"/>
          <w:tab w:pos="5282" w:val="left" w:leader="none"/>
          <w:tab w:pos="6976" w:val="left" w:leader="none"/>
          <w:tab w:pos="8235" w:val="left" w:leader="none"/>
        </w:tabs>
        <w:spacing w:line="360" w:lineRule="auto" w:before="0"/>
        <w:ind w:left="1288" w:right="141" w:hanging="721"/>
        <w:jc w:val="left"/>
        <w:rPr>
          <w:sz w:val="22"/>
        </w:rPr>
      </w:pPr>
      <w:r>
        <w:rPr>
          <w:sz w:val="22"/>
        </w:rPr>
        <w:t>Ariza-Rojas,</w:t>
      </w:r>
      <w:r>
        <w:rPr>
          <w:spacing w:val="-7"/>
          <w:sz w:val="22"/>
        </w:rPr>
        <w:t> </w:t>
      </w:r>
      <w:r>
        <w:rPr>
          <w:sz w:val="22"/>
        </w:rPr>
        <w:t>V.,</w:t>
      </w:r>
      <w:r>
        <w:rPr>
          <w:spacing w:val="-3"/>
          <w:sz w:val="22"/>
        </w:rPr>
        <w:t> </w:t>
      </w:r>
      <w:r>
        <w:rPr>
          <w:sz w:val="22"/>
        </w:rPr>
        <w:t>Molano-Pérez,</w:t>
      </w:r>
      <w:r>
        <w:rPr>
          <w:spacing w:val="-3"/>
          <w:sz w:val="22"/>
        </w:rPr>
        <w:t> </w:t>
      </w:r>
      <w:r>
        <w:rPr>
          <w:sz w:val="22"/>
        </w:rPr>
        <w:t>D.</w:t>
      </w:r>
      <w:r>
        <w:rPr>
          <w:spacing w:val="-3"/>
          <w:sz w:val="22"/>
        </w:rPr>
        <w:t> </w:t>
      </w:r>
      <w:r>
        <w:rPr>
          <w:sz w:val="22"/>
        </w:rPr>
        <w:t>P.,</w:t>
      </w:r>
      <w:r>
        <w:rPr>
          <w:spacing w:val="-7"/>
          <w:sz w:val="22"/>
        </w:rPr>
        <w:t> </w:t>
      </w:r>
      <w:r>
        <w:rPr>
          <w:sz w:val="22"/>
        </w:rPr>
        <w:t>&amp;</w:t>
      </w:r>
      <w:r>
        <w:rPr>
          <w:spacing w:val="-3"/>
          <w:sz w:val="22"/>
        </w:rPr>
        <w:t> </w:t>
      </w:r>
      <w:r>
        <w:rPr>
          <w:sz w:val="22"/>
        </w:rPr>
        <w:t>Quimbaya,</w:t>
      </w:r>
      <w:r>
        <w:rPr>
          <w:spacing w:val="-3"/>
          <w:sz w:val="22"/>
        </w:rPr>
        <w:t> </w:t>
      </w:r>
      <w:r>
        <w:rPr>
          <w:sz w:val="22"/>
        </w:rPr>
        <w:t>J.</w:t>
      </w:r>
      <w:r>
        <w:rPr>
          <w:spacing w:val="-3"/>
          <w:sz w:val="22"/>
        </w:rPr>
        <w:t> </w:t>
      </w:r>
      <w:r>
        <w:rPr>
          <w:sz w:val="22"/>
        </w:rPr>
        <w:t>J.</w:t>
      </w:r>
      <w:r>
        <w:rPr>
          <w:spacing w:val="-3"/>
          <w:sz w:val="22"/>
        </w:rPr>
        <w:t> </w:t>
      </w:r>
      <w:r>
        <w:rPr>
          <w:sz w:val="22"/>
        </w:rPr>
        <w:t>(2025).</w:t>
      </w:r>
      <w:r>
        <w:rPr>
          <w:spacing w:val="-1"/>
          <w:sz w:val="22"/>
        </w:rPr>
        <w:t> </w:t>
      </w:r>
      <w:r>
        <w:rPr>
          <w:i/>
          <w:sz w:val="22"/>
        </w:rPr>
        <w:t>Manual</w:t>
      </w:r>
      <w:r>
        <w:rPr>
          <w:i/>
          <w:spacing w:val="-5"/>
          <w:sz w:val="22"/>
        </w:rPr>
        <w:t> </w:t>
      </w:r>
      <w:r>
        <w:rPr>
          <w:i/>
          <w:sz w:val="22"/>
        </w:rPr>
        <w:t>de</w:t>
      </w:r>
      <w:r>
        <w:rPr>
          <w:i/>
          <w:spacing w:val="-8"/>
          <w:sz w:val="22"/>
        </w:rPr>
        <w:t> </w:t>
      </w:r>
      <w:r>
        <w:rPr>
          <w:i/>
          <w:sz w:val="22"/>
        </w:rPr>
        <w:t>protocolos</w:t>
      </w:r>
      <w:r>
        <w:rPr>
          <w:i/>
          <w:spacing w:val="-8"/>
          <w:sz w:val="22"/>
        </w:rPr>
        <w:t> </w:t>
      </w:r>
      <w:r>
        <w:rPr>
          <w:i/>
          <w:sz w:val="22"/>
        </w:rPr>
        <w:t>de anestesia en caninos y felinos para procedimeintos de esterilización y castración en</w:t>
      </w:r>
      <w:r>
        <w:rPr>
          <w:i/>
          <w:spacing w:val="40"/>
          <w:sz w:val="22"/>
        </w:rPr>
        <w:t> </w:t>
      </w:r>
      <w:r>
        <w:rPr>
          <w:i/>
          <w:sz w:val="22"/>
        </w:rPr>
        <w:t>la</w:t>
      </w:r>
      <w:r>
        <w:rPr>
          <w:i/>
          <w:spacing w:val="40"/>
          <w:sz w:val="22"/>
        </w:rPr>
        <w:t> </w:t>
      </w:r>
      <w:r>
        <w:rPr>
          <w:i/>
          <w:sz w:val="22"/>
        </w:rPr>
        <w:t>"Clínica</w:t>
      </w:r>
      <w:r>
        <w:rPr>
          <w:i/>
          <w:spacing w:val="40"/>
          <w:sz w:val="22"/>
        </w:rPr>
        <w:t> </w:t>
      </w:r>
      <w:r>
        <w:rPr>
          <w:i/>
          <w:sz w:val="22"/>
        </w:rPr>
        <w:t>Veterinaria</w:t>
      </w:r>
      <w:r>
        <w:rPr>
          <w:i/>
          <w:spacing w:val="40"/>
          <w:sz w:val="22"/>
        </w:rPr>
        <w:t> </w:t>
      </w:r>
      <w:r>
        <w:rPr>
          <w:i/>
          <w:sz w:val="22"/>
        </w:rPr>
        <w:t>Mascotas</w:t>
      </w:r>
      <w:r>
        <w:rPr>
          <w:i/>
          <w:spacing w:val="40"/>
          <w:sz w:val="22"/>
        </w:rPr>
        <w:t> </w:t>
      </w:r>
      <w:r>
        <w:rPr>
          <w:i/>
          <w:sz w:val="22"/>
        </w:rPr>
        <w:t>Gold".</w:t>
      </w:r>
      <w:r>
        <w:rPr>
          <w:i/>
          <w:spacing w:val="40"/>
          <w:sz w:val="22"/>
        </w:rPr>
        <w:t> </w:t>
      </w:r>
      <w:r>
        <w:rPr>
          <w:sz w:val="22"/>
        </w:rPr>
        <w:t>[Trabajo</w:t>
      </w:r>
      <w:r>
        <w:rPr>
          <w:spacing w:val="40"/>
          <w:sz w:val="22"/>
        </w:rPr>
        <w:t> </w:t>
      </w:r>
      <w:r>
        <w:rPr>
          <w:sz w:val="22"/>
        </w:rPr>
        <w:t>Pregrado</w:t>
      </w:r>
      <w:r>
        <w:rPr>
          <w:spacing w:val="40"/>
          <w:sz w:val="22"/>
        </w:rPr>
        <w:t> </w:t>
      </w:r>
      <w:r>
        <w:rPr>
          <w:sz w:val="22"/>
        </w:rPr>
        <w:t>Universidad</w:t>
      </w:r>
      <w:r>
        <w:rPr>
          <w:spacing w:val="40"/>
          <w:sz w:val="22"/>
        </w:rPr>
        <w:t> </w:t>
      </w:r>
      <w:r>
        <w:rPr>
          <w:spacing w:val="-2"/>
          <w:sz w:val="22"/>
        </w:rPr>
        <w:t>Cooperativa</w:t>
      </w:r>
      <w:r>
        <w:rPr>
          <w:sz w:val="22"/>
        </w:rPr>
        <w:tab/>
      </w:r>
      <w:r>
        <w:rPr>
          <w:spacing w:val="-6"/>
          <w:sz w:val="22"/>
        </w:rPr>
        <w:t>de</w:t>
      </w:r>
      <w:r>
        <w:rPr>
          <w:sz w:val="22"/>
        </w:rPr>
        <w:tab/>
      </w:r>
      <w:r>
        <w:rPr>
          <w:spacing w:val="-2"/>
          <w:sz w:val="22"/>
        </w:rPr>
        <w:t>Colombia]</w:t>
      </w:r>
      <w:r>
        <w:rPr>
          <w:sz w:val="22"/>
        </w:rPr>
        <w:tab/>
      </w:r>
      <w:r>
        <w:rPr>
          <w:spacing w:val="-10"/>
          <w:sz w:val="22"/>
        </w:rPr>
        <w:t>,</w:t>
      </w:r>
      <w:r>
        <w:rPr>
          <w:sz w:val="22"/>
        </w:rPr>
        <w:tab/>
      </w:r>
      <w:r>
        <w:rPr>
          <w:spacing w:val="-2"/>
          <w:sz w:val="22"/>
        </w:rPr>
        <w:t>Bucaramanga.</w:t>
      </w:r>
      <w:r>
        <w:rPr>
          <w:sz w:val="22"/>
        </w:rPr>
        <w:tab/>
      </w:r>
      <w:r>
        <w:rPr>
          <w:spacing w:val="-2"/>
          <w:sz w:val="22"/>
        </w:rPr>
        <w:t>Récupéré</w:t>
      </w:r>
      <w:r>
        <w:rPr>
          <w:sz w:val="22"/>
        </w:rPr>
        <w:tab/>
      </w:r>
      <w:r>
        <w:rPr>
          <w:spacing w:val="-4"/>
          <w:sz w:val="22"/>
        </w:rPr>
        <w:t>sur </w:t>
      </w:r>
      <w:hyperlink r:id="rId26">
        <w:r>
          <w:rPr>
            <w:sz w:val="22"/>
          </w:rPr>
          <w:t>https://repository.ucc.edu.co/server/api/core/bitstreams/c4044585-fcbd-4655-</w:t>
        </w:r>
        <w:r>
          <w:rPr>
            <w:spacing w:val="-2"/>
            <w:sz w:val="22"/>
          </w:rPr>
          <w:t>a080-38b7edd3b87f/content</w:t>
        </w:r>
      </w:hyperlink>
    </w:p>
    <w:p>
      <w:pPr>
        <w:spacing w:before="240"/>
        <w:ind w:left="568" w:right="0" w:firstLine="0"/>
        <w:jc w:val="both"/>
        <w:rPr>
          <w:sz w:val="22"/>
        </w:rPr>
      </w:pPr>
      <w:r>
        <w:rPr>
          <w:sz w:val="22"/>
        </w:rPr>
        <w:t>Bailey,</w:t>
      </w:r>
      <w:r>
        <w:rPr>
          <w:spacing w:val="11"/>
          <w:sz w:val="22"/>
        </w:rPr>
        <w:t> </w:t>
      </w:r>
      <w:r>
        <w:rPr>
          <w:sz w:val="22"/>
        </w:rPr>
        <w:t>K.,</w:t>
      </w:r>
      <w:r>
        <w:rPr>
          <w:spacing w:val="11"/>
          <w:sz w:val="22"/>
        </w:rPr>
        <w:t> </w:t>
      </w:r>
      <w:r>
        <w:rPr>
          <w:sz w:val="22"/>
        </w:rPr>
        <w:t>Briley,</w:t>
      </w:r>
      <w:r>
        <w:rPr>
          <w:spacing w:val="12"/>
          <w:sz w:val="22"/>
        </w:rPr>
        <w:t> </w:t>
      </w:r>
      <w:r>
        <w:rPr>
          <w:sz w:val="22"/>
        </w:rPr>
        <w:t>J.,</w:t>
      </w:r>
      <w:r>
        <w:rPr>
          <w:spacing w:val="11"/>
          <w:sz w:val="22"/>
        </w:rPr>
        <w:t> </w:t>
      </w:r>
      <w:r>
        <w:rPr>
          <w:sz w:val="22"/>
        </w:rPr>
        <w:t>Duffe,</w:t>
      </w:r>
      <w:r>
        <w:rPr>
          <w:spacing w:val="11"/>
          <w:sz w:val="22"/>
        </w:rPr>
        <w:t> </w:t>
      </w:r>
      <w:r>
        <w:rPr>
          <w:sz w:val="22"/>
        </w:rPr>
        <w:t>L.,</w:t>
      </w:r>
      <w:r>
        <w:rPr>
          <w:spacing w:val="12"/>
          <w:sz w:val="22"/>
        </w:rPr>
        <w:t> </w:t>
      </w:r>
      <w:r>
        <w:rPr>
          <w:sz w:val="22"/>
        </w:rPr>
        <w:t>Duke,</w:t>
      </w:r>
      <w:r>
        <w:rPr>
          <w:spacing w:val="11"/>
          <w:sz w:val="22"/>
        </w:rPr>
        <w:t> </w:t>
      </w:r>
      <w:r>
        <w:rPr>
          <w:sz w:val="22"/>
        </w:rPr>
        <w:t>L.,</w:t>
      </w:r>
      <w:r>
        <w:rPr>
          <w:spacing w:val="12"/>
          <w:sz w:val="22"/>
        </w:rPr>
        <w:t> </w:t>
      </w:r>
      <w:r>
        <w:rPr>
          <w:sz w:val="22"/>
        </w:rPr>
        <w:t>Duke-Novakovski,</w:t>
      </w:r>
      <w:r>
        <w:rPr>
          <w:spacing w:val="4"/>
          <w:sz w:val="22"/>
        </w:rPr>
        <w:t> </w:t>
      </w:r>
      <w:r>
        <w:rPr>
          <w:sz w:val="22"/>
        </w:rPr>
        <w:t>T.,</w:t>
      </w:r>
      <w:r>
        <w:rPr>
          <w:spacing w:val="11"/>
          <w:sz w:val="22"/>
        </w:rPr>
        <w:t> </w:t>
      </w:r>
      <w:r>
        <w:rPr>
          <w:sz w:val="22"/>
        </w:rPr>
        <w:t>Grubb,</w:t>
      </w:r>
      <w:r>
        <w:rPr>
          <w:spacing w:val="4"/>
          <w:sz w:val="22"/>
        </w:rPr>
        <w:t> </w:t>
      </w:r>
      <w:r>
        <w:rPr>
          <w:sz w:val="22"/>
        </w:rPr>
        <w:t>T.,</w:t>
      </w:r>
      <w:r>
        <w:rPr>
          <w:spacing w:val="56"/>
          <w:w w:val="150"/>
          <w:sz w:val="22"/>
        </w:rPr>
        <w:t>   </w:t>
      </w:r>
      <w:r>
        <w:rPr>
          <w:sz w:val="22"/>
        </w:rPr>
        <w:t>Shih,</w:t>
      </w:r>
      <w:r>
        <w:rPr>
          <w:spacing w:val="8"/>
          <w:sz w:val="22"/>
        </w:rPr>
        <w:t> </w:t>
      </w:r>
      <w:r>
        <w:rPr>
          <w:spacing w:val="-5"/>
          <w:sz w:val="22"/>
        </w:rPr>
        <w:t>S.</w:t>
      </w:r>
    </w:p>
    <w:p>
      <w:pPr>
        <w:spacing w:line="360" w:lineRule="auto" w:before="127"/>
        <w:ind w:left="1288" w:right="143" w:firstLine="0"/>
        <w:jc w:val="both"/>
        <w:rPr>
          <w:sz w:val="22"/>
        </w:rPr>
      </w:pPr>
      <w:r>
        <w:rPr>
          <w:sz w:val="22"/>
        </w:rPr>
        <w:t>(2025,</w:t>
      </w:r>
      <w:r>
        <w:rPr>
          <w:spacing w:val="-10"/>
          <w:sz w:val="22"/>
        </w:rPr>
        <w:t> </w:t>
      </w:r>
      <w:r>
        <w:rPr>
          <w:sz w:val="22"/>
        </w:rPr>
        <w:t>3</w:t>
      </w:r>
      <w:r>
        <w:rPr>
          <w:spacing w:val="-4"/>
          <w:sz w:val="22"/>
        </w:rPr>
        <w:t> </w:t>
      </w:r>
      <w:r>
        <w:rPr>
          <w:sz w:val="22"/>
        </w:rPr>
        <w:t>1).</w:t>
      </w:r>
      <w:r>
        <w:rPr>
          <w:spacing w:val="-5"/>
          <w:sz w:val="22"/>
        </w:rPr>
        <w:t> </w:t>
      </w:r>
      <w:r>
        <w:rPr>
          <w:sz w:val="22"/>
        </w:rPr>
        <w:t>Directrices</w:t>
      </w:r>
      <w:r>
        <w:rPr>
          <w:spacing w:val="-7"/>
          <w:sz w:val="22"/>
        </w:rPr>
        <w:t> </w:t>
      </w:r>
      <w:r>
        <w:rPr>
          <w:sz w:val="22"/>
        </w:rPr>
        <w:t>de</w:t>
      </w:r>
      <w:r>
        <w:rPr>
          <w:spacing w:val="-7"/>
          <w:sz w:val="22"/>
        </w:rPr>
        <w:t> </w:t>
      </w:r>
      <w:r>
        <w:rPr>
          <w:sz w:val="22"/>
        </w:rPr>
        <w:t>Monitorización</w:t>
      </w:r>
      <w:r>
        <w:rPr>
          <w:spacing w:val="-4"/>
          <w:sz w:val="22"/>
        </w:rPr>
        <w:t> </w:t>
      </w:r>
      <w:r>
        <w:rPr>
          <w:sz w:val="22"/>
        </w:rPr>
        <w:t>de</w:t>
      </w:r>
      <w:r>
        <w:rPr>
          <w:spacing w:val="-14"/>
          <w:sz w:val="22"/>
        </w:rPr>
        <w:t> </w:t>
      </w:r>
      <w:r>
        <w:rPr>
          <w:sz w:val="22"/>
        </w:rPr>
        <w:t>Anestesia</w:t>
      </w:r>
      <w:r>
        <w:rPr>
          <w:spacing w:val="-7"/>
          <w:sz w:val="22"/>
        </w:rPr>
        <w:t> </w:t>
      </w:r>
      <w:r>
        <w:rPr>
          <w:sz w:val="22"/>
        </w:rPr>
        <w:t>y</w:t>
      </w:r>
      <w:r>
        <w:rPr>
          <w:spacing w:val="-4"/>
          <w:sz w:val="22"/>
        </w:rPr>
        <w:t> </w:t>
      </w:r>
      <w:r>
        <w:rPr>
          <w:sz w:val="22"/>
        </w:rPr>
        <w:t>Sedación</w:t>
      </w:r>
      <w:r>
        <w:rPr>
          <w:spacing w:val="-4"/>
          <w:sz w:val="22"/>
        </w:rPr>
        <w:t> </w:t>
      </w:r>
      <w:r>
        <w:rPr>
          <w:sz w:val="22"/>
        </w:rPr>
        <w:t>para</w:t>
      </w:r>
      <w:r>
        <w:rPr>
          <w:spacing w:val="-7"/>
          <w:sz w:val="22"/>
        </w:rPr>
        <w:t> </w:t>
      </w:r>
      <w:r>
        <w:rPr>
          <w:sz w:val="22"/>
        </w:rPr>
        <w:t>Pequeños Animales del Colegio Americano de Anestesia y Analgesia Veterinaria 2025. </w:t>
      </w:r>
      <w:r>
        <w:rPr>
          <w:i/>
          <w:sz w:val="22"/>
        </w:rPr>
        <w:t>Anestesia y Analgesia Veterinaria, 52</w:t>
      </w:r>
      <w:r>
        <w:rPr>
          <w:sz w:val="22"/>
        </w:rPr>
        <w:t>(4). doi:10.1016/j.vaa.2025.03.015</w:t>
      </w:r>
    </w:p>
    <w:p>
      <w:pPr>
        <w:spacing w:after="0" w:line="360" w:lineRule="auto"/>
        <w:jc w:val="both"/>
        <w:rPr>
          <w:sz w:val="22"/>
        </w:rPr>
        <w:sectPr>
          <w:pgSz w:w="11910" w:h="16840"/>
          <w:pgMar w:header="0" w:footer="1038" w:top="1620" w:bottom="1220" w:left="1700" w:right="1559"/>
        </w:sectPr>
      </w:pPr>
    </w:p>
    <w:p>
      <w:pPr>
        <w:spacing w:before="63"/>
        <w:ind w:left="568" w:right="0" w:firstLine="0"/>
        <w:jc w:val="both"/>
        <w:rPr>
          <w:sz w:val="22"/>
        </w:rPr>
      </w:pPr>
      <w:r>
        <w:rPr>
          <w:sz w:val="22"/>
        </w:rPr>
        <w:t>Beck,</w:t>
      </w:r>
      <w:r>
        <w:rPr>
          <w:spacing w:val="1"/>
          <w:sz w:val="22"/>
        </w:rPr>
        <w:t> </w:t>
      </w:r>
      <w:r>
        <w:rPr>
          <w:sz w:val="22"/>
        </w:rPr>
        <w:t>R.</w:t>
      </w:r>
      <w:r>
        <w:rPr>
          <w:spacing w:val="3"/>
          <w:sz w:val="22"/>
        </w:rPr>
        <w:t> </w:t>
      </w:r>
      <w:r>
        <w:rPr>
          <w:sz w:val="22"/>
        </w:rPr>
        <w:t>C.,</w:t>
      </w:r>
      <w:r>
        <w:rPr>
          <w:spacing w:val="4"/>
          <w:sz w:val="22"/>
        </w:rPr>
        <w:t> </w:t>
      </w:r>
      <w:r>
        <w:rPr>
          <w:sz w:val="22"/>
        </w:rPr>
        <w:t>Monteiro,</w:t>
      </w:r>
      <w:r>
        <w:rPr>
          <w:spacing w:val="3"/>
          <w:sz w:val="22"/>
        </w:rPr>
        <w:t> </w:t>
      </w:r>
      <w:r>
        <w:rPr>
          <w:sz w:val="22"/>
        </w:rPr>
        <w:t>E. R.,</w:t>
      </w:r>
      <w:r>
        <w:rPr>
          <w:spacing w:val="-4"/>
          <w:sz w:val="22"/>
        </w:rPr>
        <w:t> </w:t>
      </w:r>
      <w:r>
        <w:rPr>
          <w:sz w:val="22"/>
        </w:rPr>
        <w:t>Tomazeli,</w:t>
      </w:r>
      <w:r>
        <w:rPr>
          <w:spacing w:val="3"/>
          <w:sz w:val="22"/>
        </w:rPr>
        <w:t> </w:t>
      </w:r>
      <w:r>
        <w:rPr>
          <w:sz w:val="22"/>
        </w:rPr>
        <w:t>D.,</w:t>
      </w:r>
      <w:r>
        <w:rPr>
          <w:spacing w:val="3"/>
          <w:sz w:val="22"/>
        </w:rPr>
        <w:t> </w:t>
      </w:r>
      <w:r>
        <w:rPr>
          <w:sz w:val="22"/>
        </w:rPr>
        <w:t>Becerra,</w:t>
      </w:r>
      <w:r>
        <w:rPr>
          <w:spacing w:val="4"/>
          <w:sz w:val="22"/>
        </w:rPr>
        <w:t> </w:t>
      </w:r>
      <w:r>
        <w:rPr>
          <w:sz w:val="22"/>
        </w:rPr>
        <w:t>J.</w:t>
      </w:r>
      <w:r>
        <w:rPr>
          <w:spacing w:val="3"/>
          <w:sz w:val="22"/>
        </w:rPr>
        <w:t> </w:t>
      </w:r>
      <w:r>
        <w:rPr>
          <w:sz w:val="22"/>
        </w:rPr>
        <w:t>H.,</w:t>
      </w:r>
      <w:r>
        <w:rPr>
          <w:spacing w:val="3"/>
          <w:sz w:val="22"/>
        </w:rPr>
        <w:t> </w:t>
      </w:r>
      <w:r>
        <w:rPr>
          <w:sz w:val="22"/>
        </w:rPr>
        <w:t>Ferroinato,</w:t>
      </w:r>
      <w:r>
        <w:rPr>
          <w:spacing w:val="4"/>
          <w:sz w:val="22"/>
        </w:rPr>
        <w:t> </w:t>
      </w:r>
      <w:r>
        <w:rPr>
          <w:sz w:val="22"/>
        </w:rPr>
        <w:t>J.</w:t>
      </w:r>
      <w:r>
        <w:rPr>
          <w:spacing w:val="-1"/>
          <w:sz w:val="22"/>
        </w:rPr>
        <w:t> </w:t>
      </w:r>
      <w:r>
        <w:rPr>
          <w:sz w:val="22"/>
        </w:rPr>
        <w:t>V., de</w:t>
      </w:r>
      <w:r>
        <w:rPr>
          <w:spacing w:val="2"/>
          <w:sz w:val="22"/>
        </w:rPr>
        <w:t> </w:t>
      </w:r>
      <w:r>
        <w:rPr>
          <w:spacing w:val="-2"/>
          <w:sz w:val="22"/>
        </w:rPr>
        <w:t>Carvalho,</w:t>
      </w:r>
    </w:p>
    <w:p>
      <w:pPr>
        <w:spacing w:line="360" w:lineRule="auto" w:before="127"/>
        <w:ind w:left="1288" w:right="141" w:firstLine="0"/>
        <w:jc w:val="both"/>
        <w:rPr>
          <w:sz w:val="22"/>
        </w:rPr>
      </w:pPr>
      <w:r>
        <w:rPr>
          <w:sz w:val="22"/>
        </w:rPr>
        <w:t>A.</w:t>
      </w:r>
      <w:r>
        <w:rPr>
          <w:spacing w:val="-14"/>
          <w:sz w:val="22"/>
        </w:rPr>
        <w:t> </w:t>
      </w:r>
      <w:r>
        <w:rPr>
          <w:sz w:val="22"/>
        </w:rPr>
        <w:t>L.,</w:t>
      </w:r>
      <w:r>
        <w:rPr>
          <w:spacing w:val="-14"/>
          <w:sz w:val="22"/>
        </w:rPr>
        <w:t> </w:t>
      </w:r>
      <w:r>
        <w:rPr>
          <w:sz w:val="22"/>
        </w:rPr>
        <w:t>&amp;</w:t>
      </w:r>
      <w:r>
        <w:rPr>
          <w:spacing w:val="-14"/>
          <w:sz w:val="22"/>
        </w:rPr>
        <w:t> </w:t>
      </w:r>
      <w:r>
        <w:rPr>
          <w:sz w:val="22"/>
        </w:rPr>
        <w:t>Alievi,</w:t>
      </w:r>
      <w:r>
        <w:rPr>
          <w:spacing w:val="-13"/>
          <w:sz w:val="22"/>
        </w:rPr>
        <w:t> </w:t>
      </w:r>
      <w:r>
        <w:rPr>
          <w:sz w:val="22"/>
        </w:rPr>
        <w:t>M.</w:t>
      </w:r>
      <w:r>
        <w:rPr>
          <w:spacing w:val="-14"/>
          <w:sz w:val="22"/>
        </w:rPr>
        <w:t> </w:t>
      </w:r>
      <w:r>
        <w:rPr>
          <w:sz w:val="22"/>
        </w:rPr>
        <w:t>M.</w:t>
      </w:r>
      <w:r>
        <w:rPr>
          <w:spacing w:val="-14"/>
          <w:sz w:val="22"/>
        </w:rPr>
        <w:t> </w:t>
      </w:r>
      <w:r>
        <w:rPr>
          <w:sz w:val="22"/>
        </w:rPr>
        <w:t>(2025,</w:t>
      </w:r>
      <w:r>
        <w:rPr>
          <w:spacing w:val="-14"/>
          <w:sz w:val="22"/>
        </w:rPr>
        <w:t> </w:t>
      </w:r>
      <w:r>
        <w:rPr>
          <w:sz w:val="22"/>
        </w:rPr>
        <w:t>4</w:t>
      </w:r>
      <w:r>
        <w:rPr>
          <w:spacing w:val="-13"/>
          <w:sz w:val="22"/>
        </w:rPr>
        <w:t> </w:t>
      </w:r>
      <w:r>
        <w:rPr>
          <w:sz w:val="22"/>
        </w:rPr>
        <w:t>26).</w:t>
      </w:r>
      <w:r>
        <w:rPr>
          <w:spacing w:val="-14"/>
          <w:sz w:val="22"/>
        </w:rPr>
        <w:t> </w:t>
      </w:r>
      <w:r>
        <w:rPr>
          <w:sz w:val="22"/>
        </w:rPr>
        <w:t>Efectos</w:t>
      </w:r>
      <w:r>
        <w:rPr>
          <w:spacing w:val="-14"/>
          <w:sz w:val="22"/>
        </w:rPr>
        <w:t> </w:t>
      </w:r>
      <w:r>
        <w:rPr>
          <w:sz w:val="22"/>
        </w:rPr>
        <w:t>hemodinámicos</w:t>
      </w:r>
      <w:r>
        <w:rPr>
          <w:spacing w:val="-14"/>
          <w:sz w:val="22"/>
        </w:rPr>
        <w:t> </w:t>
      </w:r>
      <w:r>
        <w:rPr>
          <w:sz w:val="22"/>
        </w:rPr>
        <w:t>en</w:t>
      </w:r>
      <w:r>
        <w:rPr>
          <w:spacing w:val="-13"/>
          <w:sz w:val="22"/>
        </w:rPr>
        <w:t> </w:t>
      </w:r>
      <w:r>
        <w:rPr>
          <w:sz w:val="22"/>
        </w:rPr>
        <w:t>perros</w:t>
      </w:r>
      <w:r>
        <w:rPr>
          <w:spacing w:val="-14"/>
          <w:sz w:val="22"/>
        </w:rPr>
        <w:t> </w:t>
      </w:r>
      <w:r>
        <w:rPr>
          <w:sz w:val="22"/>
        </w:rPr>
        <w:t>anestesiados con la combinación tiletamina-zolazepam-ketamina-xilazina. </w:t>
      </w:r>
      <w:r>
        <w:rPr>
          <w:i/>
          <w:sz w:val="22"/>
        </w:rPr>
        <w:t>Reserva Común del veterinario, 49</w:t>
      </w:r>
      <w:r>
        <w:rPr>
          <w:sz w:val="22"/>
        </w:rPr>
        <w:t>(3), 180. doi:doi:10.1007/s11259-025-10751-7. PMID: 40285972.</w:t>
      </w:r>
    </w:p>
    <w:p>
      <w:pPr>
        <w:spacing w:line="360" w:lineRule="auto" w:before="242"/>
        <w:ind w:left="1288" w:right="138" w:hanging="721"/>
        <w:jc w:val="both"/>
        <w:rPr>
          <w:sz w:val="22"/>
        </w:rPr>
      </w:pPr>
      <w:r>
        <w:rPr>
          <w:sz w:val="22"/>
        </w:rPr>
        <w:t>Boff, G. A., Lima , C. M., Nobre, M. O., &amp; Gehrcke, M. I. (2022, 5 29). Cambios hemodinámicos y respiratorios derivados de una infusión continua de dexmedetomidina en anestesia general en perros: una revisión sistemática y </w:t>
      </w:r>
      <w:r>
        <w:rPr>
          <w:spacing w:val="-2"/>
          <w:sz w:val="22"/>
        </w:rPr>
        <w:t>metaanálisis. </w:t>
      </w:r>
      <w:r>
        <w:rPr>
          <w:i/>
          <w:spacing w:val="-2"/>
          <w:sz w:val="22"/>
        </w:rPr>
        <w:t>Ciencias</w:t>
      </w:r>
      <w:r>
        <w:rPr>
          <w:i/>
          <w:spacing w:val="-4"/>
          <w:sz w:val="22"/>
        </w:rPr>
        <w:t> </w:t>
      </w:r>
      <w:r>
        <w:rPr>
          <w:i/>
          <w:spacing w:val="-2"/>
          <w:sz w:val="22"/>
        </w:rPr>
        <w:t>Agrarias y</w:t>
      </w:r>
      <w:r>
        <w:rPr>
          <w:i/>
          <w:spacing w:val="-4"/>
          <w:sz w:val="22"/>
        </w:rPr>
        <w:t> </w:t>
      </w:r>
      <w:r>
        <w:rPr>
          <w:i/>
          <w:spacing w:val="-2"/>
          <w:sz w:val="22"/>
        </w:rPr>
        <w:t>Biológicas, 11</w:t>
      </w:r>
      <w:r>
        <w:rPr>
          <w:spacing w:val="-2"/>
          <w:sz w:val="22"/>
        </w:rPr>
        <w:t>(7). doi:10.33448/rsd-v11i7.29980</w:t>
      </w:r>
    </w:p>
    <w:p>
      <w:pPr>
        <w:spacing w:line="360" w:lineRule="auto" w:before="238"/>
        <w:ind w:left="1288" w:right="138" w:hanging="721"/>
        <w:jc w:val="both"/>
        <w:rPr>
          <w:sz w:val="22"/>
        </w:rPr>
      </w:pPr>
      <w:r>
        <w:rPr>
          <w:sz w:val="22"/>
        </w:rPr>
        <w:t>Cañón-Pérez, A., Martí-Scharfthausen-Sánchez, M., Sevilla-Ureba, A., Hernández-Magaña,</w:t>
      </w:r>
      <w:r>
        <w:rPr>
          <w:spacing w:val="-7"/>
          <w:sz w:val="22"/>
        </w:rPr>
        <w:t> </w:t>
      </w:r>
      <w:r>
        <w:rPr>
          <w:sz w:val="22"/>
        </w:rPr>
        <w:t>E.</w:t>
      </w:r>
      <w:r>
        <w:rPr>
          <w:spacing w:val="-5"/>
          <w:sz w:val="22"/>
        </w:rPr>
        <w:t> </w:t>
      </w:r>
      <w:r>
        <w:rPr>
          <w:sz w:val="22"/>
        </w:rPr>
        <w:t>Z.,</w:t>
      </w:r>
      <w:r>
        <w:rPr>
          <w:spacing w:val="-9"/>
          <w:sz w:val="22"/>
        </w:rPr>
        <w:t> </w:t>
      </w:r>
      <w:r>
        <w:rPr>
          <w:sz w:val="22"/>
        </w:rPr>
        <w:t>Viscasillas-Monteagudo,</w:t>
      </w:r>
      <w:r>
        <w:rPr>
          <w:spacing w:val="-5"/>
          <w:sz w:val="22"/>
        </w:rPr>
        <w:t> </w:t>
      </w:r>
      <w:r>
        <w:rPr>
          <w:sz w:val="22"/>
        </w:rPr>
        <w:t>J.,</w:t>
      </w:r>
      <w:r>
        <w:rPr>
          <w:spacing w:val="-5"/>
          <w:sz w:val="22"/>
        </w:rPr>
        <w:t> </w:t>
      </w:r>
      <w:r>
        <w:rPr>
          <w:sz w:val="22"/>
        </w:rPr>
        <w:t>Martínez-Albiñana,</w:t>
      </w:r>
      <w:r>
        <w:rPr>
          <w:spacing w:val="-14"/>
          <w:sz w:val="22"/>
        </w:rPr>
        <w:t> </w:t>
      </w:r>
      <w:r>
        <w:rPr>
          <w:sz w:val="22"/>
        </w:rPr>
        <w:t>A.,</w:t>
      </w:r>
      <w:r>
        <w:rPr>
          <w:spacing w:val="-5"/>
          <w:sz w:val="22"/>
        </w:rPr>
        <w:t> </w:t>
      </w:r>
      <w:r>
        <w:rPr>
          <w:sz w:val="22"/>
        </w:rPr>
        <w:t>&amp;</w:t>
      </w:r>
      <w:r>
        <w:rPr>
          <w:spacing w:val="-5"/>
          <w:sz w:val="22"/>
        </w:rPr>
        <w:t> </w:t>
      </w:r>
      <w:r>
        <w:rPr>
          <w:sz w:val="22"/>
        </w:rPr>
        <w:t>Redondo,</w:t>
      </w:r>
      <w:r>
        <w:rPr>
          <w:spacing w:val="-5"/>
          <w:sz w:val="22"/>
        </w:rPr>
        <w:t> </w:t>
      </w:r>
      <w:r>
        <w:rPr>
          <w:sz w:val="22"/>
        </w:rPr>
        <w:t>J.</w:t>
      </w:r>
    </w:p>
    <w:p>
      <w:pPr>
        <w:spacing w:line="360" w:lineRule="auto" w:before="2"/>
        <w:ind w:left="1288" w:right="138" w:firstLine="0"/>
        <w:jc w:val="both"/>
        <w:rPr>
          <w:sz w:val="22"/>
        </w:rPr>
      </w:pPr>
      <w:r>
        <w:rPr>
          <w:sz w:val="22"/>
        </w:rPr>
        <w:t>I.</w:t>
      </w:r>
      <w:r>
        <w:rPr>
          <w:spacing w:val="-14"/>
          <w:sz w:val="22"/>
        </w:rPr>
        <w:t> </w:t>
      </w:r>
      <w:r>
        <w:rPr>
          <w:sz w:val="22"/>
        </w:rPr>
        <w:t>(2025,</w:t>
      </w:r>
      <w:r>
        <w:rPr>
          <w:spacing w:val="-14"/>
          <w:sz w:val="22"/>
        </w:rPr>
        <w:t> </w:t>
      </w:r>
      <w:r>
        <w:rPr>
          <w:sz w:val="22"/>
        </w:rPr>
        <w:t>6</w:t>
      </w:r>
      <w:r>
        <w:rPr>
          <w:spacing w:val="-14"/>
          <w:sz w:val="22"/>
        </w:rPr>
        <w:t> </w:t>
      </w:r>
      <w:r>
        <w:rPr>
          <w:sz w:val="22"/>
        </w:rPr>
        <w:t>23).</w:t>
      </w:r>
      <w:r>
        <w:rPr>
          <w:spacing w:val="-13"/>
          <w:sz w:val="22"/>
        </w:rPr>
        <w:t> </w:t>
      </w:r>
      <w:r>
        <w:rPr>
          <w:sz w:val="22"/>
        </w:rPr>
        <w:t>Influencia</w:t>
      </w:r>
      <w:r>
        <w:rPr>
          <w:spacing w:val="-14"/>
          <w:sz w:val="22"/>
        </w:rPr>
        <w:t> </w:t>
      </w:r>
      <w:r>
        <w:rPr>
          <w:sz w:val="22"/>
        </w:rPr>
        <w:t>de</w:t>
      </w:r>
      <w:r>
        <w:rPr>
          <w:spacing w:val="-14"/>
          <w:sz w:val="22"/>
        </w:rPr>
        <w:t> </w:t>
      </w:r>
      <w:r>
        <w:rPr>
          <w:sz w:val="22"/>
        </w:rPr>
        <w:t>la</w:t>
      </w:r>
      <w:r>
        <w:rPr>
          <w:spacing w:val="-14"/>
          <w:sz w:val="22"/>
        </w:rPr>
        <w:t> </w:t>
      </w:r>
      <w:r>
        <w:rPr>
          <w:sz w:val="22"/>
        </w:rPr>
        <w:t>evaluación</w:t>
      </w:r>
      <w:r>
        <w:rPr>
          <w:spacing w:val="-13"/>
          <w:sz w:val="22"/>
        </w:rPr>
        <w:t> </w:t>
      </w:r>
      <w:r>
        <w:rPr>
          <w:sz w:val="22"/>
        </w:rPr>
        <w:t>preanestésica</w:t>
      </w:r>
      <w:r>
        <w:rPr>
          <w:spacing w:val="-14"/>
          <w:sz w:val="22"/>
        </w:rPr>
        <w:t> </w:t>
      </w:r>
      <w:r>
        <w:rPr>
          <w:sz w:val="22"/>
        </w:rPr>
        <w:t>integral</w:t>
      </w:r>
      <w:r>
        <w:rPr>
          <w:spacing w:val="-14"/>
          <w:sz w:val="22"/>
        </w:rPr>
        <w:t> </w:t>
      </w:r>
      <w:r>
        <w:rPr>
          <w:sz w:val="22"/>
        </w:rPr>
        <w:t>en</w:t>
      </w:r>
      <w:r>
        <w:rPr>
          <w:spacing w:val="-12"/>
          <w:sz w:val="22"/>
        </w:rPr>
        <w:t> </w:t>
      </w:r>
      <w:r>
        <w:rPr>
          <w:sz w:val="22"/>
        </w:rPr>
        <w:t>la</w:t>
      </w:r>
      <w:r>
        <w:rPr>
          <w:spacing w:val="-14"/>
          <w:sz w:val="22"/>
        </w:rPr>
        <w:t> </w:t>
      </w:r>
      <w:r>
        <w:rPr>
          <w:sz w:val="22"/>
        </w:rPr>
        <w:t>clasificación ASA</w:t>
      </w:r>
      <w:r>
        <w:rPr>
          <w:spacing w:val="-2"/>
          <w:sz w:val="22"/>
        </w:rPr>
        <w:t> </w:t>
      </w:r>
      <w:r>
        <w:rPr>
          <w:sz w:val="22"/>
        </w:rPr>
        <w:t>y las cancelaciones quirúrgicas en perros y gatos: un estudio observacional retrospectivo. (F. Corletto, Éd.) </w:t>
      </w:r>
      <w:r>
        <w:rPr>
          <w:i/>
          <w:sz w:val="22"/>
        </w:rPr>
        <w:t>Ciencias Veterinarias, 12</w:t>
      </w:r>
      <w:r>
        <w:rPr>
          <w:sz w:val="22"/>
        </w:rPr>
        <w:t>(7), 612. </w:t>
      </w:r>
      <w:r>
        <w:rPr>
          <w:spacing w:val="-2"/>
          <w:sz w:val="22"/>
        </w:rPr>
        <w:t>doi:10.3390/vetsci12070612</w:t>
      </w:r>
    </w:p>
    <w:p>
      <w:pPr>
        <w:spacing w:before="238"/>
        <w:ind w:left="568" w:right="0" w:firstLine="0"/>
        <w:jc w:val="both"/>
        <w:rPr>
          <w:sz w:val="22"/>
        </w:rPr>
      </w:pPr>
      <w:r>
        <w:rPr>
          <w:sz w:val="22"/>
        </w:rPr>
        <w:t>Cardozo,</w:t>
      </w:r>
      <w:r>
        <w:rPr>
          <w:spacing w:val="3"/>
          <w:sz w:val="22"/>
        </w:rPr>
        <w:t> </w:t>
      </w:r>
      <w:r>
        <w:rPr>
          <w:sz w:val="22"/>
        </w:rPr>
        <w:t>H.</w:t>
      </w:r>
      <w:r>
        <w:rPr>
          <w:spacing w:val="1"/>
          <w:sz w:val="22"/>
        </w:rPr>
        <w:t> </w:t>
      </w:r>
      <w:r>
        <w:rPr>
          <w:sz w:val="22"/>
        </w:rPr>
        <w:t>G.,</w:t>
      </w:r>
      <w:r>
        <w:rPr>
          <w:spacing w:val="6"/>
          <w:sz w:val="22"/>
        </w:rPr>
        <w:t> </w:t>
      </w:r>
      <w:r>
        <w:rPr>
          <w:sz w:val="22"/>
        </w:rPr>
        <w:t>Monteiro,</w:t>
      </w:r>
      <w:r>
        <w:rPr>
          <w:spacing w:val="5"/>
          <w:sz w:val="22"/>
        </w:rPr>
        <w:t> </w:t>
      </w:r>
      <w:r>
        <w:rPr>
          <w:sz w:val="22"/>
        </w:rPr>
        <w:t>E.</w:t>
      </w:r>
      <w:r>
        <w:rPr>
          <w:spacing w:val="2"/>
          <w:sz w:val="22"/>
        </w:rPr>
        <w:t> </w:t>
      </w:r>
      <w:r>
        <w:rPr>
          <w:sz w:val="22"/>
        </w:rPr>
        <w:t>R.,</w:t>
      </w:r>
      <w:r>
        <w:rPr>
          <w:spacing w:val="1"/>
          <w:sz w:val="22"/>
        </w:rPr>
        <w:t> </w:t>
      </w:r>
      <w:r>
        <w:rPr>
          <w:sz w:val="22"/>
        </w:rPr>
        <w:t>Correia,</w:t>
      </w:r>
      <w:r>
        <w:rPr>
          <w:spacing w:val="6"/>
          <w:sz w:val="22"/>
        </w:rPr>
        <w:t> </w:t>
      </w:r>
      <w:r>
        <w:rPr>
          <w:sz w:val="22"/>
        </w:rPr>
        <w:t>B.</w:t>
      </w:r>
      <w:r>
        <w:rPr>
          <w:spacing w:val="5"/>
          <w:sz w:val="22"/>
        </w:rPr>
        <w:t> </w:t>
      </w:r>
      <w:r>
        <w:rPr>
          <w:sz w:val="22"/>
        </w:rPr>
        <w:t>S.,</w:t>
      </w:r>
      <w:r>
        <w:rPr>
          <w:spacing w:val="2"/>
          <w:sz w:val="22"/>
        </w:rPr>
        <w:t> </w:t>
      </w:r>
      <w:r>
        <w:rPr>
          <w:sz w:val="22"/>
        </w:rPr>
        <w:t>Victor,</w:t>
      </w:r>
      <w:r>
        <w:rPr>
          <w:spacing w:val="5"/>
          <w:sz w:val="22"/>
        </w:rPr>
        <w:t> </w:t>
      </w:r>
      <w:r>
        <w:rPr>
          <w:sz w:val="22"/>
        </w:rPr>
        <w:t>B.,</w:t>
      </w:r>
      <w:r>
        <w:rPr>
          <w:spacing w:val="2"/>
          <w:sz w:val="22"/>
        </w:rPr>
        <w:t> </w:t>
      </w:r>
      <w:r>
        <w:rPr>
          <w:sz w:val="22"/>
        </w:rPr>
        <w:t>Ferronato</w:t>
      </w:r>
      <w:r>
        <w:rPr>
          <w:spacing w:val="6"/>
          <w:sz w:val="22"/>
        </w:rPr>
        <w:t> </w:t>
      </w:r>
      <w:r>
        <w:rPr>
          <w:sz w:val="22"/>
        </w:rPr>
        <w:t>,</w:t>
      </w:r>
      <w:r>
        <w:rPr>
          <w:spacing w:val="5"/>
          <w:sz w:val="22"/>
        </w:rPr>
        <w:t> </w:t>
      </w:r>
      <w:r>
        <w:rPr>
          <w:sz w:val="22"/>
        </w:rPr>
        <w:t>J.,</w:t>
      </w:r>
      <w:r>
        <w:rPr>
          <w:spacing w:val="-5"/>
          <w:sz w:val="22"/>
        </w:rPr>
        <w:t> </w:t>
      </w:r>
      <w:r>
        <w:rPr>
          <w:sz w:val="22"/>
        </w:rPr>
        <w:t>Almeida-</w:t>
      </w:r>
      <w:r>
        <w:rPr>
          <w:spacing w:val="-2"/>
          <w:sz w:val="22"/>
        </w:rPr>
        <w:t>Filho,</w:t>
      </w:r>
    </w:p>
    <w:p>
      <w:pPr>
        <w:spacing w:line="360" w:lineRule="auto" w:before="127"/>
        <w:ind w:left="1288" w:right="137" w:firstLine="0"/>
        <w:jc w:val="both"/>
        <w:rPr>
          <w:sz w:val="22"/>
        </w:rPr>
      </w:pPr>
      <w:r>
        <w:rPr>
          <w:sz w:val="22"/>
        </w:rPr>
        <w:t>F. T., . . . Valle, S. F. (2024, 4 18). Influencia de las infusiones intravenosas de fentanilo o dexmedetomidina, combinadas con lidocaína y ketamina, en la respuesta</w:t>
      </w:r>
      <w:r>
        <w:rPr>
          <w:spacing w:val="-1"/>
          <w:sz w:val="22"/>
        </w:rPr>
        <w:t> </w:t>
      </w:r>
      <w:r>
        <w:rPr>
          <w:sz w:val="22"/>
        </w:rPr>
        <w:t>cardiovascular, la</w:t>
      </w:r>
      <w:r>
        <w:rPr>
          <w:spacing w:val="-1"/>
          <w:sz w:val="22"/>
        </w:rPr>
        <w:t> </w:t>
      </w:r>
      <w:r>
        <w:rPr>
          <w:sz w:val="22"/>
        </w:rPr>
        <w:t>necesidad de</w:t>
      </w:r>
      <w:r>
        <w:rPr>
          <w:spacing w:val="-1"/>
          <w:sz w:val="22"/>
        </w:rPr>
        <w:t> </w:t>
      </w:r>
      <w:r>
        <w:rPr>
          <w:sz w:val="22"/>
        </w:rPr>
        <w:t>sevoflurano y el</w:t>
      </w:r>
      <w:r>
        <w:rPr>
          <w:spacing w:val="-5"/>
          <w:sz w:val="22"/>
        </w:rPr>
        <w:t> </w:t>
      </w:r>
      <w:r>
        <w:rPr>
          <w:sz w:val="22"/>
        </w:rPr>
        <w:t>dolor</w:t>
      </w:r>
      <w:r>
        <w:rPr>
          <w:spacing w:val="-5"/>
          <w:sz w:val="22"/>
        </w:rPr>
        <w:t> </w:t>
      </w:r>
      <w:r>
        <w:rPr>
          <w:sz w:val="22"/>
        </w:rPr>
        <w:t>postoperatorio en perros</w:t>
      </w:r>
      <w:r>
        <w:rPr>
          <w:spacing w:val="-6"/>
          <w:sz w:val="22"/>
        </w:rPr>
        <w:t> </w:t>
      </w:r>
      <w:r>
        <w:rPr>
          <w:sz w:val="22"/>
        </w:rPr>
        <w:t>anestesiados</w:t>
      </w:r>
      <w:r>
        <w:rPr>
          <w:spacing w:val="-6"/>
          <w:sz w:val="22"/>
        </w:rPr>
        <w:t> </w:t>
      </w:r>
      <w:r>
        <w:rPr>
          <w:sz w:val="22"/>
        </w:rPr>
        <w:t>por</w:t>
      </w:r>
      <w:r>
        <w:rPr>
          <w:spacing w:val="-9"/>
          <w:sz w:val="22"/>
        </w:rPr>
        <w:t> </w:t>
      </w:r>
      <w:r>
        <w:rPr>
          <w:sz w:val="22"/>
        </w:rPr>
        <w:t>mastectomía</w:t>
      </w:r>
      <w:r>
        <w:rPr>
          <w:spacing w:val="-6"/>
          <w:sz w:val="22"/>
        </w:rPr>
        <w:t> </w:t>
      </w:r>
      <w:r>
        <w:rPr>
          <w:sz w:val="22"/>
        </w:rPr>
        <w:t>unilateral. </w:t>
      </w:r>
      <w:r>
        <w:rPr>
          <w:i/>
          <w:sz w:val="22"/>
        </w:rPr>
        <w:t>Elsevier</w:t>
      </w:r>
      <w:r>
        <w:rPr>
          <w:i/>
          <w:spacing w:val="-9"/>
          <w:sz w:val="22"/>
        </w:rPr>
        <w:t> </w:t>
      </w:r>
      <w:r>
        <w:rPr>
          <w:i/>
          <w:sz w:val="22"/>
        </w:rPr>
        <w:t>Análgama</w:t>
      </w:r>
      <w:r>
        <w:rPr>
          <w:i/>
          <w:spacing w:val="-7"/>
          <w:sz w:val="22"/>
        </w:rPr>
        <w:t> </w:t>
      </w:r>
      <w:r>
        <w:rPr>
          <w:i/>
          <w:sz w:val="22"/>
        </w:rPr>
        <w:t>Veterinaria</w:t>
      </w:r>
      <w:r>
        <w:rPr>
          <w:i/>
          <w:spacing w:val="-3"/>
          <w:sz w:val="22"/>
        </w:rPr>
        <w:t> </w:t>
      </w:r>
      <w:r>
        <w:rPr>
          <w:i/>
          <w:sz w:val="22"/>
        </w:rPr>
        <w:t>de Anestismo, 51</w:t>
      </w:r>
      <w:r>
        <w:rPr>
          <w:sz w:val="22"/>
        </w:rPr>
        <w:t>(4), 381-390. doi:10.1016/j.vaa.2024.04.006</w:t>
      </w:r>
    </w:p>
    <w:p>
      <w:pPr>
        <w:spacing w:line="360" w:lineRule="auto" w:before="243"/>
        <w:ind w:left="1288" w:right="141" w:hanging="721"/>
        <w:jc w:val="both"/>
        <w:rPr>
          <w:sz w:val="22"/>
        </w:rPr>
      </w:pPr>
      <w:r>
        <w:rPr>
          <w:sz w:val="22"/>
        </w:rPr>
        <w:t>Christie, K., Barnhard, J., Otto, C., &amp; Mallikarjun,</w:t>
      </w:r>
      <w:r>
        <w:rPr>
          <w:spacing w:val="-5"/>
          <w:sz w:val="22"/>
        </w:rPr>
        <w:t> </w:t>
      </w:r>
      <w:r>
        <w:rPr>
          <w:sz w:val="22"/>
        </w:rPr>
        <w:t>A. (2024). Interobserver variability of assessing</w:t>
      </w:r>
      <w:r>
        <w:rPr>
          <w:spacing w:val="-2"/>
          <w:sz w:val="22"/>
        </w:rPr>
        <w:t> </w:t>
      </w:r>
      <w:r>
        <w:rPr>
          <w:sz w:val="22"/>
        </w:rPr>
        <w:t>body</w:t>
      </w:r>
      <w:r>
        <w:rPr>
          <w:spacing w:val="-6"/>
          <w:sz w:val="22"/>
        </w:rPr>
        <w:t> </w:t>
      </w:r>
      <w:r>
        <w:rPr>
          <w:sz w:val="22"/>
        </w:rPr>
        <w:t>condition</w:t>
      </w:r>
      <w:r>
        <w:rPr>
          <w:spacing w:val="-2"/>
          <w:sz w:val="22"/>
        </w:rPr>
        <w:t> </w:t>
      </w:r>
      <w:r>
        <w:rPr>
          <w:sz w:val="22"/>
        </w:rPr>
        <w:t>scores</w:t>
      </w:r>
      <w:r>
        <w:rPr>
          <w:spacing w:val="-5"/>
          <w:sz w:val="22"/>
        </w:rPr>
        <w:t> </w:t>
      </w:r>
      <w:r>
        <w:rPr>
          <w:sz w:val="22"/>
        </w:rPr>
        <w:t>and</w:t>
      </w:r>
      <w:r>
        <w:rPr>
          <w:spacing w:val="-6"/>
          <w:sz w:val="22"/>
        </w:rPr>
        <w:t> </w:t>
      </w:r>
      <w:r>
        <w:rPr>
          <w:sz w:val="22"/>
        </w:rPr>
        <w:t>muscle</w:t>
      </w:r>
      <w:r>
        <w:rPr>
          <w:spacing w:val="-5"/>
          <w:sz w:val="22"/>
        </w:rPr>
        <w:t> </w:t>
      </w:r>
      <w:r>
        <w:rPr>
          <w:sz w:val="22"/>
        </w:rPr>
        <w:t>condition</w:t>
      </w:r>
      <w:r>
        <w:rPr>
          <w:spacing w:val="-2"/>
          <w:sz w:val="22"/>
        </w:rPr>
        <w:t> </w:t>
      </w:r>
      <w:r>
        <w:rPr>
          <w:sz w:val="22"/>
        </w:rPr>
        <w:t>scores</w:t>
      </w:r>
      <w:r>
        <w:rPr>
          <w:spacing w:val="-5"/>
          <w:sz w:val="22"/>
        </w:rPr>
        <w:t> </w:t>
      </w:r>
      <w:r>
        <w:rPr>
          <w:sz w:val="22"/>
        </w:rPr>
        <w:t>in</w:t>
      </w:r>
      <w:r>
        <w:rPr>
          <w:spacing w:val="-2"/>
          <w:sz w:val="22"/>
        </w:rPr>
        <w:t> </w:t>
      </w:r>
      <w:r>
        <w:rPr>
          <w:sz w:val="22"/>
        </w:rPr>
        <w:t>a</w:t>
      </w:r>
      <w:r>
        <w:rPr>
          <w:spacing w:val="-9"/>
          <w:sz w:val="22"/>
        </w:rPr>
        <w:t> </w:t>
      </w:r>
      <w:r>
        <w:rPr>
          <w:sz w:val="22"/>
        </w:rPr>
        <w:t>population</w:t>
      </w:r>
      <w:r>
        <w:rPr>
          <w:spacing w:val="-6"/>
          <w:sz w:val="22"/>
        </w:rPr>
        <w:t> </w:t>
      </w:r>
      <w:r>
        <w:rPr>
          <w:sz w:val="22"/>
        </w:rPr>
        <w:t>of</w:t>
      </w:r>
      <w:r>
        <w:rPr>
          <w:spacing w:val="-9"/>
          <w:sz w:val="22"/>
        </w:rPr>
        <w:t> </w:t>
      </w:r>
      <w:r>
        <w:rPr>
          <w:sz w:val="22"/>
        </w:rPr>
        <w:t>43 active working explosive detection dogs. </w:t>
      </w:r>
      <w:r>
        <w:rPr>
          <w:i/>
          <w:sz w:val="22"/>
        </w:rPr>
        <w:t>Frontiers in Veterinary Science</w:t>
      </w:r>
      <w:r>
        <w:rPr>
          <w:sz w:val="22"/>
        </w:rPr>
        <w:t>. </w:t>
      </w:r>
      <w:r>
        <w:rPr>
          <w:spacing w:val="-2"/>
          <w:sz w:val="22"/>
        </w:rPr>
        <w:t>doi:</w:t>
      </w:r>
      <w:hyperlink r:id="rId27">
        <w:r>
          <w:rPr>
            <w:spacing w:val="-2"/>
            <w:sz w:val="22"/>
          </w:rPr>
          <w:t>https://doi.org/10.3389/fvets.2024.1431855</w:t>
        </w:r>
      </w:hyperlink>
    </w:p>
    <w:p>
      <w:pPr>
        <w:spacing w:line="360" w:lineRule="auto" w:before="238"/>
        <w:ind w:left="1288" w:right="140" w:hanging="721"/>
        <w:jc w:val="both"/>
        <w:rPr>
          <w:sz w:val="22"/>
        </w:rPr>
      </w:pPr>
      <w:r>
        <w:rPr>
          <w:sz w:val="22"/>
        </w:rPr>
        <w:t>de</w:t>
      </w:r>
      <w:r>
        <w:rPr>
          <w:spacing w:val="-2"/>
          <w:sz w:val="22"/>
        </w:rPr>
        <w:t> </w:t>
      </w:r>
      <w:r>
        <w:rPr>
          <w:sz w:val="22"/>
        </w:rPr>
        <w:t>Sant’Ana,</w:t>
      </w:r>
      <w:r>
        <w:rPr>
          <w:spacing w:val="-3"/>
          <w:sz w:val="22"/>
        </w:rPr>
        <w:t> </w:t>
      </w:r>
      <w:r>
        <w:rPr>
          <w:sz w:val="22"/>
        </w:rPr>
        <w:t>L.,</w:t>
      </w:r>
      <w:r>
        <w:rPr>
          <w:spacing w:val="-14"/>
          <w:sz w:val="22"/>
        </w:rPr>
        <w:t> </w:t>
      </w:r>
      <w:r>
        <w:rPr>
          <w:sz w:val="22"/>
        </w:rPr>
        <w:t>Arcoverde, K.,</w:t>
      </w:r>
      <w:r>
        <w:rPr>
          <w:spacing w:val="-3"/>
          <w:sz w:val="22"/>
        </w:rPr>
        <w:t> </w:t>
      </w:r>
      <w:r>
        <w:rPr>
          <w:sz w:val="22"/>
        </w:rPr>
        <w:t>de</w:t>
      </w:r>
      <w:r>
        <w:rPr>
          <w:spacing w:val="-1"/>
          <w:sz w:val="22"/>
        </w:rPr>
        <w:t> </w:t>
      </w:r>
      <w:r>
        <w:rPr>
          <w:sz w:val="22"/>
        </w:rPr>
        <w:t>Oliveira,</w:t>
      </w:r>
      <w:r>
        <w:rPr>
          <w:spacing w:val="-3"/>
          <w:sz w:val="22"/>
        </w:rPr>
        <w:t> </w:t>
      </w:r>
      <w:r>
        <w:rPr>
          <w:sz w:val="22"/>
        </w:rPr>
        <w:t>C.,</w:t>
      </w:r>
      <w:r>
        <w:rPr>
          <w:spacing w:val="-3"/>
          <w:sz w:val="22"/>
        </w:rPr>
        <w:t> </w:t>
      </w:r>
      <w:r>
        <w:rPr>
          <w:sz w:val="22"/>
        </w:rPr>
        <w:t>Cavalcante, J.,</w:t>
      </w:r>
      <w:r>
        <w:rPr>
          <w:spacing w:val="-11"/>
          <w:sz w:val="22"/>
        </w:rPr>
        <w:t> </w:t>
      </w:r>
      <w:r>
        <w:rPr>
          <w:sz w:val="22"/>
        </w:rPr>
        <w:t>Araújo,</w:t>
      </w:r>
      <w:r>
        <w:rPr>
          <w:spacing w:val="-3"/>
          <w:sz w:val="22"/>
        </w:rPr>
        <w:t> </w:t>
      </w:r>
      <w:r>
        <w:rPr>
          <w:sz w:val="22"/>
        </w:rPr>
        <w:t>G., &amp;</w:t>
      </w:r>
      <w:r>
        <w:rPr>
          <w:spacing w:val="-7"/>
          <w:sz w:val="22"/>
        </w:rPr>
        <w:t> </w:t>
      </w:r>
      <w:r>
        <w:rPr>
          <w:sz w:val="22"/>
        </w:rPr>
        <w:t>de</w:t>
      </w:r>
      <w:r>
        <w:rPr>
          <w:spacing w:val="-1"/>
          <w:sz w:val="22"/>
        </w:rPr>
        <w:t> </w:t>
      </w:r>
      <w:r>
        <w:rPr>
          <w:sz w:val="22"/>
        </w:rPr>
        <w:t>Paula,</w:t>
      </w:r>
      <w:r>
        <w:rPr>
          <w:spacing w:val="-7"/>
          <w:sz w:val="22"/>
        </w:rPr>
        <w:t> </w:t>
      </w:r>
      <w:r>
        <w:rPr>
          <w:sz w:val="22"/>
        </w:rPr>
        <w:t>V. (2024). Pharmacokinetics and pharmacodynamics of intravenous dexmedetomidine (2 μg∙kg−1) in dogs. Retrieved from </w:t>
      </w:r>
      <w:hyperlink r:id="rId28">
        <w:r>
          <w:rPr>
            <w:spacing w:val="-2"/>
            <w:sz w:val="22"/>
          </w:rPr>
          <w:t>https://www.sciencedirect.com/science/article/abs/pii/S003452882400095X?via</w:t>
        </w:r>
      </w:hyperlink>
    </w:p>
    <w:p>
      <w:pPr>
        <w:spacing w:before="3"/>
        <w:ind w:left="1288" w:right="0" w:firstLine="0"/>
        <w:jc w:val="left"/>
        <w:rPr>
          <w:sz w:val="22"/>
        </w:rPr>
      </w:pPr>
      <w:r>
        <w:rPr>
          <w:spacing w:val="-2"/>
          <w:sz w:val="22"/>
        </w:rPr>
        <w:t>%3Dihub</w:t>
      </w:r>
    </w:p>
    <w:p>
      <w:pPr>
        <w:pStyle w:val="BodyText"/>
        <w:spacing w:before="110"/>
        <w:rPr>
          <w:sz w:val="22"/>
        </w:rPr>
      </w:pPr>
    </w:p>
    <w:p>
      <w:pPr>
        <w:spacing w:line="360" w:lineRule="auto" w:before="0"/>
        <w:ind w:left="1288" w:right="134" w:hanging="721"/>
        <w:jc w:val="both"/>
        <w:rPr>
          <w:sz w:val="22"/>
        </w:rPr>
      </w:pPr>
      <w:r>
        <w:rPr>
          <w:sz w:val="22"/>
        </w:rPr>
        <w:t>de Sant'Ana Alves, L., Arcoverde, K. N., de Oliveira, C. A., Cavalcante, J. M., Araújo-Silva, G., &amp; de Paula, V. (2024, 5 15). Farmacocinética y farmacodinámica de la</w:t>
      </w:r>
    </w:p>
    <w:p>
      <w:pPr>
        <w:spacing w:after="0" w:line="360" w:lineRule="auto"/>
        <w:jc w:val="both"/>
        <w:rPr>
          <w:sz w:val="22"/>
        </w:rPr>
        <w:sectPr>
          <w:pgSz w:w="11910" w:h="16840"/>
          <w:pgMar w:header="0" w:footer="1038" w:top="1620" w:bottom="1220" w:left="1700" w:right="1559"/>
        </w:sectPr>
      </w:pPr>
    </w:p>
    <w:p>
      <w:pPr>
        <w:spacing w:line="360" w:lineRule="auto" w:before="63"/>
        <w:ind w:left="1288" w:right="0" w:firstLine="0"/>
        <w:jc w:val="left"/>
        <w:rPr>
          <w:sz w:val="22"/>
        </w:rPr>
      </w:pPr>
      <w:r>
        <w:rPr>
          <w:sz w:val="22"/>
        </w:rPr>
        <w:t>dexmedetomidina</w:t>
      </w:r>
      <w:r>
        <w:rPr>
          <w:spacing w:val="30"/>
          <w:sz w:val="22"/>
        </w:rPr>
        <w:t> </w:t>
      </w:r>
      <w:r>
        <w:rPr>
          <w:sz w:val="22"/>
        </w:rPr>
        <w:t>intravenosa</w:t>
      </w:r>
      <w:r>
        <w:rPr>
          <w:spacing w:val="30"/>
          <w:sz w:val="22"/>
        </w:rPr>
        <w:t> </w:t>
      </w:r>
      <w:r>
        <w:rPr>
          <w:sz w:val="22"/>
        </w:rPr>
        <w:t>(2</w:t>
      </w:r>
      <w:r>
        <w:rPr>
          <w:spacing w:val="38"/>
          <w:sz w:val="22"/>
        </w:rPr>
        <w:t> </w:t>
      </w:r>
      <w:r>
        <w:rPr>
          <w:sz w:val="22"/>
        </w:rPr>
        <w:t>μg∙kg-1)</w:t>
      </w:r>
      <w:r>
        <w:rPr>
          <w:spacing w:val="30"/>
          <w:sz w:val="22"/>
        </w:rPr>
        <w:t> </w:t>
      </w:r>
      <w:r>
        <w:rPr>
          <w:sz w:val="22"/>
        </w:rPr>
        <w:t>en</w:t>
      </w:r>
      <w:r>
        <w:rPr>
          <w:spacing w:val="33"/>
          <w:sz w:val="22"/>
        </w:rPr>
        <w:t> </w:t>
      </w:r>
      <w:r>
        <w:rPr>
          <w:sz w:val="22"/>
        </w:rPr>
        <w:t>perros.</w:t>
      </w:r>
      <w:r>
        <w:rPr>
          <w:spacing w:val="35"/>
          <w:sz w:val="22"/>
        </w:rPr>
        <w:t> </w:t>
      </w:r>
      <w:r>
        <w:rPr>
          <w:i/>
          <w:sz w:val="22"/>
        </w:rPr>
        <w:t>Ciencia</w:t>
      </w:r>
      <w:r>
        <w:rPr>
          <w:i/>
          <w:spacing w:val="33"/>
          <w:sz w:val="22"/>
        </w:rPr>
        <w:t> </w:t>
      </w:r>
      <w:r>
        <w:rPr>
          <w:i/>
          <w:sz w:val="22"/>
        </w:rPr>
        <w:t>veterinaria</w:t>
      </w:r>
      <w:r>
        <w:rPr>
          <w:i/>
          <w:spacing w:val="33"/>
          <w:sz w:val="22"/>
        </w:rPr>
        <w:t> </w:t>
      </w:r>
      <w:r>
        <w:rPr>
          <w:i/>
          <w:sz w:val="22"/>
        </w:rPr>
        <w:t>de</w:t>
      </w:r>
      <w:r>
        <w:rPr>
          <w:i/>
          <w:spacing w:val="30"/>
          <w:sz w:val="22"/>
        </w:rPr>
        <w:t> </w:t>
      </w:r>
      <w:r>
        <w:rPr>
          <w:i/>
          <w:sz w:val="22"/>
        </w:rPr>
        <w:t>la reserva , 171:105229</w:t>
      </w:r>
      <w:r>
        <w:rPr>
          <w:sz w:val="22"/>
        </w:rPr>
        <w:t>. doi:10.1016/j.rvsc.2024.105229.</w:t>
      </w:r>
    </w:p>
    <w:p>
      <w:pPr>
        <w:spacing w:line="360" w:lineRule="auto" w:before="241"/>
        <w:ind w:left="1288" w:right="137" w:hanging="721"/>
        <w:jc w:val="both"/>
        <w:rPr>
          <w:sz w:val="22"/>
        </w:rPr>
      </w:pPr>
      <w:r>
        <w:rPr>
          <w:sz w:val="22"/>
        </w:rPr>
        <w:t>Di Franco, C., Evangelista, F., &amp; Briganti, A. (2023, 6 4). Usos múltiples de la dexmedetomidina en animales pequeños: una mini revisión. (C. Sandersen, Ed.) </w:t>
      </w:r>
      <w:r>
        <w:rPr>
          <w:i/>
          <w:sz w:val="22"/>
        </w:rPr>
        <w:t>Frontiers in Veterinary Science, 10</w:t>
      </w:r>
      <w:r>
        <w:rPr>
          <w:sz w:val="22"/>
        </w:rPr>
        <w:t>. doi:10.3389/fvets.2023.1135124</w:t>
      </w:r>
    </w:p>
    <w:p>
      <w:pPr>
        <w:spacing w:line="357" w:lineRule="auto" w:before="242"/>
        <w:ind w:left="1288" w:right="144" w:hanging="721"/>
        <w:jc w:val="both"/>
        <w:rPr>
          <w:sz w:val="22"/>
        </w:rPr>
      </w:pPr>
      <w:r>
        <w:rPr>
          <w:sz w:val="22"/>
        </w:rPr>
        <w:t>Di</w:t>
      </w:r>
      <w:r>
        <w:rPr>
          <w:spacing w:val="-7"/>
          <w:sz w:val="22"/>
        </w:rPr>
        <w:t> </w:t>
      </w:r>
      <w:r>
        <w:rPr>
          <w:sz w:val="22"/>
        </w:rPr>
        <w:t>Franco,</w:t>
      </w:r>
      <w:r>
        <w:rPr>
          <w:spacing w:val="-4"/>
          <w:sz w:val="22"/>
        </w:rPr>
        <w:t> </w:t>
      </w:r>
      <w:r>
        <w:rPr>
          <w:sz w:val="22"/>
        </w:rPr>
        <w:t>C.,</w:t>
      </w:r>
      <w:r>
        <w:rPr>
          <w:spacing w:val="-4"/>
          <w:sz w:val="22"/>
        </w:rPr>
        <w:t> </w:t>
      </w:r>
      <w:r>
        <w:rPr>
          <w:sz w:val="22"/>
        </w:rPr>
        <w:t>Nocera,</w:t>
      </w:r>
      <w:r>
        <w:rPr>
          <w:spacing w:val="-4"/>
          <w:sz w:val="22"/>
        </w:rPr>
        <w:t> </w:t>
      </w:r>
      <w:r>
        <w:rPr>
          <w:sz w:val="22"/>
        </w:rPr>
        <w:t>I.,</w:t>
      </w:r>
      <w:r>
        <w:rPr>
          <w:spacing w:val="-4"/>
          <w:sz w:val="22"/>
        </w:rPr>
        <w:t> </w:t>
      </w:r>
      <w:r>
        <w:rPr>
          <w:sz w:val="22"/>
        </w:rPr>
        <w:t>Melanie,</w:t>
      </w:r>
      <w:r>
        <w:rPr>
          <w:spacing w:val="-4"/>
          <w:sz w:val="22"/>
        </w:rPr>
        <w:t> </w:t>
      </w:r>
      <w:r>
        <w:rPr>
          <w:sz w:val="22"/>
        </w:rPr>
        <w:t>P.,</w:t>
      </w:r>
      <w:r>
        <w:rPr>
          <w:spacing w:val="-4"/>
          <w:sz w:val="22"/>
        </w:rPr>
        <w:t> </w:t>
      </w:r>
      <w:r>
        <w:rPr>
          <w:sz w:val="22"/>
        </w:rPr>
        <w:t>&amp;</w:t>
      </w:r>
      <w:r>
        <w:rPr>
          <w:spacing w:val="-4"/>
          <w:sz w:val="22"/>
        </w:rPr>
        <w:t> </w:t>
      </w:r>
      <w:r>
        <w:rPr>
          <w:sz w:val="22"/>
        </w:rPr>
        <w:t>Briganti,</w:t>
      </w:r>
      <w:r>
        <w:rPr>
          <w:spacing w:val="-14"/>
          <w:sz w:val="22"/>
        </w:rPr>
        <w:t> </w:t>
      </w:r>
      <w:r>
        <w:rPr>
          <w:sz w:val="22"/>
        </w:rPr>
        <w:t>A.</w:t>
      </w:r>
      <w:r>
        <w:rPr>
          <w:spacing w:val="-4"/>
          <w:sz w:val="22"/>
        </w:rPr>
        <w:t> </w:t>
      </w:r>
      <w:r>
        <w:rPr>
          <w:sz w:val="22"/>
        </w:rPr>
        <w:t>(2024,</w:t>
      </w:r>
      <w:r>
        <w:rPr>
          <w:spacing w:val="-4"/>
          <w:sz w:val="22"/>
        </w:rPr>
        <w:t> </w:t>
      </w:r>
      <w:r>
        <w:rPr>
          <w:sz w:val="22"/>
        </w:rPr>
        <w:t>5</w:t>
      </w:r>
      <w:r>
        <w:rPr>
          <w:spacing w:val="-7"/>
          <w:sz w:val="22"/>
        </w:rPr>
        <w:t> </w:t>
      </w:r>
      <w:r>
        <w:rPr>
          <w:sz w:val="22"/>
        </w:rPr>
        <w:t>5). Evaluación</w:t>
      </w:r>
      <w:r>
        <w:rPr>
          <w:spacing w:val="-7"/>
          <w:sz w:val="22"/>
        </w:rPr>
        <w:t> </w:t>
      </w:r>
      <w:r>
        <w:rPr>
          <w:sz w:val="22"/>
        </w:rPr>
        <w:t>de</w:t>
      </w:r>
      <w:r>
        <w:rPr>
          <w:spacing w:val="-6"/>
          <w:sz w:val="22"/>
        </w:rPr>
        <w:t> </w:t>
      </w:r>
      <w:r>
        <w:rPr>
          <w:sz w:val="22"/>
        </w:rPr>
        <w:t>la</w:t>
      </w:r>
      <w:r>
        <w:rPr>
          <w:spacing w:val="-6"/>
          <w:sz w:val="22"/>
        </w:rPr>
        <w:t> </w:t>
      </w:r>
      <w:r>
        <w:rPr>
          <w:sz w:val="22"/>
        </w:rPr>
        <w:t>calidad de</w:t>
      </w:r>
      <w:r>
        <w:rPr>
          <w:spacing w:val="-5"/>
          <w:sz w:val="22"/>
        </w:rPr>
        <w:t> </w:t>
      </w:r>
      <w:r>
        <w:rPr>
          <w:sz w:val="22"/>
        </w:rPr>
        <w:t>la</w:t>
      </w:r>
      <w:r>
        <w:rPr>
          <w:spacing w:val="-5"/>
          <w:sz w:val="22"/>
        </w:rPr>
        <w:t> </w:t>
      </w:r>
      <w:r>
        <w:rPr>
          <w:sz w:val="22"/>
        </w:rPr>
        <w:t>recuperación</w:t>
      </w:r>
      <w:r>
        <w:rPr>
          <w:spacing w:val="-2"/>
          <w:sz w:val="22"/>
        </w:rPr>
        <w:t> </w:t>
      </w:r>
      <w:r>
        <w:rPr>
          <w:sz w:val="22"/>
        </w:rPr>
        <w:t>de</w:t>
      </w:r>
      <w:r>
        <w:rPr>
          <w:spacing w:val="-5"/>
          <w:sz w:val="22"/>
        </w:rPr>
        <w:t> </w:t>
      </w:r>
      <w:r>
        <w:rPr>
          <w:sz w:val="22"/>
        </w:rPr>
        <w:t>anestesia</w:t>
      </w:r>
      <w:r>
        <w:rPr>
          <w:spacing w:val="-5"/>
          <w:sz w:val="22"/>
        </w:rPr>
        <w:t> </w:t>
      </w:r>
      <w:r>
        <w:rPr>
          <w:sz w:val="22"/>
        </w:rPr>
        <w:t>general</w:t>
      </w:r>
      <w:r>
        <w:rPr>
          <w:spacing w:val="-5"/>
          <w:sz w:val="22"/>
        </w:rPr>
        <w:t> </w:t>
      </w:r>
      <w:r>
        <w:rPr>
          <w:sz w:val="22"/>
        </w:rPr>
        <w:t>en</w:t>
      </w:r>
      <w:r>
        <w:rPr>
          <w:spacing w:val="-2"/>
          <w:sz w:val="22"/>
        </w:rPr>
        <w:t> </w:t>
      </w:r>
      <w:r>
        <w:rPr>
          <w:sz w:val="22"/>
        </w:rPr>
        <w:t>perros</w:t>
      </w:r>
      <w:r>
        <w:rPr>
          <w:spacing w:val="-5"/>
          <w:sz w:val="22"/>
        </w:rPr>
        <w:t> </w:t>
      </w:r>
      <w:r>
        <w:rPr>
          <w:sz w:val="22"/>
        </w:rPr>
        <w:t>con</w:t>
      </w:r>
      <w:r>
        <w:rPr>
          <w:spacing w:val="-5"/>
          <w:sz w:val="22"/>
        </w:rPr>
        <w:t> </w:t>
      </w:r>
      <w:r>
        <w:rPr>
          <w:sz w:val="22"/>
        </w:rPr>
        <w:t>dos</w:t>
      </w:r>
      <w:r>
        <w:rPr>
          <w:spacing w:val="-5"/>
          <w:sz w:val="22"/>
        </w:rPr>
        <w:t> </w:t>
      </w:r>
      <w:r>
        <w:rPr>
          <w:sz w:val="22"/>
        </w:rPr>
        <w:t>dosis</w:t>
      </w:r>
      <w:r>
        <w:rPr>
          <w:spacing w:val="-5"/>
          <w:sz w:val="22"/>
        </w:rPr>
        <w:t> </w:t>
      </w:r>
      <w:r>
        <w:rPr>
          <w:sz w:val="22"/>
        </w:rPr>
        <w:t>bajas</w:t>
      </w:r>
      <w:r>
        <w:rPr>
          <w:spacing w:val="-5"/>
          <w:sz w:val="22"/>
        </w:rPr>
        <w:t> </w:t>
      </w:r>
      <w:r>
        <w:rPr>
          <w:sz w:val="22"/>
        </w:rPr>
        <w:t>diferentes</w:t>
      </w:r>
      <w:r>
        <w:rPr>
          <w:spacing w:val="-5"/>
          <w:sz w:val="22"/>
        </w:rPr>
        <w:t> </w:t>
      </w:r>
      <w:r>
        <w:rPr>
          <w:sz w:val="22"/>
        </w:rPr>
        <w:t>de dexmedetomidina. </w:t>
      </w:r>
      <w:r>
        <w:rPr>
          <w:i/>
          <w:sz w:val="22"/>
        </w:rPr>
        <w:t>Animales (Basilea), 14</w:t>
      </w:r>
      <w:r>
        <w:rPr>
          <w:sz w:val="22"/>
        </w:rPr>
        <w:t>(9), 1383. doi:10.3390/ani14091383</w:t>
      </w:r>
    </w:p>
    <w:p>
      <w:pPr>
        <w:spacing w:before="246"/>
        <w:ind w:left="568" w:right="0" w:firstLine="0"/>
        <w:jc w:val="left"/>
        <w:rPr>
          <w:sz w:val="22"/>
        </w:rPr>
      </w:pPr>
      <w:r>
        <w:rPr>
          <w:sz w:val="22"/>
        </w:rPr>
        <w:t>Duarte-Medrano</w:t>
      </w:r>
      <w:r>
        <w:rPr>
          <w:spacing w:val="18"/>
          <w:sz w:val="22"/>
        </w:rPr>
        <w:t> </w:t>
      </w:r>
      <w:r>
        <w:rPr>
          <w:sz w:val="22"/>
        </w:rPr>
        <w:t>MD,</w:t>
      </w:r>
      <w:r>
        <w:rPr>
          <w:spacing w:val="19"/>
          <w:sz w:val="22"/>
        </w:rPr>
        <w:t> </w:t>
      </w:r>
      <w:r>
        <w:rPr>
          <w:sz w:val="22"/>
        </w:rPr>
        <w:t>G.</w:t>
      </w:r>
      <w:r>
        <w:rPr>
          <w:spacing w:val="19"/>
          <w:sz w:val="22"/>
        </w:rPr>
        <w:t> </w:t>
      </w:r>
      <w:r>
        <w:rPr>
          <w:sz w:val="22"/>
        </w:rPr>
        <w:t>(2022).</w:t>
      </w:r>
      <w:r>
        <w:rPr>
          <w:spacing w:val="19"/>
          <w:sz w:val="22"/>
        </w:rPr>
        <w:t> </w:t>
      </w:r>
      <w:r>
        <w:rPr>
          <w:sz w:val="22"/>
        </w:rPr>
        <w:t>Dexmedetomidina,</w:t>
      </w:r>
      <w:r>
        <w:rPr>
          <w:spacing w:val="20"/>
          <w:sz w:val="22"/>
        </w:rPr>
        <w:t> </w:t>
      </w:r>
      <w:r>
        <w:rPr>
          <w:sz w:val="22"/>
        </w:rPr>
        <w:t>tendencias</w:t>
      </w:r>
      <w:r>
        <w:rPr>
          <w:spacing w:val="17"/>
          <w:sz w:val="22"/>
        </w:rPr>
        <w:t> </w:t>
      </w:r>
      <w:r>
        <w:rPr>
          <w:sz w:val="22"/>
        </w:rPr>
        <w:t>y</w:t>
      </w:r>
      <w:r>
        <w:rPr>
          <w:spacing w:val="20"/>
          <w:sz w:val="22"/>
        </w:rPr>
        <w:t> </w:t>
      </w:r>
      <w:r>
        <w:rPr>
          <w:sz w:val="22"/>
        </w:rPr>
        <w:t>actuales</w:t>
      </w:r>
      <w:r>
        <w:rPr>
          <w:spacing w:val="18"/>
          <w:sz w:val="22"/>
        </w:rPr>
        <w:t> </w:t>
      </w:r>
      <w:r>
        <w:rPr>
          <w:spacing w:val="-2"/>
          <w:sz w:val="22"/>
        </w:rPr>
        <w:t>aplicaciones.</w:t>
      </w:r>
    </w:p>
    <w:p>
      <w:pPr>
        <w:tabs>
          <w:tab w:pos="2676" w:val="left" w:leader="none"/>
          <w:tab w:pos="4119" w:val="left" w:leader="none"/>
          <w:tab w:pos="5062" w:val="left" w:leader="none"/>
          <w:tab w:pos="6697" w:val="left" w:leader="none"/>
          <w:tab w:pos="7722" w:val="left" w:leader="none"/>
        </w:tabs>
        <w:spacing w:line="360" w:lineRule="auto" w:before="127"/>
        <w:ind w:left="1288" w:right="137" w:firstLine="0"/>
        <w:jc w:val="left"/>
        <w:rPr>
          <w:sz w:val="22"/>
        </w:rPr>
      </w:pPr>
      <w:r>
        <w:rPr>
          <w:i/>
          <w:spacing w:val="-2"/>
          <w:sz w:val="22"/>
        </w:rPr>
        <w:t>Revista</w:t>
      </w:r>
      <w:r>
        <w:rPr>
          <w:i/>
          <w:sz w:val="22"/>
        </w:rPr>
        <w:tab/>
      </w:r>
      <w:r>
        <w:rPr>
          <w:i/>
          <w:spacing w:val="-2"/>
          <w:sz w:val="22"/>
        </w:rPr>
        <w:t>Chilena</w:t>
      </w:r>
      <w:r>
        <w:rPr>
          <w:i/>
          <w:sz w:val="22"/>
        </w:rPr>
        <w:tab/>
      </w:r>
      <w:r>
        <w:rPr>
          <w:i/>
          <w:spacing w:val="-6"/>
          <w:sz w:val="22"/>
        </w:rPr>
        <w:t>de</w:t>
      </w:r>
      <w:r>
        <w:rPr>
          <w:i/>
          <w:sz w:val="22"/>
        </w:rPr>
        <w:tab/>
      </w:r>
      <w:r>
        <w:rPr>
          <w:i/>
          <w:spacing w:val="-2"/>
          <w:sz w:val="22"/>
        </w:rPr>
        <w:t>Anestesia,</w:t>
      </w:r>
      <w:r>
        <w:rPr>
          <w:i/>
          <w:sz w:val="22"/>
        </w:rPr>
        <w:tab/>
      </w:r>
      <w:r>
        <w:rPr>
          <w:i/>
          <w:spacing w:val="-4"/>
          <w:sz w:val="22"/>
        </w:rPr>
        <w:t>51</w:t>
      </w:r>
      <w:r>
        <w:rPr>
          <w:spacing w:val="-4"/>
          <w:sz w:val="22"/>
        </w:rPr>
        <w:t>,</w:t>
      </w:r>
      <w:r>
        <w:rPr>
          <w:sz w:val="22"/>
        </w:rPr>
        <w:tab/>
      </w:r>
      <w:r>
        <w:rPr>
          <w:spacing w:val="-2"/>
          <w:sz w:val="22"/>
        </w:rPr>
        <w:t>265-</w:t>
      </w:r>
      <w:r>
        <w:rPr>
          <w:spacing w:val="-2"/>
          <w:sz w:val="22"/>
        </w:rPr>
        <w:t>272. doi:10.25237/revchilanestv5115031153</w:t>
      </w:r>
    </w:p>
    <w:p>
      <w:pPr>
        <w:spacing w:line="360" w:lineRule="auto" w:before="241"/>
        <w:ind w:left="1288" w:right="141" w:hanging="721"/>
        <w:jc w:val="left"/>
        <w:rPr>
          <w:sz w:val="22"/>
        </w:rPr>
      </w:pPr>
      <w:r>
        <w:rPr>
          <w:sz w:val="22"/>
        </w:rPr>
        <w:t>Dugdale,</w:t>
      </w:r>
      <w:r>
        <w:rPr>
          <w:spacing w:val="40"/>
          <w:sz w:val="22"/>
        </w:rPr>
        <w:t> </w:t>
      </w:r>
      <w:r>
        <w:rPr>
          <w:sz w:val="22"/>
        </w:rPr>
        <w:t>A.,</w:t>
      </w:r>
      <w:r>
        <w:rPr>
          <w:spacing w:val="80"/>
          <w:sz w:val="22"/>
        </w:rPr>
        <w:t> </w:t>
      </w:r>
      <w:r>
        <w:rPr>
          <w:sz w:val="22"/>
        </w:rPr>
        <w:t>Beaumont,</w:t>
      </w:r>
      <w:r>
        <w:rPr>
          <w:spacing w:val="80"/>
          <w:sz w:val="22"/>
        </w:rPr>
        <w:t> </w:t>
      </w:r>
      <w:r>
        <w:rPr>
          <w:sz w:val="22"/>
        </w:rPr>
        <w:t>G.,</w:t>
      </w:r>
      <w:r>
        <w:rPr>
          <w:spacing w:val="79"/>
          <w:sz w:val="22"/>
        </w:rPr>
        <w:t> </w:t>
      </w:r>
      <w:r>
        <w:rPr>
          <w:sz w:val="22"/>
        </w:rPr>
        <w:t>Bradbrook,</w:t>
      </w:r>
      <w:r>
        <w:rPr>
          <w:spacing w:val="75"/>
          <w:sz w:val="22"/>
        </w:rPr>
        <w:t> </w:t>
      </w:r>
      <w:r>
        <w:rPr>
          <w:sz w:val="22"/>
        </w:rPr>
        <w:t>C.,</w:t>
      </w:r>
      <w:r>
        <w:rPr>
          <w:spacing w:val="80"/>
          <w:sz w:val="22"/>
        </w:rPr>
        <w:t> </w:t>
      </w:r>
      <w:r>
        <w:rPr>
          <w:sz w:val="22"/>
        </w:rPr>
        <w:t>&amp;</w:t>
      </w:r>
      <w:r>
        <w:rPr>
          <w:spacing w:val="79"/>
          <w:sz w:val="22"/>
        </w:rPr>
        <w:t> </w:t>
      </w:r>
      <w:r>
        <w:rPr>
          <w:sz w:val="22"/>
        </w:rPr>
        <w:t>Bradbrook,</w:t>
      </w:r>
      <w:r>
        <w:rPr>
          <w:spacing w:val="80"/>
          <w:sz w:val="22"/>
        </w:rPr>
        <w:t> </w:t>
      </w:r>
      <w:r>
        <w:rPr>
          <w:sz w:val="22"/>
        </w:rPr>
        <w:t>M.</w:t>
      </w:r>
      <w:r>
        <w:rPr>
          <w:spacing w:val="80"/>
          <w:sz w:val="22"/>
        </w:rPr>
        <w:t> </w:t>
      </w:r>
      <w:r>
        <w:rPr>
          <w:sz w:val="22"/>
        </w:rPr>
        <w:t>(2020).</w:t>
      </w:r>
      <w:r>
        <w:rPr>
          <w:spacing w:val="80"/>
          <w:sz w:val="22"/>
        </w:rPr>
        <w:t> </w:t>
      </w:r>
      <w:r>
        <w:rPr>
          <w:i/>
          <w:sz w:val="22"/>
        </w:rPr>
        <w:t>Veterinary Anaesthesia:</w:t>
      </w:r>
      <w:r>
        <w:rPr>
          <w:i/>
          <w:spacing w:val="-13"/>
          <w:sz w:val="22"/>
        </w:rPr>
        <w:t> </w:t>
      </w:r>
      <w:r>
        <w:rPr>
          <w:i/>
          <w:sz w:val="22"/>
        </w:rPr>
        <w:t>Principles</w:t>
      </w:r>
      <w:r>
        <w:rPr>
          <w:i/>
          <w:spacing w:val="-13"/>
          <w:sz w:val="22"/>
        </w:rPr>
        <w:t> </w:t>
      </w:r>
      <w:r>
        <w:rPr>
          <w:i/>
          <w:sz w:val="22"/>
        </w:rPr>
        <w:t>to</w:t>
      </w:r>
      <w:r>
        <w:rPr>
          <w:i/>
          <w:spacing w:val="-14"/>
          <w:sz w:val="22"/>
        </w:rPr>
        <w:t> </w:t>
      </w:r>
      <w:r>
        <w:rPr>
          <w:i/>
          <w:sz w:val="22"/>
        </w:rPr>
        <w:t>Practice</w:t>
      </w:r>
      <w:r>
        <w:rPr>
          <w:i/>
          <w:spacing w:val="-9"/>
          <w:sz w:val="22"/>
        </w:rPr>
        <w:t> </w:t>
      </w:r>
      <w:r>
        <w:rPr>
          <w:sz w:val="22"/>
        </w:rPr>
        <w:t>(éd.</w:t>
      </w:r>
      <w:r>
        <w:rPr>
          <w:spacing w:val="-11"/>
          <w:sz w:val="22"/>
        </w:rPr>
        <w:t> </w:t>
      </w:r>
      <w:r>
        <w:rPr>
          <w:sz w:val="22"/>
        </w:rPr>
        <w:t>Segunda).</w:t>
      </w:r>
      <w:r>
        <w:rPr>
          <w:spacing w:val="-14"/>
          <w:sz w:val="22"/>
        </w:rPr>
        <w:t> </w:t>
      </w:r>
      <w:r>
        <w:rPr>
          <w:sz w:val="22"/>
        </w:rPr>
        <w:t>Wiley-Blackwell.</w:t>
      </w:r>
      <w:r>
        <w:rPr>
          <w:spacing w:val="-11"/>
          <w:sz w:val="22"/>
        </w:rPr>
        <w:t> </w:t>
      </w:r>
      <w:r>
        <w:rPr>
          <w:sz w:val="22"/>
        </w:rPr>
        <w:t>Récupéré</w:t>
      </w:r>
      <w:r>
        <w:rPr>
          <w:spacing w:val="-13"/>
          <w:sz w:val="22"/>
        </w:rPr>
        <w:t> </w:t>
      </w:r>
      <w:r>
        <w:rPr>
          <w:sz w:val="22"/>
        </w:rPr>
        <w:t>sur </w:t>
      </w:r>
      <w:hyperlink r:id="rId29">
        <w:r>
          <w:rPr>
            <w:sz w:val="22"/>
          </w:rPr>
          <w:t>https://www.wiley.com/en-us/Veterinary+Anaesthesia%3A+Principles+to+Practice%2C+2nd+Edition-p-</w:t>
        </w:r>
      </w:hyperlink>
      <w:r>
        <w:rPr>
          <w:spacing w:val="-2"/>
          <w:sz w:val="22"/>
        </w:rPr>
        <w:t>9781119389860</w:t>
      </w:r>
    </w:p>
    <w:p>
      <w:pPr>
        <w:tabs>
          <w:tab w:pos="2351" w:val="left" w:leader="none"/>
          <w:tab w:pos="3690" w:val="left" w:leader="none"/>
          <w:tab w:pos="4929" w:val="left" w:leader="none"/>
          <w:tab w:pos="6152" w:val="left" w:leader="none"/>
          <w:tab w:pos="7134" w:val="left" w:leader="none"/>
          <w:tab w:pos="8229" w:val="left" w:leader="none"/>
        </w:tabs>
        <w:spacing w:line="360" w:lineRule="auto" w:before="239"/>
        <w:ind w:left="1288" w:right="138" w:hanging="721"/>
        <w:jc w:val="left"/>
        <w:rPr>
          <w:sz w:val="22"/>
        </w:rPr>
      </w:pPr>
      <w:r>
        <w:rPr>
          <w:sz w:val="22"/>
        </w:rPr>
        <w:t>Dután-Dután,</w:t>
      </w:r>
      <w:r>
        <w:rPr>
          <w:spacing w:val="34"/>
          <w:sz w:val="22"/>
        </w:rPr>
        <w:t> </w:t>
      </w:r>
      <w:r>
        <w:rPr>
          <w:sz w:val="22"/>
        </w:rPr>
        <w:t>M.</w:t>
      </w:r>
      <w:r>
        <w:rPr>
          <w:spacing w:val="30"/>
          <w:sz w:val="22"/>
        </w:rPr>
        <w:t> </w:t>
      </w:r>
      <w:r>
        <w:rPr>
          <w:sz w:val="22"/>
        </w:rPr>
        <w:t>G.,</w:t>
      </w:r>
      <w:r>
        <w:rPr>
          <w:spacing w:val="34"/>
          <w:sz w:val="22"/>
        </w:rPr>
        <w:t> </w:t>
      </w:r>
      <w:r>
        <w:rPr>
          <w:sz w:val="22"/>
        </w:rPr>
        <w:t>&amp;</w:t>
      </w:r>
      <w:r>
        <w:rPr>
          <w:spacing w:val="34"/>
          <w:sz w:val="22"/>
        </w:rPr>
        <w:t> </w:t>
      </w:r>
      <w:r>
        <w:rPr>
          <w:sz w:val="22"/>
        </w:rPr>
        <w:t>Garnica-Marquina,</w:t>
      </w:r>
      <w:r>
        <w:rPr>
          <w:spacing w:val="34"/>
          <w:sz w:val="22"/>
        </w:rPr>
        <w:t> </w:t>
      </w:r>
      <w:r>
        <w:rPr>
          <w:sz w:val="22"/>
        </w:rPr>
        <w:t>F.</w:t>
      </w:r>
      <w:r>
        <w:rPr>
          <w:spacing w:val="34"/>
          <w:sz w:val="22"/>
        </w:rPr>
        <w:t> </w:t>
      </w:r>
      <w:r>
        <w:rPr>
          <w:sz w:val="22"/>
        </w:rPr>
        <w:t>P.</w:t>
      </w:r>
      <w:r>
        <w:rPr>
          <w:spacing w:val="34"/>
          <w:sz w:val="22"/>
        </w:rPr>
        <w:t> </w:t>
      </w:r>
      <w:r>
        <w:rPr>
          <w:sz w:val="22"/>
        </w:rPr>
        <w:t>(2024).</w:t>
      </w:r>
      <w:r>
        <w:rPr>
          <w:spacing w:val="35"/>
          <w:sz w:val="22"/>
        </w:rPr>
        <w:t> </w:t>
      </w:r>
      <w:r>
        <w:rPr>
          <w:i/>
          <w:sz w:val="22"/>
        </w:rPr>
        <w:t>Evaluación</w:t>
      </w:r>
      <w:r>
        <w:rPr>
          <w:i/>
          <w:spacing w:val="35"/>
          <w:sz w:val="22"/>
        </w:rPr>
        <w:t> </w:t>
      </w:r>
      <w:r>
        <w:rPr>
          <w:i/>
          <w:sz w:val="22"/>
        </w:rPr>
        <w:t>de</w:t>
      </w:r>
      <w:r>
        <w:rPr>
          <w:i/>
          <w:spacing w:val="31"/>
          <w:sz w:val="22"/>
        </w:rPr>
        <w:t> </w:t>
      </w:r>
      <w:r>
        <w:rPr>
          <w:i/>
          <w:sz w:val="22"/>
        </w:rPr>
        <w:t>protocolos</w:t>
      </w:r>
      <w:r>
        <w:rPr>
          <w:i/>
          <w:spacing w:val="32"/>
          <w:sz w:val="22"/>
        </w:rPr>
        <w:t> </w:t>
      </w:r>
      <w:r>
        <w:rPr>
          <w:i/>
          <w:sz w:val="22"/>
        </w:rPr>
        <w:t>de anestesia, mediante la determinación de la variación del PCR producto de una inflamción</w:t>
      </w:r>
      <w:r>
        <w:rPr>
          <w:i/>
          <w:spacing w:val="40"/>
          <w:sz w:val="22"/>
        </w:rPr>
        <w:t> </w:t>
      </w:r>
      <w:r>
        <w:rPr>
          <w:i/>
          <w:sz w:val="22"/>
        </w:rPr>
        <w:t>post</w:t>
      </w:r>
      <w:r>
        <w:rPr>
          <w:i/>
          <w:spacing w:val="40"/>
          <w:sz w:val="22"/>
        </w:rPr>
        <w:t> </w:t>
      </w:r>
      <w:r>
        <w:rPr>
          <w:i/>
          <w:sz w:val="22"/>
        </w:rPr>
        <w:t>quirúrgica</w:t>
      </w:r>
      <w:r>
        <w:rPr>
          <w:i/>
          <w:spacing w:val="40"/>
          <w:sz w:val="22"/>
        </w:rPr>
        <w:t> </w:t>
      </w:r>
      <w:r>
        <w:rPr>
          <w:i/>
          <w:sz w:val="22"/>
        </w:rPr>
        <w:t>en</w:t>
      </w:r>
      <w:r>
        <w:rPr>
          <w:i/>
          <w:spacing w:val="40"/>
          <w:sz w:val="22"/>
        </w:rPr>
        <w:t> </w:t>
      </w:r>
      <w:r>
        <w:rPr>
          <w:i/>
          <w:sz w:val="22"/>
        </w:rPr>
        <w:t>caninos</w:t>
      </w:r>
      <w:r>
        <w:rPr>
          <w:i/>
          <w:spacing w:val="40"/>
          <w:sz w:val="22"/>
        </w:rPr>
        <w:t> </w:t>
      </w:r>
      <w:r>
        <w:rPr>
          <w:i/>
          <w:sz w:val="22"/>
        </w:rPr>
        <w:t>sometidos</w:t>
      </w:r>
      <w:r>
        <w:rPr>
          <w:i/>
          <w:spacing w:val="40"/>
          <w:sz w:val="22"/>
        </w:rPr>
        <w:t> </w:t>
      </w:r>
      <w:r>
        <w:rPr>
          <w:i/>
          <w:sz w:val="22"/>
        </w:rPr>
        <w:t>a</w:t>
      </w:r>
      <w:r>
        <w:rPr>
          <w:i/>
          <w:spacing w:val="40"/>
          <w:sz w:val="22"/>
        </w:rPr>
        <w:t> </w:t>
      </w:r>
      <w:r>
        <w:rPr>
          <w:i/>
          <w:sz w:val="22"/>
        </w:rPr>
        <w:t>esterilizaciones.</w:t>
      </w:r>
      <w:r>
        <w:rPr>
          <w:i/>
          <w:spacing w:val="40"/>
          <w:sz w:val="22"/>
        </w:rPr>
        <w:t> </w:t>
      </w:r>
      <w:r>
        <w:rPr>
          <w:sz w:val="22"/>
        </w:rPr>
        <w:t>[Trabajo </w:t>
      </w:r>
      <w:r>
        <w:rPr>
          <w:spacing w:val="-2"/>
          <w:sz w:val="22"/>
        </w:rPr>
        <w:t>Pregrado</w:t>
      </w:r>
      <w:r>
        <w:rPr>
          <w:sz w:val="22"/>
        </w:rPr>
        <w:tab/>
      </w:r>
      <w:r>
        <w:rPr>
          <w:spacing w:val="-2"/>
          <w:sz w:val="22"/>
        </w:rPr>
        <w:t>Universidad</w:t>
      </w:r>
      <w:r>
        <w:rPr>
          <w:sz w:val="22"/>
        </w:rPr>
        <w:tab/>
      </w:r>
      <w:r>
        <w:rPr>
          <w:spacing w:val="-2"/>
          <w:sz w:val="22"/>
        </w:rPr>
        <w:t>Politécnica</w:t>
      </w:r>
      <w:r>
        <w:rPr>
          <w:sz w:val="22"/>
        </w:rPr>
        <w:tab/>
      </w:r>
      <w:r>
        <w:rPr>
          <w:spacing w:val="-2"/>
          <w:sz w:val="22"/>
        </w:rPr>
        <w:t>Salesiana],</w:t>
      </w:r>
      <w:r>
        <w:rPr>
          <w:sz w:val="22"/>
        </w:rPr>
        <w:tab/>
      </w:r>
      <w:r>
        <w:rPr>
          <w:spacing w:val="-2"/>
          <w:sz w:val="22"/>
        </w:rPr>
        <w:t>Cuenca.</w:t>
      </w:r>
      <w:r>
        <w:rPr>
          <w:sz w:val="22"/>
        </w:rPr>
        <w:tab/>
      </w:r>
      <w:r>
        <w:rPr>
          <w:spacing w:val="-2"/>
          <w:sz w:val="22"/>
        </w:rPr>
        <w:t>Récupéré</w:t>
      </w:r>
      <w:r>
        <w:rPr>
          <w:sz w:val="22"/>
        </w:rPr>
        <w:tab/>
      </w:r>
      <w:r>
        <w:rPr>
          <w:spacing w:val="-4"/>
          <w:sz w:val="22"/>
        </w:rPr>
        <w:t>sur </w:t>
      </w:r>
      <w:hyperlink r:id="rId30">
        <w:r>
          <w:rPr>
            <w:sz w:val="22"/>
          </w:rPr>
          <w:t>https://dspace.ups.edu.ec/bitstream/123456789/28440/1/UPS-</w:t>
        </w:r>
        <w:r>
          <w:rPr>
            <w:spacing w:val="-2"/>
            <w:sz w:val="22"/>
          </w:rPr>
          <w:t>CT011548.pdf#:~:text=Explicaci%C3%B3n%20del%20Problema,manejo%20de</w:t>
        </w:r>
      </w:hyperlink>
    </w:p>
    <w:p>
      <w:pPr>
        <w:spacing w:line="253" w:lineRule="exact" w:before="0"/>
        <w:ind w:left="1288" w:right="0" w:firstLine="0"/>
        <w:jc w:val="left"/>
        <w:rPr>
          <w:sz w:val="22"/>
        </w:rPr>
      </w:pPr>
      <w:r>
        <w:rPr>
          <w:spacing w:val="-2"/>
          <w:sz w:val="22"/>
        </w:rPr>
        <w:t>%20dolor%20post%20opera%2D</w:t>
      </w:r>
    </w:p>
    <w:p>
      <w:pPr>
        <w:pStyle w:val="BodyText"/>
        <w:spacing w:before="114"/>
        <w:rPr>
          <w:sz w:val="22"/>
        </w:rPr>
      </w:pPr>
    </w:p>
    <w:p>
      <w:pPr>
        <w:spacing w:line="360" w:lineRule="auto" w:before="0"/>
        <w:ind w:left="1288" w:right="133" w:hanging="721"/>
        <w:jc w:val="both"/>
        <w:rPr>
          <w:sz w:val="22"/>
        </w:rPr>
      </w:pPr>
      <w:r>
        <w:rPr>
          <w:sz w:val="22"/>
        </w:rPr>
        <w:t>GADMA. (2025, 1 15). </w:t>
      </w:r>
      <w:r>
        <w:rPr>
          <w:i/>
          <w:sz w:val="22"/>
        </w:rPr>
        <w:t>Gobierno Autónomo Descentralizado del cantón Ambato</w:t>
      </w:r>
      <w:r>
        <w:rPr>
          <w:sz w:val="22"/>
        </w:rPr>
        <w:t>. Récupéré</w:t>
      </w:r>
      <w:r>
        <w:rPr>
          <w:spacing w:val="-4"/>
          <w:sz w:val="22"/>
        </w:rPr>
        <w:t> </w:t>
      </w:r>
      <w:r>
        <w:rPr>
          <w:sz w:val="22"/>
        </w:rPr>
        <w:t>sur</w:t>
      </w:r>
      <w:r>
        <w:rPr>
          <w:spacing w:val="-4"/>
          <w:sz w:val="22"/>
        </w:rPr>
        <w:t> </w:t>
      </w:r>
      <w:r>
        <w:rPr>
          <w:sz w:val="22"/>
        </w:rPr>
        <w:t>Información</w:t>
      </w:r>
      <w:r>
        <w:rPr>
          <w:spacing w:val="-2"/>
          <w:sz w:val="22"/>
        </w:rPr>
        <w:t> </w:t>
      </w:r>
      <w:r>
        <w:rPr>
          <w:sz w:val="22"/>
        </w:rPr>
        <w:t>territorial</w:t>
      </w:r>
      <w:r>
        <w:rPr>
          <w:spacing w:val="-4"/>
          <w:sz w:val="22"/>
        </w:rPr>
        <w:t> </w:t>
      </w:r>
      <w:r>
        <w:rPr>
          <w:sz w:val="22"/>
        </w:rPr>
        <w:t>del</w:t>
      </w:r>
      <w:r>
        <w:rPr>
          <w:spacing w:val="-4"/>
          <w:sz w:val="22"/>
        </w:rPr>
        <w:t> </w:t>
      </w:r>
      <w:r>
        <w:rPr>
          <w:sz w:val="22"/>
        </w:rPr>
        <w:t>Gobierno</w:t>
      </w:r>
      <w:r>
        <w:rPr>
          <w:spacing w:val="-13"/>
          <w:sz w:val="22"/>
        </w:rPr>
        <w:t> </w:t>
      </w:r>
      <w:r>
        <w:rPr>
          <w:sz w:val="22"/>
        </w:rPr>
        <w:t>Autónomo</w:t>
      </w:r>
      <w:r>
        <w:rPr>
          <w:spacing w:val="-2"/>
          <w:sz w:val="22"/>
        </w:rPr>
        <w:t> </w:t>
      </w:r>
      <w:r>
        <w:rPr>
          <w:sz w:val="22"/>
        </w:rPr>
        <w:t>DEscentralizado</w:t>
      </w:r>
      <w:r>
        <w:rPr>
          <w:spacing w:val="-2"/>
          <w:sz w:val="22"/>
        </w:rPr>
        <w:t> </w:t>
      </w:r>
      <w:r>
        <w:rPr>
          <w:sz w:val="22"/>
        </w:rPr>
        <w:t>del cantón Ambato: </w:t>
      </w:r>
      <w:hyperlink r:id="rId31">
        <w:r>
          <w:rPr>
            <w:sz w:val="22"/>
          </w:rPr>
          <w:t>https://www.ambato.gob.ec</w:t>
        </w:r>
      </w:hyperlink>
    </w:p>
    <w:p>
      <w:pPr>
        <w:spacing w:line="360" w:lineRule="auto" w:before="242"/>
        <w:ind w:left="1288" w:right="143" w:hanging="721"/>
        <w:jc w:val="both"/>
        <w:rPr>
          <w:sz w:val="22"/>
        </w:rPr>
      </w:pPr>
      <w:r>
        <w:rPr>
          <w:sz w:val="22"/>
        </w:rPr>
        <w:t>Goda, Y., Mizutani, S.,</w:t>
      </w:r>
      <w:r>
        <w:rPr>
          <w:spacing w:val="-3"/>
          <w:sz w:val="22"/>
        </w:rPr>
        <w:t> </w:t>
      </w:r>
      <w:r>
        <w:rPr>
          <w:sz w:val="22"/>
        </w:rPr>
        <w:t>Akashi, N., Kanda, T., Kutara, K., Okamura, Y., &amp;</w:t>
      </w:r>
      <w:r>
        <w:rPr>
          <w:spacing w:val="-3"/>
          <w:sz w:val="22"/>
        </w:rPr>
        <w:t> </w:t>
      </w:r>
      <w:r>
        <w:rPr>
          <w:sz w:val="22"/>
        </w:rPr>
        <w:t>Asanuma, T. </w:t>
      </w:r>
      <w:r>
        <w:rPr>
          <w:spacing w:val="-2"/>
          <w:sz w:val="22"/>
        </w:rPr>
        <w:t>(2024).</w:t>
      </w:r>
      <w:r>
        <w:rPr>
          <w:spacing w:val="-6"/>
          <w:sz w:val="22"/>
        </w:rPr>
        <w:t> </w:t>
      </w:r>
      <w:r>
        <w:rPr>
          <w:spacing w:val="-2"/>
          <w:sz w:val="22"/>
        </w:rPr>
        <w:t>Un</w:t>
      </w:r>
      <w:r>
        <w:rPr>
          <w:spacing w:val="-5"/>
          <w:sz w:val="22"/>
        </w:rPr>
        <w:t> </w:t>
      </w:r>
      <w:r>
        <w:rPr>
          <w:spacing w:val="-2"/>
          <w:sz w:val="22"/>
        </w:rPr>
        <w:t>caso</w:t>
      </w:r>
      <w:r>
        <w:rPr>
          <w:spacing w:val="-10"/>
          <w:sz w:val="22"/>
        </w:rPr>
        <w:t> </w:t>
      </w:r>
      <w:r>
        <w:rPr>
          <w:spacing w:val="-2"/>
          <w:sz w:val="22"/>
        </w:rPr>
        <w:t>de</w:t>
      </w:r>
      <w:r>
        <w:rPr>
          <w:spacing w:val="-9"/>
          <w:sz w:val="22"/>
        </w:rPr>
        <w:t> </w:t>
      </w:r>
      <w:r>
        <w:rPr>
          <w:spacing w:val="-2"/>
          <w:sz w:val="22"/>
        </w:rPr>
        <w:t>paraganglioma</w:t>
      </w:r>
      <w:r>
        <w:rPr>
          <w:spacing w:val="-9"/>
          <w:sz w:val="22"/>
        </w:rPr>
        <w:t> </w:t>
      </w:r>
      <w:r>
        <w:rPr>
          <w:spacing w:val="-2"/>
          <w:sz w:val="22"/>
        </w:rPr>
        <w:t>pulmonar</w:t>
      </w:r>
      <w:r>
        <w:rPr>
          <w:spacing w:val="-9"/>
          <w:sz w:val="22"/>
        </w:rPr>
        <w:t> </w:t>
      </w:r>
      <w:r>
        <w:rPr>
          <w:spacing w:val="-2"/>
          <w:sz w:val="22"/>
        </w:rPr>
        <w:t>primario</w:t>
      </w:r>
      <w:r>
        <w:rPr>
          <w:spacing w:val="-5"/>
          <w:sz w:val="22"/>
        </w:rPr>
        <w:t> </w:t>
      </w:r>
      <w:r>
        <w:rPr>
          <w:spacing w:val="-2"/>
          <w:sz w:val="22"/>
        </w:rPr>
        <w:t>en</w:t>
      </w:r>
      <w:r>
        <w:rPr>
          <w:spacing w:val="-5"/>
          <w:sz w:val="22"/>
        </w:rPr>
        <w:t> </w:t>
      </w:r>
      <w:r>
        <w:rPr>
          <w:spacing w:val="-2"/>
          <w:sz w:val="22"/>
        </w:rPr>
        <w:t>un</w:t>
      </w:r>
      <w:r>
        <w:rPr>
          <w:spacing w:val="-10"/>
          <w:sz w:val="22"/>
        </w:rPr>
        <w:t> </w:t>
      </w:r>
      <w:r>
        <w:rPr>
          <w:spacing w:val="-2"/>
          <w:sz w:val="22"/>
        </w:rPr>
        <w:t>perro. </w:t>
      </w:r>
      <w:r>
        <w:rPr>
          <w:i/>
          <w:spacing w:val="-2"/>
          <w:sz w:val="22"/>
        </w:rPr>
        <w:t>Open</w:t>
      </w:r>
      <w:r>
        <w:rPr>
          <w:i/>
          <w:spacing w:val="-10"/>
          <w:sz w:val="22"/>
        </w:rPr>
        <w:t> </w:t>
      </w:r>
      <w:r>
        <w:rPr>
          <w:i/>
          <w:spacing w:val="-2"/>
          <w:sz w:val="22"/>
        </w:rPr>
        <w:t>Veterinary </w:t>
      </w:r>
      <w:r>
        <w:rPr>
          <w:i/>
          <w:sz w:val="22"/>
        </w:rPr>
        <w:t>Journal, 14</w:t>
      </w:r>
      <w:r>
        <w:rPr>
          <w:sz w:val="22"/>
        </w:rPr>
        <w:t>(10), 2714-2720. doi:10.5455/OVJ.2024.v14.i10.22</w:t>
      </w:r>
    </w:p>
    <w:p>
      <w:pPr>
        <w:spacing w:after="0" w:line="360" w:lineRule="auto"/>
        <w:jc w:val="both"/>
        <w:rPr>
          <w:sz w:val="22"/>
        </w:rPr>
        <w:sectPr>
          <w:pgSz w:w="11910" w:h="16840"/>
          <w:pgMar w:header="0" w:footer="1038" w:top="1620" w:bottom="1220" w:left="1700" w:right="1559"/>
        </w:sectPr>
      </w:pPr>
    </w:p>
    <w:p>
      <w:pPr>
        <w:spacing w:line="360" w:lineRule="auto" w:before="63"/>
        <w:ind w:left="1288" w:right="141" w:hanging="721"/>
        <w:jc w:val="both"/>
        <w:rPr>
          <w:sz w:val="22"/>
        </w:rPr>
      </w:pPr>
      <w:r>
        <w:rPr>
          <w:sz w:val="22"/>
        </w:rPr>
        <w:t>Grimm, K.</w:t>
      </w:r>
      <w:r>
        <w:rPr>
          <w:spacing w:val="-11"/>
          <w:sz w:val="22"/>
        </w:rPr>
        <w:t> </w:t>
      </w:r>
      <w:r>
        <w:rPr>
          <w:sz w:val="22"/>
        </w:rPr>
        <w:t>A., Lamont, L.</w:t>
      </w:r>
      <w:r>
        <w:rPr>
          <w:spacing w:val="-11"/>
          <w:sz w:val="22"/>
        </w:rPr>
        <w:t> </w:t>
      </w:r>
      <w:r>
        <w:rPr>
          <w:sz w:val="22"/>
        </w:rPr>
        <w:t>A.,</w:t>
      </w:r>
      <w:r>
        <w:rPr>
          <w:spacing w:val="-3"/>
          <w:sz w:val="22"/>
        </w:rPr>
        <w:t> </w:t>
      </w:r>
      <w:r>
        <w:rPr>
          <w:sz w:val="22"/>
        </w:rPr>
        <w:t>Tranquilli,</w:t>
      </w:r>
      <w:r>
        <w:rPr>
          <w:spacing w:val="-3"/>
          <w:sz w:val="22"/>
        </w:rPr>
        <w:t> </w:t>
      </w:r>
      <w:r>
        <w:rPr>
          <w:sz w:val="22"/>
        </w:rPr>
        <w:t>W. J., Greene, S.</w:t>
      </w:r>
      <w:r>
        <w:rPr>
          <w:spacing w:val="-11"/>
          <w:sz w:val="22"/>
        </w:rPr>
        <w:t> </w:t>
      </w:r>
      <w:r>
        <w:rPr>
          <w:sz w:val="22"/>
        </w:rPr>
        <w:t>A., &amp; Robertson, S.</w:t>
      </w:r>
      <w:r>
        <w:rPr>
          <w:spacing w:val="-14"/>
          <w:sz w:val="22"/>
        </w:rPr>
        <w:t> </w:t>
      </w:r>
      <w:r>
        <w:rPr>
          <w:sz w:val="22"/>
        </w:rPr>
        <w:t>A. (2021). </w:t>
      </w:r>
      <w:r>
        <w:rPr>
          <w:i/>
          <w:sz w:val="22"/>
        </w:rPr>
        <w:t>Veterinary Anesthesia and Analgesia: The Fifth Edition of Lumb and Jones </w:t>
      </w:r>
      <w:r>
        <w:rPr>
          <w:sz w:val="22"/>
        </w:rPr>
        <w:t>(éd. Tercera). Wiley-Blackwell. doi:10.1002/9781119421375</w:t>
      </w:r>
    </w:p>
    <w:p>
      <w:pPr>
        <w:spacing w:line="360" w:lineRule="auto" w:before="242"/>
        <w:ind w:left="1288" w:right="134" w:hanging="721"/>
        <w:jc w:val="both"/>
        <w:rPr>
          <w:sz w:val="22"/>
        </w:rPr>
      </w:pPr>
      <w:r>
        <w:rPr>
          <w:sz w:val="22"/>
        </w:rPr>
        <w:t>Grubb,</w:t>
      </w:r>
      <w:r>
        <w:rPr>
          <w:spacing w:val="-4"/>
          <w:sz w:val="22"/>
        </w:rPr>
        <w:t> </w:t>
      </w:r>
      <w:r>
        <w:rPr>
          <w:sz w:val="22"/>
        </w:rPr>
        <w:t>T., Sager, J., Gaynor, J. S., &amp; Montgomery, E. (2020, 3 15). Pautas de anestesia y monitorización de la AAHA 2020 para perros y gatos. </w:t>
      </w:r>
      <w:r>
        <w:rPr>
          <w:i/>
          <w:sz w:val="22"/>
        </w:rPr>
        <w:t>Revista de la Asociación Americana de Hospitales de Animales , 56</w:t>
      </w:r>
      <w:r>
        <w:rPr>
          <w:sz w:val="22"/>
        </w:rPr>
        <w:t>(2), 59-82. doi:10.5326/JAAHA-MS-</w:t>
      </w:r>
      <w:r>
        <w:rPr>
          <w:spacing w:val="-4"/>
          <w:sz w:val="22"/>
        </w:rPr>
        <w:t>7055</w:t>
      </w:r>
    </w:p>
    <w:p>
      <w:pPr>
        <w:spacing w:line="360" w:lineRule="auto" w:before="238"/>
        <w:ind w:left="1288" w:right="137" w:hanging="721"/>
        <w:jc w:val="both"/>
        <w:rPr>
          <w:sz w:val="22"/>
        </w:rPr>
      </w:pPr>
      <w:r>
        <w:rPr>
          <w:sz w:val="22"/>
        </w:rPr>
        <w:t>Grubb,</w:t>
      </w:r>
      <w:r>
        <w:rPr>
          <w:spacing w:val="-14"/>
          <w:sz w:val="22"/>
        </w:rPr>
        <w:t> </w:t>
      </w:r>
      <w:r>
        <w:rPr>
          <w:sz w:val="22"/>
        </w:rPr>
        <w:t>T;</w:t>
      </w:r>
      <w:r>
        <w:rPr>
          <w:spacing w:val="-13"/>
          <w:sz w:val="22"/>
        </w:rPr>
        <w:t> </w:t>
      </w:r>
      <w:r>
        <w:rPr>
          <w:sz w:val="22"/>
        </w:rPr>
        <w:t>Lobprise,</w:t>
      </w:r>
      <w:r>
        <w:rPr>
          <w:spacing w:val="-7"/>
          <w:sz w:val="22"/>
        </w:rPr>
        <w:t> </w:t>
      </w:r>
      <w:r>
        <w:rPr>
          <w:sz w:val="22"/>
        </w:rPr>
        <w:t>H.</w:t>
      </w:r>
      <w:r>
        <w:rPr>
          <w:spacing w:val="-7"/>
          <w:sz w:val="22"/>
        </w:rPr>
        <w:t> </w:t>
      </w:r>
      <w:r>
        <w:rPr>
          <w:sz w:val="22"/>
        </w:rPr>
        <w:t>(2020,</w:t>
      </w:r>
      <w:r>
        <w:rPr>
          <w:spacing w:val="-11"/>
          <w:sz w:val="22"/>
        </w:rPr>
        <w:t> </w:t>
      </w:r>
      <w:r>
        <w:rPr>
          <w:sz w:val="22"/>
        </w:rPr>
        <w:t>1</w:t>
      </w:r>
      <w:r>
        <w:rPr>
          <w:spacing w:val="-10"/>
          <w:sz w:val="22"/>
        </w:rPr>
        <w:t> </w:t>
      </w:r>
      <w:r>
        <w:rPr>
          <w:sz w:val="22"/>
        </w:rPr>
        <w:t>21).</w:t>
      </w:r>
      <w:r>
        <w:rPr>
          <w:spacing w:val="-14"/>
          <w:sz w:val="22"/>
        </w:rPr>
        <w:t> </w:t>
      </w:r>
      <w:r>
        <w:rPr>
          <w:sz w:val="22"/>
        </w:rPr>
        <w:t>Anestesia</w:t>
      </w:r>
      <w:r>
        <w:rPr>
          <w:spacing w:val="-5"/>
          <w:sz w:val="22"/>
        </w:rPr>
        <w:t> </w:t>
      </w:r>
      <w:r>
        <w:rPr>
          <w:sz w:val="22"/>
        </w:rPr>
        <w:t>local</w:t>
      </w:r>
      <w:r>
        <w:rPr>
          <w:spacing w:val="-9"/>
          <w:sz w:val="22"/>
        </w:rPr>
        <w:t> </w:t>
      </w:r>
      <w:r>
        <w:rPr>
          <w:sz w:val="22"/>
        </w:rPr>
        <w:t>y</w:t>
      </w:r>
      <w:r>
        <w:rPr>
          <w:spacing w:val="-6"/>
          <w:sz w:val="22"/>
        </w:rPr>
        <w:t> </w:t>
      </w:r>
      <w:r>
        <w:rPr>
          <w:sz w:val="22"/>
        </w:rPr>
        <w:t>regional</w:t>
      </w:r>
      <w:r>
        <w:rPr>
          <w:spacing w:val="-9"/>
          <w:sz w:val="22"/>
        </w:rPr>
        <w:t> </w:t>
      </w:r>
      <w:r>
        <w:rPr>
          <w:sz w:val="22"/>
        </w:rPr>
        <w:t>en</w:t>
      </w:r>
      <w:r>
        <w:rPr>
          <w:spacing w:val="-10"/>
          <w:sz w:val="22"/>
        </w:rPr>
        <w:t> </w:t>
      </w:r>
      <w:r>
        <w:rPr>
          <w:sz w:val="22"/>
        </w:rPr>
        <w:t>perros</w:t>
      </w:r>
      <w:r>
        <w:rPr>
          <w:spacing w:val="-9"/>
          <w:sz w:val="22"/>
        </w:rPr>
        <w:t> </w:t>
      </w:r>
      <w:r>
        <w:rPr>
          <w:sz w:val="22"/>
        </w:rPr>
        <w:t>y</w:t>
      </w:r>
      <w:r>
        <w:rPr>
          <w:spacing w:val="-10"/>
          <w:sz w:val="22"/>
        </w:rPr>
        <w:t> </w:t>
      </w:r>
      <w:r>
        <w:rPr>
          <w:sz w:val="22"/>
        </w:rPr>
        <w:t>gatos:</w:t>
      </w:r>
      <w:r>
        <w:rPr>
          <w:spacing w:val="-9"/>
          <w:sz w:val="22"/>
        </w:rPr>
        <w:t> </w:t>
      </w:r>
      <w:r>
        <w:rPr>
          <w:sz w:val="22"/>
        </w:rPr>
        <w:t>Resumen de</w:t>
      </w:r>
      <w:r>
        <w:rPr>
          <w:spacing w:val="-3"/>
          <w:sz w:val="22"/>
        </w:rPr>
        <w:t> </w:t>
      </w:r>
      <w:r>
        <w:rPr>
          <w:sz w:val="22"/>
        </w:rPr>
        <w:t>conceptos</w:t>
      </w:r>
      <w:r>
        <w:rPr>
          <w:spacing w:val="-3"/>
          <w:sz w:val="22"/>
        </w:rPr>
        <w:t> </w:t>
      </w:r>
      <w:r>
        <w:rPr>
          <w:sz w:val="22"/>
        </w:rPr>
        <w:t>y fármacos</w:t>
      </w:r>
      <w:r>
        <w:rPr>
          <w:spacing w:val="-3"/>
          <w:sz w:val="22"/>
        </w:rPr>
        <w:t> </w:t>
      </w:r>
      <w:r>
        <w:rPr>
          <w:sz w:val="22"/>
        </w:rPr>
        <w:t>(Parte</w:t>
      </w:r>
      <w:r>
        <w:rPr>
          <w:spacing w:val="-3"/>
          <w:sz w:val="22"/>
        </w:rPr>
        <w:t> </w:t>
      </w:r>
      <w:r>
        <w:rPr>
          <w:sz w:val="22"/>
        </w:rPr>
        <w:t>1). </w:t>
      </w:r>
      <w:r>
        <w:rPr>
          <w:i/>
          <w:sz w:val="22"/>
        </w:rPr>
        <w:t>Ciencias</w:t>
      </w:r>
      <w:r>
        <w:rPr>
          <w:i/>
          <w:spacing w:val="-3"/>
          <w:sz w:val="22"/>
        </w:rPr>
        <w:t> </w:t>
      </w:r>
      <w:r>
        <w:rPr>
          <w:i/>
          <w:sz w:val="22"/>
        </w:rPr>
        <w:t>Médicas</w:t>
      </w:r>
      <w:r>
        <w:rPr>
          <w:i/>
          <w:spacing w:val="-3"/>
          <w:sz w:val="22"/>
        </w:rPr>
        <w:t> </w:t>
      </w:r>
      <w:r>
        <w:rPr>
          <w:i/>
          <w:sz w:val="22"/>
        </w:rPr>
        <w:t>Veterinarias,</w:t>
      </w:r>
      <w:r>
        <w:rPr>
          <w:i/>
          <w:spacing w:val="-1"/>
          <w:sz w:val="22"/>
        </w:rPr>
        <w:t> </w:t>
      </w:r>
      <w:r>
        <w:rPr>
          <w:i/>
          <w:sz w:val="22"/>
        </w:rPr>
        <w:t>6</w:t>
      </w:r>
      <w:r>
        <w:rPr>
          <w:sz w:val="22"/>
        </w:rPr>
        <w:t>(2),</w:t>
      </w:r>
      <w:r>
        <w:rPr>
          <w:spacing w:val="-1"/>
          <w:sz w:val="22"/>
        </w:rPr>
        <w:t> </w:t>
      </w:r>
      <w:r>
        <w:rPr>
          <w:sz w:val="22"/>
        </w:rPr>
        <w:t>209-217. doi:doi: 10.1002/vms3.219</w:t>
      </w:r>
    </w:p>
    <w:p>
      <w:pPr>
        <w:spacing w:line="360" w:lineRule="auto" w:before="242"/>
        <w:ind w:left="1288" w:right="137" w:hanging="721"/>
        <w:jc w:val="both"/>
        <w:rPr>
          <w:sz w:val="22"/>
        </w:rPr>
      </w:pPr>
      <w:r>
        <w:rPr>
          <w:sz w:val="22"/>
        </w:rPr>
        <w:t>Guamán-Hidalgo, J. X., &amp; Egas-Proaño, D. R. (2022, 6 25). Rol de la auto medida de la presión</w:t>
      </w:r>
      <w:r>
        <w:rPr>
          <w:spacing w:val="-12"/>
          <w:sz w:val="22"/>
        </w:rPr>
        <w:t> </w:t>
      </w:r>
      <w:r>
        <w:rPr>
          <w:sz w:val="22"/>
        </w:rPr>
        <w:t>arterial</w:t>
      </w:r>
      <w:r>
        <w:rPr>
          <w:spacing w:val="-14"/>
          <w:sz w:val="22"/>
        </w:rPr>
        <w:t> </w:t>
      </w:r>
      <w:r>
        <w:rPr>
          <w:sz w:val="22"/>
        </w:rPr>
        <w:t>(AMPA)</w:t>
      </w:r>
      <w:r>
        <w:rPr>
          <w:spacing w:val="-14"/>
          <w:sz w:val="22"/>
        </w:rPr>
        <w:t> </w:t>
      </w:r>
      <w:r>
        <w:rPr>
          <w:sz w:val="22"/>
        </w:rPr>
        <w:t>y</w:t>
      </w:r>
      <w:r>
        <w:rPr>
          <w:spacing w:val="-11"/>
          <w:sz w:val="22"/>
        </w:rPr>
        <w:t> </w:t>
      </w:r>
      <w:r>
        <w:rPr>
          <w:sz w:val="22"/>
        </w:rPr>
        <w:t>monitorización</w:t>
      </w:r>
      <w:r>
        <w:rPr>
          <w:spacing w:val="-12"/>
          <w:sz w:val="22"/>
        </w:rPr>
        <w:t> </w:t>
      </w:r>
      <w:r>
        <w:rPr>
          <w:sz w:val="22"/>
        </w:rPr>
        <w:t>ambulatoria</w:t>
      </w:r>
      <w:r>
        <w:rPr>
          <w:spacing w:val="-14"/>
          <w:sz w:val="22"/>
        </w:rPr>
        <w:t> </w:t>
      </w:r>
      <w:r>
        <w:rPr>
          <w:sz w:val="22"/>
        </w:rPr>
        <w:t>de</w:t>
      </w:r>
      <w:r>
        <w:rPr>
          <w:spacing w:val="-14"/>
          <w:sz w:val="22"/>
        </w:rPr>
        <w:t> </w:t>
      </w:r>
      <w:r>
        <w:rPr>
          <w:sz w:val="22"/>
        </w:rPr>
        <w:t>presión</w:t>
      </w:r>
      <w:r>
        <w:rPr>
          <w:spacing w:val="-11"/>
          <w:sz w:val="22"/>
        </w:rPr>
        <w:t> </w:t>
      </w:r>
      <w:r>
        <w:rPr>
          <w:sz w:val="22"/>
        </w:rPr>
        <w:t>arterial</w:t>
      </w:r>
      <w:r>
        <w:rPr>
          <w:spacing w:val="-14"/>
          <w:sz w:val="22"/>
        </w:rPr>
        <w:t> </w:t>
      </w:r>
      <w:r>
        <w:rPr>
          <w:sz w:val="22"/>
        </w:rPr>
        <w:t>(MAPA) en el control terapéutico de pacientes con diagnóstico de hipertensión arterial. </w:t>
      </w:r>
      <w:r>
        <w:rPr>
          <w:i/>
          <w:sz w:val="22"/>
        </w:rPr>
        <w:t>Revista</w:t>
      </w:r>
      <w:r>
        <w:rPr>
          <w:i/>
          <w:spacing w:val="71"/>
          <w:sz w:val="22"/>
        </w:rPr>
        <w:t>    </w:t>
      </w:r>
      <w:r>
        <w:rPr>
          <w:i/>
          <w:sz w:val="22"/>
        </w:rPr>
        <w:t>Latinoamericana</w:t>
      </w:r>
      <w:r>
        <w:rPr>
          <w:i/>
          <w:spacing w:val="71"/>
          <w:sz w:val="22"/>
        </w:rPr>
        <w:t>    </w:t>
      </w:r>
      <w:r>
        <w:rPr>
          <w:i/>
          <w:sz w:val="22"/>
        </w:rPr>
        <w:t>de</w:t>
      </w:r>
      <w:r>
        <w:rPr>
          <w:i/>
          <w:spacing w:val="70"/>
          <w:sz w:val="22"/>
        </w:rPr>
        <w:t>    </w:t>
      </w:r>
      <w:r>
        <w:rPr>
          <w:i/>
          <w:sz w:val="22"/>
        </w:rPr>
        <w:t>Hipertensión,</w:t>
      </w:r>
      <w:r>
        <w:rPr>
          <w:i/>
          <w:spacing w:val="71"/>
          <w:sz w:val="22"/>
        </w:rPr>
        <w:t>    </w:t>
      </w:r>
      <w:r>
        <w:rPr>
          <w:i/>
          <w:sz w:val="22"/>
        </w:rPr>
        <w:t>17</w:t>
      </w:r>
      <w:r>
        <w:rPr>
          <w:sz w:val="22"/>
        </w:rPr>
        <w:t>(3),</w:t>
      </w:r>
      <w:r>
        <w:rPr>
          <w:spacing w:val="71"/>
          <w:sz w:val="22"/>
        </w:rPr>
        <w:t>    </w:t>
      </w:r>
      <w:r>
        <w:rPr>
          <w:sz w:val="22"/>
        </w:rPr>
        <w:t>50-</w:t>
      </w:r>
      <w:r>
        <w:rPr>
          <w:spacing w:val="-5"/>
          <w:sz w:val="22"/>
        </w:rPr>
        <w:t>56.</w:t>
      </w:r>
    </w:p>
    <w:p>
      <w:pPr>
        <w:spacing w:line="252" w:lineRule="exact" w:before="0"/>
        <w:ind w:left="1288" w:right="0" w:firstLine="0"/>
        <w:jc w:val="left"/>
        <w:rPr>
          <w:sz w:val="22"/>
        </w:rPr>
      </w:pPr>
      <w:r>
        <w:rPr>
          <w:spacing w:val="-2"/>
          <w:sz w:val="22"/>
        </w:rPr>
        <w:t>doi:doi.10.5281/zenodo.7012957</w:t>
      </w:r>
    </w:p>
    <w:p>
      <w:pPr>
        <w:pStyle w:val="BodyText"/>
        <w:spacing w:before="114"/>
        <w:rPr>
          <w:sz w:val="22"/>
        </w:rPr>
      </w:pPr>
    </w:p>
    <w:p>
      <w:pPr>
        <w:spacing w:line="360" w:lineRule="auto" w:before="0"/>
        <w:ind w:left="1288" w:right="147" w:hanging="721"/>
        <w:jc w:val="both"/>
        <w:rPr>
          <w:sz w:val="22"/>
        </w:rPr>
      </w:pPr>
      <w:r>
        <w:rPr>
          <w:sz w:val="22"/>
        </w:rPr>
        <w:t>Henze, I. S., Navarro-Altuna, V., Steiger, J. I., Torgerson, P. R., &amp; Kutter,</w:t>
      </w:r>
      <w:r>
        <w:rPr>
          <w:spacing w:val="-7"/>
          <w:sz w:val="22"/>
        </w:rPr>
        <w:t> </w:t>
      </w:r>
      <w:r>
        <w:rPr>
          <w:sz w:val="22"/>
        </w:rPr>
        <w:t>A. P. (2023, 4 27). Evaluation of the Analgesic Efficacy of Undiluted Intraperitoneal and Incisional Ropivacaine for Postoperative Analgesia in Dogs after Major Abdominal Surgery. </w:t>
      </w:r>
      <w:r>
        <w:rPr>
          <w:i/>
          <w:sz w:val="22"/>
        </w:rPr>
        <w:t>Animals (Basel), 13</w:t>
      </w:r>
      <w:r>
        <w:rPr>
          <w:sz w:val="22"/>
        </w:rPr>
        <w:t>(9), 1489. doi:10.3390/ani13091489</w:t>
      </w:r>
    </w:p>
    <w:p>
      <w:pPr>
        <w:spacing w:line="360" w:lineRule="auto" w:before="243"/>
        <w:ind w:left="1288" w:right="133" w:hanging="721"/>
        <w:jc w:val="left"/>
        <w:rPr>
          <w:sz w:val="22"/>
        </w:rPr>
      </w:pPr>
      <w:r>
        <w:rPr>
          <w:sz w:val="22"/>
        </w:rPr>
        <w:t>Hernández-Sampieri,</w:t>
      </w:r>
      <w:r>
        <w:rPr>
          <w:spacing w:val="-14"/>
          <w:sz w:val="22"/>
        </w:rPr>
        <w:t> </w:t>
      </w:r>
      <w:r>
        <w:rPr>
          <w:sz w:val="22"/>
        </w:rPr>
        <w:t>R.,</w:t>
      </w:r>
      <w:r>
        <w:rPr>
          <w:spacing w:val="-14"/>
          <w:sz w:val="22"/>
        </w:rPr>
        <w:t> </w:t>
      </w:r>
      <w:r>
        <w:rPr>
          <w:sz w:val="22"/>
        </w:rPr>
        <w:t>&amp;</w:t>
      </w:r>
      <w:r>
        <w:rPr>
          <w:spacing w:val="-15"/>
          <w:sz w:val="22"/>
        </w:rPr>
        <w:t> </w:t>
      </w:r>
      <w:r>
        <w:rPr>
          <w:sz w:val="22"/>
        </w:rPr>
        <w:t>Mendoza,</w:t>
      </w:r>
      <w:r>
        <w:rPr>
          <w:spacing w:val="-14"/>
          <w:sz w:val="22"/>
        </w:rPr>
        <w:t> </w:t>
      </w:r>
      <w:r>
        <w:rPr>
          <w:sz w:val="22"/>
        </w:rPr>
        <w:t>C.</w:t>
      </w:r>
      <w:r>
        <w:rPr>
          <w:spacing w:val="-13"/>
          <w:sz w:val="22"/>
        </w:rPr>
        <w:t> </w:t>
      </w:r>
      <w:r>
        <w:rPr>
          <w:sz w:val="22"/>
        </w:rPr>
        <w:t>(2020).</w:t>
      </w:r>
      <w:r>
        <w:rPr>
          <w:spacing w:val="-14"/>
          <w:sz w:val="22"/>
        </w:rPr>
        <w:t> </w:t>
      </w:r>
      <w:r>
        <w:rPr>
          <w:i/>
          <w:sz w:val="22"/>
        </w:rPr>
        <w:t>Metodología</w:t>
      </w:r>
      <w:r>
        <w:rPr>
          <w:i/>
          <w:spacing w:val="-14"/>
          <w:sz w:val="22"/>
        </w:rPr>
        <w:t> </w:t>
      </w:r>
      <w:r>
        <w:rPr>
          <w:i/>
          <w:sz w:val="22"/>
        </w:rPr>
        <w:t>de</w:t>
      </w:r>
      <w:r>
        <w:rPr>
          <w:i/>
          <w:spacing w:val="-14"/>
          <w:sz w:val="22"/>
        </w:rPr>
        <w:t> </w:t>
      </w:r>
      <w:r>
        <w:rPr>
          <w:i/>
          <w:sz w:val="22"/>
        </w:rPr>
        <w:t>la</w:t>
      </w:r>
      <w:r>
        <w:rPr>
          <w:i/>
          <w:spacing w:val="-13"/>
          <w:sz w:val="22"/>
        </w:rPr>
        <w:t> </w:t>
      </w:r>
      <w:r>
        <w:rPr>
          <w:i/>
          <w:sz w:val="22"/>
        </w:rPr>
        <w:t>investigación:</w:t>
      </w:r>
      <w:r>
        <w:rPr>
          <w:i/>
          <w:spacing w:val="-14"/>
          <w:sz w:val="22"/>
        </w:rPr>
        <w:t> </w:t>
      </w:r>
      <w:r>
        <w:rPr>
          <w:i/>
          <w:sz w:val="22"/>
        </w:rPr>
        <w:t>las</w:t>
      </w:r>
      <w:r>
        <w:rPr>
          <w:i/>
          <w:spacing w:val="-14"/>
          <w:sz w:val="22"/>
        </w:rPr>
        <w:t> </w:t>
      </w:r>
      <w:r>
        <w:rPr>
          <w:i/>
          <w:sz w:val="22"/>
        </w:rPr>
        <w:t>rutas cuantitativa,</w:t>
      </w:r>
      <w:r>
        <w:rPr>
          <w:i/>
          <w:spacing w:val="-1"/>
          <w:sz w:val="22"/>
        </w:rPr>
        <w:t> </w:t>
      </w:r>
      <w:r>
        <w:rPr>
          <w:i/>
          <w:sz w:val="22"/>
        </w:rPr>
        <w:t>cualitativa y</w:t>
      </w:r>
      <w:r>
        <w:rPr>
          <w:i/>
          <w:spacing w:val="-3"/>
          <w:sz w:val="22"/>
        </w:rPr>
        <w:t> </w:t>
      </w:r>
      <w:r>
        <w:rPr>
          <w:i/>
          <w:sz w:val="22"/>
        </w:rPr>
        <w:t>mixta </w:t>
      </w:r>
      <w:r>
        <w:rPr>
          <w:sz w:val="22"/>
        </w:rPr>
        <w:t>(Vol.</w:t>
      </w:r>
      <w:r>
        <w:rPr>
          <w:spacing w:val="-4"/>
          <w:sz w:val="22"/>
        </w:rPr>
        <w:t> </w:t>
      </w:r>
      <w:r>
        <w:rPr>
          <w:sz w:val="22"/>
        </w:rPr>
        <w:t>1601784484). (Mcgraw-hill,</w:t>
      </w:r>
      <w:r>
        <w:rPr>
          <w:spacing w:val="-1"/>
          <w:sz w:val="22"/>
        </w:rPr>
        <w:t> </w:t>
      </w:r>
      <w:r>
        <w:rPr>
          <w:sz w:val="22"/>
        </w:rPr>
        <w:t>Éd.)</w:t>
      </w:r>
      <w:r>
        <w:rPr>
          <w:spacing w:val="-6"/>
          <w:sz w:val="22"/>
        </w:rPr>
        <w:t> </w:t>
      </w:r>
      <w:r>
        <w:rPr>
          <w:sz w:val="22"/>
        </w:rPr>
        <w:t>Récupéré </w:t>
      </w:r>
      <w:r>
        <w:rPr>
          <w:spacing w:val="-4"/>
          <w:sz w:val="22"/>
        </w:rPr>
        <w:t>sur </w:t>
      </w:r>
      <w:hyperlink r:id="rId32">
        <w:r>
          <w:rPr>
            <w:spacing w:val="-2"/>
            <w:sz w:val="22"/>
          </w:rPr>
          <w:t>https://scholar.google.es/citations?view_op=view_citation&amp;hl=es&amp;user=kULnhl0 AAAAJ&amp;citation_for_view=kULnhl0AAAAJ:dhFuZR0502QC</w:t>
        </w:r>
      </w:hyperlink>
    </w:p>
    <w:p>
      <w:pPr>
        <w:spacing w:line="360" w:lineRule="auto" w:before="239"/>
        <w:ind w:left="1288" w:right="144" w:hanging="721"/>
        <w:jc w:val="both"/>
        <w:rPr>
          <w:sz w:val="22"/>
        </w:rPr>
      </w:pPr>
      <w:r>
        <w:rPr>
          <w:sz w:val="22"/>
        </w:rPr>
        <w:t>Hjalmarsson,</w:t>
      </w:r>
      <w:r>
        <w:rPr>
          <w:spacing w:val="-14"/>
          <w:sz w:val="22"/>
        </w:rPr>
        <w:t> </w:t>
      </w:r>
      <w:r>
        <w:rPr>
          <w:sz w:val="22"/>
        </w:rPr>
        <w:t>L.,</w:t>
      </w:r>
      <w:r>
        <w:rPr>
          <w:spacing w:val="-14"/>
          <w:sz w:val="22"/>
        </w:rPr>
        <w:t> </w:t>
      </w:r>
      <w:r>
        <w:rPr>
          <w:sz w:val="22"/>
        </w:rPr>
        <w:t>Bianchi,</w:t>
      </w:r>
      <w:r>
        <w:rPr>
          <w:spacing w:val="-12"/>
          <w:sz w:val="22"/>
        </w:rPr>
        <w:t> </w:t>
      </w:r>
      <w:r>
        <w:rPr>
          <w:sz w:val="22"/>
        </w:rPr>
        <w:t>C.,</w:t>
      </w:r>
      <w:r>
        <w:rPr>
          <w:spacing w:val="-14"/>
          <w:sz w:val="22"/>
        </w:rPr>
        <w:t> </w:t>
      </w:r>
      <w:r>
        <w:rPr>
          <w:sz w:val="22"/>
        </w:rPr>
        <w:t>Hannabuss,</w:t>
      </w:r>
      <w:r>
        <w:rPr>
          <w:spacing w:val="-11"/>
          <w:sz w:val="22"/>
        </w:rPr>
        <w:t> </w:t>
      </w:r>
      <w:r>
        <w:rPr>
          <w:sz w:val="22"/>
        </w:rPr>
        <w:t>J.,</w:t>
      </w:r>
      <w:r>
        <w:rPr>
          <w:spacing w:val="-12"/>
          <w:sz w:val="22"/>
        </w:rPr>
        <w:t> </w:t>
      </w:r>
      <w:r>
        <w:rPr>
          <w:sz w:val="22"/>
        </w:rPr>
        <w:t>&amp;</w:t>
      </w:r>
      <w:r>
        <w:rPr>
          <w:spacing w:val="-14"/>
          <w:sz w:val="22"/>
        </w:rPr>
        <w:t> </w:t>
      </w:r>
      <w:r>
        <w:rPr>
          <w:sz w:val="22"/>
        </w:rPr>
        <w:t>Stathopoulou,</w:t>
      </w:r>
      <w:r>
        <w:rPr>
          <w:spacing w:val="-14"/>
          <w:sz w:val="22"/>
        </w:rPr>
        <w:t> </w:t>
      </w:r>
      <w:r>
        <w:rPr>
          <w:sz w:val="22"/>
        </w:rPr>
        <w:t>T.</w:t>
      </w:r>
      <w:r>
        <w:rPr>
          <w:spacing w:val="-11"/>
          <w:sz w:val="22"/>
        </w:rPr>
        <w:t> </w:t>
      </w:r>
      <w:r>
        <w:rPr>
          <w:sz w:val="22"/>
        </w:rPr>
        <w:t>(2025).</w:t>
      </w:r>
      <w:r>
        <w:rPr>
          <w:spacing w:val="-12"/>
          <w:sz w:val="22"/>
        </w:rPr>
        <w:t> </w:t>
      </w:r>
      <w:r>
        <w:rPr>
          <w:sz w:val="22"/>
        </w:rPr>
        <w:t>Manejo</w:t>
      </w:r>
      <w:r>
        <w:rPr>
          <w:spacing w:val="-11"/>
          <w:sz w:val="22"/>
        </w:rPr>
        <w:t> </w:t>
      </w:r>
      <w:r>
        <w:rPr>
          <w:sz w:val="22"/>
        </w:rPr>
        <w:t>anestésico e incidencia de complicaciones anestésicas en perros que se someten a valvuloplastia con balón para el tratamiento de la estenosis pulmonar: un estudio retrospectivo. (P. Murison, Éd.) </w:t>
      </w:r>
      <w:r>
        <w:rPr>
          <w:i/>
          <w:sz w:val="22"/>
        </w:rPr>
        <w:t>Frontiers , 12</w:t>
      </w:r>
      <w:r>
        <w:rPr>
          <w:sz w:val="22"/>
        </w:rPr>
        <w:t>. doi:10.3389/fvets.2025.1595738</w:t>
      </w:r>
    </w:p>
    <w:p>
      <w:pPr>
        <w:spacing w:line="360" w:lineRule="auto" w:before="242"/>
        <w:ind w:left="1288" w:right="140" w:hanging="721"/>
        <w:jc w:val="both"/>
        <w:rPr>
          <w:sz w:val="22"/>
        </w:rPr>
      </w:pPr>
      <w:r>
        <w:rPr>
          <w:sz w:val="22"/>
        </w:rPr>
        <w:t>Huerga, D. (2024, 4 29). </w:t>
      </w:r>
      <w:r>
        <w:rPr>
          <w:i/>
          <w:sz w:val="22"/>
        </w:rPr>
        <w:t>Parámetros clínicos normales en perros y gatos</w:t>
      </w:r>
      <w:r>
        <w:rPr>
          <w:sz w:val="22"/>
        </w:rPr>
        <w:t>. Récupéré sur Medicina Interna: </w:t>
      </w:r>
      <w:hyperlink r:id="rId33">
        <w:r>
          <w:rPr>
            <w:sz w:val="22"/>
          </w:rPr>
          <w:t>https://cuasveterinaria.es/blog/parametros-clinicos-normales-</w:t>
        </w:r>
        <w:r>
          <w:rPr>
            <w:spacing w:val="-2"/>
            <w:sz w:val="22"/>
          </w:rPr>
          <w:t>perros-gatos/</w:t>
        </w:r>
      </w:hyperlink>
    </w:p>
    <w:p>
      <w:pPr>
        <w:spacing w:after="0" w:line="360" w:lineRule="auto"/>
        <w:jc w:val="both"/>
        <w:rPr>
          <w:sz w:val="22"/>
        </w:rPr>
        <w:sectPr>
          <w:pgSz w:w="11910" w:h="16840"/>
          <w:pgMar w:header="0" w:footer="1038" w:top="1620" w:bottom="1220" w:left="1700" w:right="1559"/>
        </w:sectPr>
      </w:pPr>
    </w:p>
    <w:p>
      <w:pPr>
        <w:spacing w:before="63"/>
        <w:ind w:left="568" w:right="0" w:firstLine="0"/>
        <w:jc w:val="both"/>
        <w:rPr>
          <w:sz w:val="22"/>
        </w:rPr>
      </w:pPr>
      <w:r>
        <w:rPr>
          <w:sz w:val="22"/>
        </w:rPr>
        <w:t>Imboden,</w:t>
      </w:r>
      <w:r>
        <w:rPr>
          <w:spacing w:val="-12"/>
          <w:sz w:val="22"/>
        </w:rPr>
        <w:t> </w:t>
      </w:r>
      <w:r>
        <w:rPr>
          <w:sz w:val="22"/>
        </w:rPr>
        <w:t>T.</w:t>
      </w:r>
      <w:r>
        <w:rPr>
          <w:spacing w:val="-8"/>
          <w:sz w:val="22"/>
        </w:rPr>
        <w:t> </w:t>
      </w:r>
      <w:r>
        <w:rPr>
          <w:sz w:val="22"/>
        </w:rPr>
        <w:t>J.,</w:t>
      </w:r>
      <w:r>
        <w:rPr>
          <w:spacing w:val="-8"/>
          <w:sz w:val="22"/>
        </w:rPr>
        <w:t> </w:t>
      </w:r>
      <w:r>
        <w:rPr>
          <w:sz w:val="22"/>
        </w:rPr>
        <w:t>Pownall,</w:t>
      </w:r>
      <w:r>
        <w:rPr>
          <w:spacing w:val="-7"/>
          <w:sz w:val="22"/>
        </w:rPr>
        <w:t> </w:t>
      </w:r>
      <w:r>
        <w:rPr>
          <w:sz w:val="22"/>
        </w:rPr>
        <w:t>W.</w:t>
      </w:r>
      <w:r>
        <w:rPr>
          <w:spacing w:val="-8"/>
          <w:sz w:val="22"/>
        </w:rPr>
        <w:t> </w:t>
      </w:r>
      <w:r>
        <w:rPr>
          <w:sz w:val="22"/>
        </w:rPr>
        <w:t>R.,</w:t>
      </w:r>
      <w:r>
        <w:rPr>
          <w:spacing w:val="-8"/>
          <w:sz w:val="22"/>
        </w:rPr>
        <w:t> </w:t>
      </w:r>
      <w:r>
        <w:rPr>
          <w:sz w:val="22"/>
        </w:rPr>
        <w:t>Rubin,</w:t>
      </w:r>
      <w:r>
        <w:rPr>
          <w:spacing w:val="-11"/>
          <w:sz w:val="22"/>
        </w:rPr>
        <w:t> </w:t>
      </w:r>
      <w:r>
        <w:rPr>
          <w:sz w:val="22"/>
        </w:rPr>
        <w:t>S.,</w:t>
      </w:r>
      <w:r>
        <w:rPr>
          <w:spacing w:val="-8"/>
          <w:sz w:val="22"/>
        </w:rPr>
        <w:t> </w:t>
      </w:r>
      <w:r>
        <w:rPr>
          <w:sz w:val="22"/>
        </w:rPr>
        <w:t>Spadavecchia</w:t>
      </w:r>
      <w:r>
        <w:rPr>
          <w:spacing w:val="-6"/>
          <w:sz w:val="22"/>
        </w:rPr>
        <w:t> </w:t>
      </w:r>
      <w:r>
        <w:rPr>
          <w:sz w:val="22"/>
        </w:rPr>
        <w:t>,</w:t>
      </w:r>
      <w:r>
        <w:rPr>
          <w:spacing w:val="-4"/>
          <w:sz w:val="22"/>
        </w:rPr>
        <w:t> </w:t>
      </w:r>
      <w:r>
        <w:rPr>
          <w:sz w:val="22"/>
        </w:rPr>
        <w:t>C.,</w:t>
      </w:r>
      <w:r>
        <w:rPr>
          <w:spacing w:val="-8"/>
          <w:sz w:val="22"/>
        </w:rPr>
        <w:t> </w:t>
      </w:r>
      <w:r>
        <w:rPr>
          <w:sz w:val="22"/>
        </w:rPr>
        <w:t>Rohrbach,</w:t>
      </w:r>
      <w:r>
        <w:rPr>
          <w:spacing w:val="-8"/>
          <w:sz w:val="22"/>
        </w:rPr>
        <w:t> </w:t>
      </w:r>
      <w:r>
        <w:rPr>
          <w:sz w:val="22"/>
        </w:rPr>
        <w:t>H.,</w:t>
      </w:r>
      <w:r>
        <w:rPr>
          <w:spacing w:val="-8"/>
          <w:sz w:val="22"/>
        </w:rPr>
        <w:t> </w:t>
      </w:r>
      <w:r>
        <w:rPr>
          <w:sz w:val="22"/>
        </w:rPr>
        <w:t>&amp;</w:t>
      </w:r>
      <w:r>
        <w:rPr>
          <w:spacing w:val="-7"/>
          <w:sz w:val="22"/>
        </w:rPr>
        <w:t> </w:t>
      </w:r>
      <w:r>
        <w:rPr>
          <w:spacing w:val="-2"/>
          <w:sz w:val="22"/>
        </w:rPr>
        <w:t>Schöllhorn,</w:t>
      </w:r>
    </w:p>
    <w:p>
      <w:pPr>
        <w:spacing w:line="360" w:lineRule="auto" w:before="127"/>
        <w:ind w:left="1288" w:right="137" w:firstLine="0"/>
        <w:jc w:val="both"/>
        <w:rPr>
          <w:sz w:val="22"/>
        </w:rPr>
      </w:pPr>
      <w:r>
        <w:rPr>
          <w:sz w:val="22"/>
        </w:rPr>
        <w:t>B. (2023, 9 22). Determinación de una combinación sedante segura de dexmedetomidina, ketamina y butorfanol para procedimientos menores en perros mediante un método de optimización escalonada. </w:t>
      </w:r>
      <w:r>
        <w:rPr>
          <w:i/>
          <w:sz w:val="22"/>
        </w:rPr>
        <w:t>Acta Vet Scand, 65</w:t>
      </w:r>
      <w:r>
        <w:rPr>
          <w:sz w:val="22"/>
        </w:rPr>
        <w:t>(41). </w:t>
      </w:r>
      <w:r>
        <w:rPr>
          <w:spacing w:val="-2"/>
          <w:sz w:val="22"/>
        </w:rPr>
        <w:t>doi:10.1186/s13028-023-00697-8</w:t>
      </w:r>
    </w:p>
    <w:p>
      <w:pPr>
        <w:spacing w:line="357" w:lineRule="auto" w:before="242"/>
        <w:ind w:left="1288" w:right="140" w:hanging="721"/>
        <w:jc w:val="both"/>
        <w:rPr>
          <w:sz w:val="22"/>
        </w:rPr>
      </w:pPr>
      <w:r>
        <w:rPr>
          <w:sz w:val="22"/>
        </w:rPr>
        <w:t>INAMHI. (2025, 1 20). </w:t>
      </w:r>
      <w:r>
        <w:rPr>
          <w:i/>
          <w:sz w:val="22"/>
        </w:rPr>
        <w:t>Instituto Nacional de Metereología e Hidrología </w:t>
      </w:r>
      <w:r>
        <w:rPr>
          <w:sz w:val="22"/>
        </w:rPr>
        <w:t>. Récupéré sur Datos geográficos y climáticos de la ciudad de Ambato: </w:t>
      </w:r>
      <w:hyperlink r:id="rId34">
        <w:r>
          <w:rPr>
            <w:spacing w:val="-2"/>
            <w:sz w:val="22"/>
          </w:rPr>
          <w:t>https://www.inamhi.gob.ec/</w:t>
        </w:r>
      </w:hyperlink>
    </w:p>
    <w:p>
      <w:pPr>
        <w:spacing w:line="360" w:lineRule="auto" w:before="246"/>
        <w:ind w:left="1288" w:right="137" w:hanging="721"/>
        <w:jc w:val="both"/>
        <w:rPr>
          <w:sz w:val="22"/>
        </w:rPr>
      </w:pPr>
      <w:r>
        <w:rPr>
          <w:sz w:val="22"/>
        </w:rPr>
        <w:t>Jaeger, A. T., Pypendop, B. H., Ahokoivu, H., &amp; Honkavaara, J. (2020, 11 21). Efectos cardiopulmonares de la dexmedetomidina, con y sin vatinoxan, en gatos anestesiados con isoflurano. </w:t>
      </w:r>
      <w:r>
        <w:rPr>
          <w:i/>
          <w:sz w:val="22"/>
        </w:rPr>
        <w:t>Anestesia y analgesia veterinaria, 46</w:t>
      </w:r>
      <w:r>
        <w:rPr>
          <w:sz w:val="22"/>
        </w:rPr>
        <w:t>(6), 753-764. </w:t>
      </w:r>
      <w:r>
        <w:rPr>
          <w:spacing w:val="-2"/>
          <w:sz w:val="22"/>
        </w:rPr>
        <w:t>doi:</w:t>
      </w:r>
      <w:hyperlink r:id="rId35">
        <w:r>
          <w:rPr>
            <w:spacing w:val="-2"/>
            <w:sz w:val="22"/>
          </w:rPr>
          <w:t>https://doi.org/10.1016/j.vaa.2019.05.012</w:t>
        </w:r>
      </w:hyperlink>
    </w:p>
    <w:p>
      <w:pPr>
        <w:spacing w:line="360" w:lineRule="auto" w:before="242"/>
        <w:ind w:left="1288" w:right="141" w:hanging="721"/>
        <w:jc w:val="both"/>
        <w:rPr>
          <w:sz w:val="22"/>
        </w:rPr>
      </w:pPr>
      <w:r>
        <w:rPr>
          <w:sz w:val="22"/>
        </w:rPr>
        <w:t>Jarosinski, S., Simon, B., Baetge, C., Parry, S., &amp; Araos, J. (2021, 9 27). Efectos de la administración profiláctica de dexmedetomidina en la calidad de la recuperación de</w:t>
      </w:r>
      <w:r>
        <w:rPr>
          <w:spacing w:val="-12"/>
          <w:sz w:val="22"/>
        </w:rPr>
        <w:t> </w:t>
      </w:r>
      <w:r>
        <w:rPr>
          <w:sz w:val="22"/>
        </w:rPr>
        <w:t>la</w:t>
      </w:r>
      <w:r>
        <w:rPr>
          <w:spacing w:val="-12"/>
          <w:sz w:val="22"/>
        </w:rPr>
        <w:t> </w:t>
      </w:r>
      <w:r>
        <w:rPr>
          <w:sz w:val="22"/>
        </w:rPr>
        <w:t>anestesia</w:t>
      </w:r>
      <w:r>
        <w:rPr>
          <w:spacing w:val="-12"/>
          <w:sz w:val="22"/>
        </w:rPr>
        <w:t> </w:t>
      </w:r>
      <w:r>
        <w:rPr>
          <w:sz w:val="22"/>
        </w:rPr>
        <w:t>general</w:t>
      </w:r>
      <w:r>
        <w:rPr>
          <w:spacing w:val="-12"/>
          <w:sz w:val="22"/>
        </w:rPr>
        <w:t> </w:t>
      </w:r>
      <w:r>
        <w:rPr>
          <w:sz w:val="22"/>
        </w:rPr>
        <w:t>en</w:t>
      </w:r>
      <w:r>
        <w:rPr>
          <w:spacing w:val="-9"/>
          <w:sz w:val="22"/>
        </w:rPr>
        <w:t> </w:t>
      </w:r>
      <w:r>
        <w:rPr>
          <w:sz w:val="22"/>
        </w:rPr>
        <w:t>perros</w:t>
      </w:r>
      <w:r>
        <w:rPr>
          <w:spacing w:val="-12"/>
          <w:sz w:val="22"/>
        </w:rPr>
        <w:t> </w:t>
      </w:r>
      <w:r>
        <w:rPr>
          <w:sz w:val="22"/>
        </w:rPr>
        <w:t>sanos</w:t>
      </w:r>
      <w:r>
        <w:rPr>
          <w:spacing w:val="-12"/>
          <w:sz w:val="22"/>
        </w:rPr>
        <w:t> </w:t>
      </w:r>
      <w:r>
        <w:rPr>
          <w:sz w:val="22"/>
        </w:rPr>
        <w:t>anestesiados</w:t>
      </w:r>
      <w:r>
        <w:rPr>
          <w:spacing w:val="-12"/>
          <w:sz w:val="22"/>
        </w:rPr>
        <w:t> </w:t>
      </w:r>
      <w:r>
        <w:rPr>
          <w:sz w:val="22"/>
        </w:rPr>
        <w:t>con</w:t>
      </w:r>
      <w:r>
        <w:rPr>
          <w:spacing w:val="-13"/>
          <w:sz w:val="22"/>
        </w:rPr>
        <w:t> </w:t>
      </w:r>
      <w:r>
        <w:rPr>
          <w:sz w:val="22"/>
        </w:rPr>
        <w:t>sevoflurano</w:t>
      </w:r>
      <w:r>
        <w:rPr>
          <w:spacing w:val="-13"/>
          <w:sz w:val="22"/>
        </w:rPr>
        <w:t> </w:t>
      </w:r>
      <w:r>
        <w:rPr>
          <w:sz w:val="22"/>
        </w:rPr>
        <w:t>y</w:t>
      </w:r>
      <w:r>
        <w:rPr>
          <w:spacing w:val="-13"/>
          <w:sz w:val="22"/>
        </w:rPr>
        <w:t> </w:t>
      </w:r>
      <w:r>
        <w:rPr>
          <w:sz w:val="22"/>
        </w:rPr>
        <w:t>una</w:t>
      </w:r>
      <w:r>
        <w:rPr>
          <w:spacing w:val="-12"/>
          <w:sz w:val="22"/>
        </w:rPr>
        <w:t> </w:t>
      </w:r>
      <w:r>
        <w:rPr>
          <w:sz w:val="22"/>
        </w:rPr>
        <w:t>infusión constante</w:t>
      </w:r>
      <w:r>
        <w:rPr>
          <w:spacing w:val="-14"/>
          <w:sz w:val="22"/>
        </w:rPr>
        <w:t> </w:t>
      </w:r>
      <w:r>
        <w:rPr>
          <w:sz w:val="22"/>
        </w:rPr>
        <w:t>de</w:t>
      </w:r>
      <w:r>
        <w:rPr>
          <w:spacing w:val="-14"/>
          <w:sz w:val="22"/>
        </w:rPr>
        <w:t> </w:t>
      </w:r>
      <w:r>
        <w:rPr>
          <w:sz w:val="22"/>
        </w:rPr>
        <w:t>fentanilo</w:t>
      </w:r>
      <w:r>
        <w:rPr>
          <w:spacing w:val="-14"/>
          <w:sz w:val="22"/>
        </w:rPr>
        <w:t> </w:t>
      </w:r>
      <w:r>
        <w:rPr>
          <w:sz w:val="22"/>
        </w:rPr>
        <w:t>sometidos</w:t>
      </w:r>
      <w:r>
        <w:rPr>
          <w:spacing w:val="-13"/>
          <w:sz w:val="22"/>
        </w:rPr>
        <w:t> </w:t>
      </w:r>
      <w:r>
        <w:rPr>
          <w:sz w:val="22"/>
        </w:rPr>
        <w:t>a</w:t>
      </w:r>
      <w:r>
        <w:rPr>
          <w:spacing w:val="-14"/>
          <w:sz w:val="22"/>
        </w:rPr>
        <w:t> </w:t>
      </w:r>
      <w:r>
        <w:rPr>
          <w:sz w:val="22"/>
        </w:rPr>
        <w:t>procedimientos</w:t>
      </w:r>
      <w:r>
        <w:rPr>
          <w:spacing w:val="-14"/>
          <w:sz w:val="22"/>
        </w:rPr>
        <w:t> </w:t>
      </w:r>
      <w:r>
        <w:rPr>
          <w:sz w:val="22"/>
        </w:rPr>
        <w:t>ortopédicos</w:t>
      </w:r>
      <w:r>
        <w:rPr>
          <w:spacing w:val="-14"/>
          <w:sz w:val="22"/>
        </w:rPr>
        <w:t> </w:t>
      </w:r>
      <w:r>
        <w:rPr>
          <w:sz w:val="22"/>
        </w:rPr>
        <w:t>electivos.</w:t>
      </w:r>
      <w:r>
        <w:rPr>
          <w:spacing w:val="-13"/>
          <w:sz w:val="22"/>
        </w:rPr>
        <w:t> </w:t>
      </w:r>
      <w:r>
        <w:rPr>
          <w:sz w:val="22"/>
        </w:rPr>
        <w:t>(P.</w:t>
      </w:r>
      <w:r>
        <w:rPr>
          <w:spacing w:val="-14"/>
          <w:sz w:val="22"/>
        </w:rPr>
        <w:t> </w:t>
      </w:r>
      <w:r>
        <w:rPr>
          <w:sz w:val="22"/>
        </w:rPr>
        <w:t>Otero, Éd.) </w:t>
      </w:r>
      <w:r>
        <w:rPr>
          <w:i/>
          <w:sz w:val="22"/>
        </w:rPr>
        <w:t>Frontiers, 8</w:t>
      </w:r>
      <w:r>
        <w:rPr>
          <w:sz w:val="22"/>
        </w:rPr>
        <w:t>. doi:10.3389/fvets.2021.722038</w:t>
      </w:r>
    </w:p>
    <w:p>
      <w:pPr>
        <w:tabs>
          <w:tab w:pos="2836" w:val="left" w:leader="none"/>
          <w:tab w:pos="4398" w:val="left" w:leader="none"/>
          <w:tab w:pos="5569" w:val="left" w:leader="none"/>
          <w:tab w:pos="6773" w:val="left" w:leader="none"/>
          <w:tab w:pos="8236" w:val="left" w:leader="none"/>
        </w:tabs>
        <w:spacing w:line="360" w:lineRule="auto" w:before="239"/>
        <w:ind w:left="1288" w:right="137" w:hanging="721"/>
        <w:jc w:val="both"/>
        <w:rPr>
          <w:sz w:val="22"/>
        </w:rPr>
      </w:pPr>
      <w:r>
        <w:rPr>
          <w:spacing w:val="-2"/>
          <w:sz w:val="22"/>
        </w:rPr>
        <w:t>Kenneth,</w:t>
      </w:r>
      <w:r>
        <w:rPr>
          <w:spacing w:val="-12"/>
          <w:sz w:val="22"/>
        </w:rPr>
        <w:t> </w:t>
      </w:r>
      <w:r>
        <w:rPr>
          <w:spacing w:val="-2"/>
          <w:sz w:val="22"/>
        </w:rPr>
        <w:t>A.,</w:t>
      </w:r>
      <w:r>
        <w:rPr>
          <w:spacing w:val="-12"/>
          <w:sz w:val="22"/>
        </w:rPr>
        <w:t> </w:t>
      </w:r>
      <w:r>
        <w:rPr>
          <w:spacing w:val="-2"/>
          <w:sz w:val="22"/>
        </w:rPr>
        <w:t>Chike,</w:t>
      </w:r>
      <w:r>
        <w:rPr>
          <w:spacing w:val="-9"/>
          <w:sz w:val="22"/>
        </w:rPr>
        <w:t> </w:t>
      </w:r>
      <w:r>
        <w:rPr>
          <w:spacing w:val="-2"/>
          <w:sz w:val="22"/>
        </w:rPr>
        <w:t>O.,</w:t>
      </w:r>
      <w:r>
        <w:rPr>
          <w:spacing w:val="-12"/>
          <w:sz w:val="22"/>
        </w:rPr>
        <w:t> </w:t>
      </w:r>
      <w:r>
        <w:rPr>
          <w:spacing w:val="-2"/>
          <w:sz w:val="22"/>
        </w:rPr>
        <w:t>Theophilus,</w:t>
      </w:r>
      <w:r>
        <w:rPr>
          <w:spacing w:val="-3"/>
          <w:sz w:val="22"/>
        </w:rPr>
        <w:t> </w:t>
      </w:r>
      <w:r>
        <w:rPr>
          <w:spacing w:val="-2"/>
          <w:sz w:val="22"/>
        </w:rPr>
        <w:t>N.,</w:t>
      </w:r>
      <w:r>
        <w:rPr>
          <w:spacing w:val="-8"/>
          <w:sz w:val="22"/>
        </w:rPr>
        <w:t> </w:t>
      </w:r>
      <w:r>
        <w:rPr>
          <w:spacing w:val="-2"/>
          <w:sz w:val="22"/>
        </w:rPr>
        <w:t>&amp;</w:t>
      </w:r>
      <w:r>
        <w:rPr>
          <w:spacing w:val="-3"/>
          <w:sz w:val="22"/>
        </w:rPr>
        <w:t> </w:t>
      </w:r>
      <w:r>
        <w:rPr>
          <w:spacing w:val="-2"/>
          <w:sz w:val="22"/>
        </w:rPr>
        <w:t>Ikechukwu,</w:t>
      </w:r>
      <w:r>
        <w:rPr>
          <w:spacing w:val="-3"/>
          <w:sz w:val="22"/>
        </w:rPr>
        <w:t> </w:t>
      </w:r>
      <w:r>
        <w:rPr>
          <w:spacing w:val="-2"/>
          <w:sz w:val="22"/>
        </w:rPr>
        <w:t>U.</w:t>
      </w:r>
      <w:r>
        <w:rPr>
          <w:spacing w:val="-3"/>
          <w:sz w:val="22"/>
        </w:rPr>
        <w:t> </w:t>
      </w:r>
      <w:r>
        <w:rPr>
          <w:spacing w:val="-2"/>
          <w:sz w:val="22"/>
        </w:rPr>
        <w:t>(2020,</w:t>
      </w:r>
      <w:r>
        <w:rPr>
          <w:spacing w:val="-8"/>
          <w:sz w:val="22"/>
        </w:rPr>
        <w:t> </w:t>
      </w:r>
      <w:r>
        <w:rPr>
          <w:spacing w:val="-2"/>
          <w:sz w:val="22"/>
        </w:rPr>
        <w:t>5</w:t>
      </w:r>
      <w:r>
        <w:rPr>
          <w:spacing w:val="-6"/>
          <w:sz w:val="22"/>
        </w:rPr>
        <w:t> </w:t>
      </w:r>
      <w:r>
        <w:rPr>
          <w:spacing w:val="-2"/>
          <w:sz w:val="22"/>
        </w:rPr>
        <w:t>20).</w:t>
      </w:r>
      <w:r>
        <w:rPr>
          <w:spacing w:val="-12"/>
          <w:sz w:val="22"/>
        </w:rPr>
        <w:t> </w:t>
      </w:r>
      <w:r>
        <w:rPr>
          <w:spacing w:val="-2"/>
          <w:sz w:val="22"/>
        </w:rPr>
        <w:t>Vaginal</w:t>
      </w:r>
      <w:r>
        <w:rPr>
          <w:spacing w:val="-5"/>
          <w:sz w:val="22"/>
        </w:rPr>
        <w:t> </w:t>
      </w:r>
      <w:r>
        <w:rPr>
          <w:spacing w:val="-2"/>
          <w:sz w:val="22"/>
        </w:rPr>
        <w:t>Hyperplasia </w:t>
      </w:r>
      <w:r>
        <w:rPr>
          <w:sz w:val="22"/>
        </w:rPr>
        <w:t>and Progressive Vaginal Fold Prolapse in a Bullmastiff Bitch. </w:t>
      </w:r>
      <w:r>
        <w:rPr>
          <w:i/>
          <w:sz w:val="22"/>
        </w:rPr>
        <w:t>Open Journal of </w:t>
      </w:r>
      <w:r>
        <w:rPr>
          <w:i/>
          <w:spacing w:val="-2"/>
          <w:sz w:val="22"/>
        </w:rPr>
        <w:t>Veterinary</w:t>
      </w:r>
      <w:r>
        <w:rPr>
          <w:i/>
          <w:sz w:val="22"/>
        </w:rPr>
        <w:tab/>
      </w:r>
      <w:r>
        <w:rPr>
          <w:i/>
          <w:spacing w:val="-2"/>
          <w:sz w:val="22"/>
        </w:rPr>
        <w:t>Medicine,,</w:t>
      </w:r>
      <w:r>
        <w:rPr>
          <w:i/>
          <w:sz w:val="22"/>
        </w:rPr>
        <w:tab/>
      </w:r>
      <w:r>
        <w:rPr>
          <w:i/>
          <w:spacing w:val="-2"/>
          <w:sz w:val="22"/>
        </w:rPr>
        <w:t>10</w:t>
      </w:r>
      <w:r>
        <w:rPr>
          <w:spacing w:val="-2"/>
          <w:sz w:val="22"/>
        </w:rPr>
        <w:t>(5),</w:t>
      </w:r>
      <w:r>
        <w:rPr>
          <w:sz w:val="22"/>
        </w:rPr>
        <w:tab/>
      </w:r>
      <w:r>
        <w:rPr>
          <w:spacing w:val="-2"/>
          <w:sz w:val="22"/>
        </w:rPr>
        <w:t>45-58.</w:t>
      </w:r>
      <w:r>
        <w:rPr>
          <w:sz w:val="22"/>
        </w:rPr>
        <w:tab/>
      </w:r>
      <w:r>
        <w:rPr>
          <w:spacing w:val="-2"/>
          <w:sz w:val="22"/>
        </w:rPr>
        <w:t>Récupéré</w:t>
      </w:r>
      <w:r>
        <w:rPr>
          <w:sz w:val="22"/>
        </w:rPr>
        <w:tab/>
      </w:r>
      <w:r>
        <w:rPr>
          <w:spacing w:val="-4"/>
          <w:sz w:val="22"/>
        </w:rPr>
        <w:t>sur </w:t>
      </w:r>
      <w:hyperlink r:id="rId36">
        <w:r>
          <w:rPr>
            <w:spacing w:val="-2"/>
            <w:sz w:val="22"/>
          </w:rPr>
          <w:t>https://www.scirp.org/reference/referencespapers?referenceid=2750193</w:t>
        </w:r>
      </w:hyperlink>
    </w:p>
    <w:p>
      <w:pPr>
        <w:spacing w:line="360" w:lineRule="auto" w:before="239"/>
        <w:ind w:left="1288" w:right="142" w:hanging="721"/>
        <w:jc w:val="both"/>
        <w:rPr>
          <w:sz w:val="22"/>
        </w:rPr>
      </w:pPr>
      <w:r>
        <w:rPr>
          <w:sz w:val="22"/>
        </w:rPr>
        <w:t>Klasić, M., Seliškar,</w:t>
      </w:r>
      <w:r>
        <w:rPr>
          <w:spacing w:val="-7"/>
          <w:sz w:val="22"/>
        </w:rPr>
        <w:t> </w:t>
      </w:r>
      <w:r>
        <w:rPr>
          <w:sz w:val="22"/>
        </w:rPr>
        <w:t>A., Rakinić, K., Ipavec, M., Sredenšek, J., &amp; Tomsič, K. (2025, 10). Efectos sedantes y cardiovasculares de la premedicación con acepromazina, metadona y dexmedetomidina en perros anestesiados con sevoflurano. </w:t>
      </w:r>
      <w:r>
        <w:rPr>
          <w:i/>
          <w:sz w:val="22"/>
        </w:rPr>
        <w:t>Elsevier Anestesia</w:t>
      </w:r>
      <w:r>
        <w:rPr>
          <w:i/>
          <w:spacing w:val="-8"/>
          <w:sz w:val="22"/>
        </w:rPr>
        <w:t> </w:t>
      </w:r>
      <w:r>
        <w:rPr>
          <w:i/>
          <w:sz w:val="22"/>
        </w:rPr>
        <w:t>y</w:t>
      </w:r>
      <w:r>
        <w:rPr>
          <w:i/>
          <w:spacing w:val="-14"/>
          <w:sz w:val="22"/>
        </w:rPr>
        <w:t> </w:t>
      </w:r>
      <w:r>
        <w:rPr>
          <w:i/>
          <w:sz w:val="22"/>
        </w:rPr>
        <w:t>Analgesia</w:t>
      </w:r>
      <w:r>
        <w:rPr>
          <w:i/>
          <w:spacing w:val="-8"/>
          <w:sz w:val="22"/>
        </w:rPr>
        <w:t> </w:t>
      </w:r>
      <w:r>
        <w:rPr>
          <w:i/>
          <w:sz w:val="22"/>
        </w:rPr>
        <w:t>Veterinaria,</w:t>
      </w:r>
      <w:r>
        <w:rPr>
          <w:i/>
          <w:spacing w:val="-9"/>
          <w:sz w:val="22"/>
        </w:rPr>
        <w:t> </w:t>
      </w:r>
      <w:r>
        <w:rPr>
          <w:i/>
          <w:sz w:val="22"/>
        </w:rPr>
        <w:t>52</w:t>
      </w:r>
      <w:r>
        <w:rPr>
          <w:sz w:val="22"/>
        </w:rPr>
        <w:t>(5),</w:t>
      </w:r>
      <w:r>
        <w:rPr>
          <w:spacing w:val="-9"/>
          <w:sz w:val="22"/>
        </w:rPr>
        <w:t> </w:t>
      </w:r>
      <w:r>
        <w:rPr>
          <w:sz w:val="22"/>
        </w:rPr>
        <w:t>595-603.</w:t>
      </w:r>
      <w:r>
        <w:rPr>
          <w:spacing w:val="-9"/>
          <w:sz w:val="22"/>
        </w:rPr>
        <w:t> </w:t>
      </w:r>
      <w:r>
        <w:rPr>
          <w:sz w:val="22"/>
        </w:rPr>
        <w:t>doi:10.1016/j.vaa.2025.06.008</w:t>
      </w:r>
    </w:p>
    <w:p>
      <w:pPr>
        <w:spacing w:line="360" w:lineRule="auto" w:before="243"/>
        <w:ind w:left="1288" w:right="135" w:hanging="721"/>
        <w:jc w:val="both"/>
        <w:rPr>
          <w:sz w:val="22"/>
        </w:rPr>
      </w:pPr>
      <w:r>
        <w:rPr>
          <w:sz w:val="22"/>
        </w:rPr>
        <w:t>Ko,</w:t>
      </w:r>
      <w:r>
        <w:rPr>
          <w:spacing w:val="-9"/>
          <w:sz w:val="22"/>
        </w:rPr>
        <w:t> </w:t>
      </w:r>
      <w:r>
        <w:rPr>
          <w:sz w:val="22"/>
        </w:rPr>
        <w:t>J.</w:t>
      </w:r>
      <w:r>
        <w:rPr>
          <w:spacing w:val="-6"/>
          <w:sz w:val="22"/>
        </w:rPr>
        <w:t> </w:t>
      </w:r>
      <w:r>
        <w:rPr>
          <w:sz w:val="22"/>
        </w:rPr>
        <w:t>C.,</w:t>
      </w:r>
      <w:r>
        <w:rPr>
          <w:spacing w:val="-6"/>
          <w:sz w:val="22"/>
        </w:rPr>
        <w:t> </w:t>
      </w:r>
      <w:r>
        <w:rPr>
          <w:sz w:val="22"/>
        </w:rPr>
        <w:t>Murillo,</w:t>
      </w:r>
      <w:r>
        <w:rPr>
          <w:spacing w:val="-6"/>
          <w:sz w:val="22"/>
        </w:rPr>
        <w:t> </w:t>
      </w:r>
      <w:r>
        <w:rPr>
          <w:sz w:val="22"/>
        </w:rPr>
        <w:t>C.,</w:t>
      </w:r>
      <w:r>
        <w:rPr>
          <w:spacing w:val="-13"/>
          <w:sz w:val="22"/>
        </w:rPr>
        <w:t> </w:t>
      </w:r>
      <w:r>
        <w:rPr>
          <w:sz w:val="22"/>
        </w:rPr>
        <w:t>Weil,</w:t>
      </w:r>
      <w:r>
        <w:rPr>
          <w:spacing w:val="-14"/>
          <w:sz w:val="22"/>
        </w:rPr>
        <w:t> </w:t>
      </w:r>
      <w:r>
        <w:rPr>
          <w:sz w:val="22"/>
        </w:rPr>
        <w:t>A.</w:t>
      </w:r>
      <w:r>
        <w:rPr>
          <w:spacing w:val="-6"/>
          <w:sz w:val="22"/>
        </w:rPr>
        <w:t> </w:t>
      </w:r>
      <w:r>
        <w:rPr>
          <w:sz w:val="22"/>
        </w:rPr>
        <w:t>B.,</w:t>
      </w:r>
      <w:r>
        <w:rPr>
          <w:spacing w:val="-6"/>
          <w:sz w:val="22"/>
        </w:rPr>
        <w:t> </w:t>
      </w:r>
      <w:r>
        <w:rPr>
          <w:sz w:val="22"/>
        </w:rPr>
        <w:t>Kreuzer,,</w:t>
      </w:r>
      <w:r>
        <w:rPr>
          <w:spacing w:val="-10"/>
          <w:sz w:val="22"/>
        </w:rPr>
        <w:t> </w:t>
      </w:r>
      <w:r>
        <w:rPr>
          <w:sz w:val="22"/>
        </w:rPr>
        <w:t>M.,</w:t>
      </w:r>
      <w:r>
        <w:rPr>
          <w:spacing w:val="-6"/>
          <w:sz w:val="22"/>
        </w:rPr>
        <w:t> </w:t>
      </w:r>
      <w:r>
        <w:rPr>
          <w:sz w:val="22"/>
        </w:rPr>
        <w:t>&amp;</w:t>
      </w:r>
      <w:r>
        <w:rPr>
          <w:spacing w:val="-6"/>
          <w:sz w:val="22"/>
        </w:rPr>
        <w:t> </w:t>
      </w:r>
      <w:r>
        <w:rPr>
          <w:sz w:val="22"/>
        </w:rPr>
        <w:t>Moore,</w:t>
      </w:r>
      <w:r>
        <w:rPr>
          <w:spacing w:val="-6"/>
          <w:sz w:val="22"/>
        </w:rPr>
        <w:t> </w:t>
      </w:r>
      <w:r>
        <w:rPr>
          <w:sz w:val="22"/>
        </w:rPr>
        <w:t>G.</w:t>
      </w:r>
      <w:r>
        <w:rPr>
          <w:spacing w:val="-6"/>
          <w:sz w:val="22"/>
        </w:rPr>
        <w:t> </w:t>
      </w:r>
      <w:r>
        <w:rPr>
          <w:sz w:val="22"/>
        </w:rPr>
        <w:t>E.</w:t>
      </w:r>
      <w:r>
        <w:rPr>
          <w:spacing w:val="-6"/>
          <w:sz w:val="22"/>
        </w:rPr>
        <w:t> </w:t>
      </w:r>
      <w:r>
        <w:rPr>
          <w:sz w:val="22"/>
        </w:rPr>
        <w:t>(2024,</w:t>
      </w:r>
      <w:r>
        <w:rPr>
          <w:spacing w:val="-10"/>
          <w:sz w:val="22"/>
        </w:rPr>
        <w:t> </w:t>
      </w:r>
      <w:r>
        <w:rPr>
          <w:sz w:val="22"/>
        </w:rPr>
        <w:t>2</w:t>
      </w:r>
      <w:r>
        <w:rPr>
          <w:spacing w:val="-5"/>
          <w:sz w:val="22"/>
        </w:rPr>
        <w:t> </w:t>
      </w:r>
      <w:r>
        <w:rPr>
          <w:sz w:val="22"/>
        </w:rPr>
        <w:t>6).</w:t>
      </w:r>
      <w:r>
        <w:rPr>
          <w:spacing w:val="-6"/>
          <w:sz w:val="22"/>
        </w:rPr>
        <w:t> </w:t>
      </w:r>
      <w:r>
        <w:rPr>
          <w:sz w:val="22"/>
        </w:rPr>
        <w:t>Sedación</w:t>
      </w:r>
      <w:r>
        <w:rPr>
          <w:spacing w:val="-5"/>
          <w:sz w:val="22"/>
        </w:rPr>
        <w:t> </w:t>
      </w:r>
      <w:r>
        <w:rPr>
          <w:sz w:val="22"/>
        </w:rPr>
        <w:t>con dexmedetomidina en perros: impacto en la electroencefalografía, el comportamiento, la analgesia y el antagonismo con Atipamezol. </w:t>
      </w:r>
      <w:r>
        <w:rPr>
          <w:i/>
          <w:sz w:val="22"/>
        </w:rPr>
        <w:t>Ciencias Veterinarias, 11</w:t>
      </w:r>
      <w:r>
        <w:rPr>
          <w:sz w:val="22"/>
        </w:rPr>
        <w:t>(2), 74. doi:10.3390/vetsci11020074</w:t>
      </w:r>
    </w:p>
    <w:p>
      <w:pPr>
        <w:spacing w:after="0" w:line="360" w:lineRule="auto"/>
        <w:jc w:val="both"/>
        <w:rPr>
          <w:sz w:val="22"/>
        </w:rPr>
        <w:sectPr>
          <w:pgSz w:w="11910" w:h="16840"/>
          <w:pgMar w:header="0" w:footer="1038" w:top="1620" w:bottom="1220" w:left="1700" w:right="1559"/>
        </w:sectPr>
      </w:pPr>
    </w:p>
    <w:p>
      <w:pPr>
        <w:spacing w:line="360" w:lineRule="auto" w:before="63"/>
        <w:ind w:left="1288" w:right="141" w:hanging="721"/>
        <w:jc w:val="both"/>
        <w:rPr>
          <w:sz w:val="22"/>
        </w:rPr>
      </w:pPr>
      <w:r>
        <w:rPr>
          <w:sz w:val="22"/>
        </w:rPr>
        <w:t>Leal-Gámez, J. A., Sánchez-Medina, J. R., &amp; Azúa-Guevara, R. I. (2025, 5 6). Comparación de sevoflurano y propofol en sedación de pacientes críticos con ventilación mecánica invasiva. </w:t>
      </w:r>
      <w:r>
        <w:rPr>
          <w:i/>
          <w:sz w:val="22"/>
        </w:rPr>
        <w:t>Med Crit, 39</w:t>
      </w:r>
      <w:r>
        <w:rPr>
          <w:sz w:val="22"/>
        </w:rPr>
        <w:t>(1), 14-18. doi:10.35366/121114</w:t>
      </w:r>
    </w:p>
    <w:p>
      <w:pPr>
        <w:spacing w:line="360" w:lineRule="auto" w:before="242"/>
        <w:ind w:left="1288" w:right="137" w:hanging="721"/>
        <w:jc w:val="both"/>
        <w:rPr>
          <w:sz w:val="22"/>
        </w:rPr>
      </w:pPr>
      <w:r>
        <w:rPr>
          <w:sz w:val="22"/>
        </w:rPr>
        <w:t>MAATE. (2021). </w:t>
      </w:r>
      <w:r>
        <w:rPr>
          <w:i/>
          <w:sz w:val="22"/>
        </w:rPr>
        <w:t>Sistema de clasificación de ecosistemas del Ecuador continental</w:t>
      </w:r>
      <w:r>
        <w:rPr>
          <w:sz w:val="22"/>
        </w:rPr>
        <w:t>. Récupéré sur Ministerio de Ambiente y Energía: </w:t>
      </w:r>
      <w:hyperlink r:id="rId37">
        <w:r>
          <w:rPr>
            <w:spacing w:val="-2"/>
            <w:sz w:val="22"/>
          </w:rPr>
          <w:t>https://www.ambienteyenergia.gob.ec/</w:t>
        </w:r>
      </w:hyperlink>
    </w:p>
    <w:p>
      <w:pPr>
        <w:spacing w:line="360" w:lineRule="auto" w:before="238"/>
        <w:ind w:left="1288" w:right="138" w:hanging="721"/>
        <w:jc w:val="both"/>
        <w:rPr>
          <w:sz w:val="22"/>
        </w:rPr>
      </w:pPr>
      <w:r>
        <w:rPr>
          <w:sz w:val="22"/>
        </w:rPr>
        <w:t>Martínez-Albiñana,</w:t>
      </w:r>
      <w:r>
        <w:rPr>
          <w:spacing w:val="-14"/>
          <w:sz w:val="22"/>
        </w:rPr>
        <w:t> </w:t>
      </w:r>
      <w:r>
        <w:rPr>
          <w:sz w:val="22"/>
        </w:rPr>
        <w:t>A.,</w:t>
      </w:r>
      <w:r>
        <w:rPr>
          <w:spacing w:val="-10"/>
          <w:sz w:val="22"/>
        </w:rPr>
        <w:t> </w:t>
      </w:r>
      <w:r>
        <w:rPr>
          <w:sz w:val="22"/>
        </w:rPr>
        <w:t>Plaza-del</w:t>
      </w:r>
      <w:r>
        <w:rPr>
          <w:spacing w:val="-6"/>
          <w:sz w:val="22"/>
        </w:rPr>
        <w:t> </w:t>
      </w:r>
      <w:r>
        <w:rPr>
          <w:sz w:val="22"/>
        </w:rPr>
        <w:t>Castaño,</w:t>
      </w:r>
      <w:r>
        <w:rPr>
          <w:spacing w:val="-4"/>
          <w:sz w:val="22"/>
        </w:rPr>
        <w:t> </w:t>
      </w:r>
      <w:r>
        <w:rPr>
          <w:sz w:val="22"/>
        </w:rPr>
        <w:t>Q.,</w:t>
      </w:r>
      <w:r>
        <w:rPr>
          <w:spacing w:val="-14"/>
          <w:sz w:val="22"/>
        </w:rPr>
        <w:t> </w:t>
      </w:r>
      <w:r>
        <w:rPr>
          <w:sz w:val="22"/>
        </w:rPr>
        <w:t>Aguilar-Gallego,</w:t>
      </w:r>
      <w:r>
        <w:rPr>
          <w:spacing w:val="-4"/>
          <w:sz w:val="22"/>
        </w:rPr>
        <w:t> </w:t>
      </w:r>
      <w:r>
        <w:rPr>
          <w:sz w:val="22"/>
        </w:rPr>
        <w:t>N.,</w:t>
      </w:r>
      <w:r>
        <w:rPr>
          <w:spacing w:val="-4"/>
          <w:sz w:val="22"/>
        </w:rPr>
        <w:t> </w:t>
      </w:r>
      <w:r>
        <w:rPr>
          <w:sz w:val="22"/>
        </w:rPr>
        <w:t>Fernández-Rodríguez, P., &amp; Viscasillas-Monteagudo, J. (2022, 9). Manejo anestésico del paciente con patología cardiaca adquirida. </w:t>
      </w:r>
      <w:r>
        <w:rPr>
          <w:i/>
          <w:sz w:val="22"/>
        </w:rPr>
        <w:t>Revista Oficial de</w:t>
      </w:r>
      <w:r>
        <w:rPr>
          <w:i/>
          <w:spacing w:val="-1"/>
          <w:sz w:val="22"/>
        </w:rPr>
        <w:t> </w:t>
      </w:r>
      <w:r>
        <w:rPr>
          <w:i/>
          <w:sz w:val="22"/>
        </w:rPr>
        <w:t>Avepa, 42</w:t>
      </w:r>
      <w:r>
        <w:rPr>
          <w:sz w:val="22"/>
        </w:rPr>
        <w:t>(3), 169-179. Récupéré sur </w:t>
      </w:r>
      <w:hyperlink r:id="rId38">
        <w:r>
          <w:rPr>
            <w:sz w:val="22"/>
          </w:rPr>
          <w:t>https://www.clinvetpeqanim.com/index.php?pag=articulo&amp;art=236</w:t>
        </w:r>
      </w:hyperlink>
    </w:p>
    <w:p>
      <w:pPr>
        <w:spacing w:line="360" w:lineRule="auto" w:before="242"/>
        <w:ind w:left="1288" w:right="138" w:hanging="721"/>
        <w:jc w:val="both"/>
        <w:rPr>
          <w:sz w:val="22"/>
        </w:rPr>
      </w:pPr>
      <w:r>
        <w:rPr>
          <w:spacing w:val="-2"/>
          <w:sz w:val="22"/>
        </w:rPr>
        <w:t>Megías,</w:t>
      </w:r>
      <w:r>
        <w:rPr>
          <w:spacing w:val="-12"/>
          <w:sz w:val="22"/>
        </w:rPr>
        <w:t> </w:t>
      </w:r>
      <w:r>
        <w:rPr>
          <w:spacing w:val="-2"/>
          <w:sz w:val="22"/>
        </w:rPr>
        <w:t>M.,</w:t>
      </w:r>
      <w:r>
        <w:rPr>
          <w:spacing w:val="-12"/>
          <w:sz w:val="22"/>
        </w:rPr>
        <w:t> </w:t>
      </w:r>
      <w:r>
        <w:rPr>
          <w:spacing w:val="-2"/>
          <w:sz w:val="22"/>
        </w:rPr>
        <w:t>Molist,</w:t>
      </w:r>
      <w:r>
        <w:rPr>
          <w:spacing w:val="-9"/>
          <w:sz w:val="22"/>
        </w:rPr>
        <w:t> </w:t>
      </w:r>
      <w:r>
        <w:rPr>
          <w:spacing w:val="-2"/>
          <w:sz w:val="22"/>
        </w:rPr>
        <w:t>P.,</w:t>
      </w:r>
      <w:r>
        <w:rPr>
          <w:spacing w:val="-8"/>
          <w:sz w:val="22"/>
        </w:rPr>
        <w:t> </w:t>
      </w:r>
      <w:r>
        <w:rPr>
          <w:spacing w:val="-2"/>
          <w:sz w:val="22"/>
        </w:rPr>
        <w:t>&amp;</w:t>
      </w:r>
      <w:r>
        <w:rPr>
          <w:spacing w:val="-12"/>
          <w:sz w:val="22"/>
        </w:rPr>
        <w:t> </w:t>
      </w:r>
      <w:r>
        <w:rPr>
          <w:spacing w:val="-2"/>
          <w:sz w:val="22"/>
        </w:rPr>
        <w:t>Pombal,</w:t>
      </w:r>
      <w:r>
        <w:rPr>
          <w:spacing w:val="-7"/>
          <w:sz w:val="22"/>
        </w:rPr>
        <w:t> </w:t>
      </w:r>
      <w:r>
        <w:rPr>
          <w:spacing w:val="-2"/>
          <w:sz w:val="22"/>
        </w:rPr>
        <w:t>M.</w:t>
      </w:r>
      <w:r>
        <w:rPr>
          <w:spacing w:val="-12"/>
          <w:sz w:val="22"/>
        </w:rPr>
        <w:t> </w:t>
      </w:r>
      <w:r>
        <w:rPr>
          <w:spacing w:val="-2"/>
          <w:sz w:val="22"/>
        </w:rPr>
        <w:t>A.</w:t>
      </w:r>
      <w:r>
        <w:rPr>
          <w:spacing w:val="-7"/>
          <w:sz w:val="22"/>
        </w:rPr>
        <w:t> </w:t>
      </w:r>
      <w:r>
        <w:rPr>
          <w:spacing w:val="-2"/>
          <w:sz w:val="22"/>
        </w:rPr>
        <w:t>(2025,</w:t>
      </w:r>
      <w:r>
        <w:rPr>
          <w:spacing w:val="-8"/>
          <w:sz w:val="22"/>
        </w:rPr>
        <w:t> </w:t>
      </w:r>
      <w:r>
        <w:rPr>
          <w:spacing w:val="-2"/>
          <w:sz w:val="22"/>
        </w:rPr>
        <w:t>3</w:t>
      </w:r>
      <w:r>
        <w:rPr>
          <w:spacing w:val="-10"/>
          <w:sz w:val="22"/>
        </w:rPr>
        <w:t> </w:t>
      </w:r>
      <w:r>
        <w:rPr>
          <w:spacing w:val="-2"/>
          <w:sz w:val="22"/>
        </w:rPr>
        <w:t>22).</w:t>
      </w:r>
      <w:r>
        <w:rPr>
          <w:spacing w:val="-7"/>
          <w:sz w:val="22"/>
        </w:rPr>
        <w:t> </w:t>
      </w:r>
      <w:r>
        <w:rPr>
          <w:i/>
          <w:spacing w:val="-2"/>
          <w:sz w:val="22"/>
        </w:rPr>
        <w:t>Atlas</w:t>
      </w:r>
      <w:r>
        <w:rPr>
          <w:i/>
          <w:spacing w:val="-10"/>
          <w:sz w:val="22"/>
        </w:rPr>
        <w:t> </w:t>
      </w:r>
      <w:r>
        <w:rPr>
          <w:i/>
          <w:spacing w:val="-2"/>
          <w:sz w:val="22"/>
        </w:rPr>
        <w:t>de</w:t>
      </w:r>
      <w:r>
        <w:rPr>
          <w:i/>
          <w:spacing w:val="-12"/>
          <w:sz w:val="22"/>
        </w:rPr>
        <w:t> </w:t>
      </w:r>
      <w:r>
        <w:rPr>
          <w:i/>
          <w:spacing w:val="-2"/>
          <w:sz w:val="22"/>
        </w:rPr>
        <w:t>Histología</w:t>
      </w:r>
      <w:r>
        <w:rPr>
          <w:i/>
          <w:spacing w:val="-10"/>
          <w:sz w:val="22"/>
        </w:rPr>
        <w:t> </w:t>
      </w:r>
      <w:r>
        <w:rPr>
          <w:i/>
          <w:spacing w:val="-2"/>
          <w:sz w:val="22"/>
        </w:rPr>
        <w:t>Vegetal</w:t>
      </w:r>
      <w:r>
        <w:rPr>
          <w:i/>
          <w:spacing w:val="-10"/>
          <w:sz w:val="22"/>
        </w:rPr>
        <w:t> </w:t>
      </w:r>
      <w:r>
        <w:rPr>
          <w:i/>
          <w:spacing w:val="-2"/>
          <w:sz w:val="22"/>
        </w:rPr>
        <w:t>y</w:t>
      </w:r>
      <w:r>
        <w:rPr>
          <w:i/>
          <w:spacing w:val="-12"/>
          <w:sz w:val="22"/>
        </w:rPr>
        <w:t> </w:t>
      </w:r>
      <w:r>
        <w:rPr>
          <w:i/>
          <w:spacing w:val="-2"/>
          <w:sz w:val="22"/>
        </w:rPr>
        <w:t>Animal: </w:t>
      </w:r>
      <w:r>
        <w:rPr>
          <w:i/>
          <w:sz w:val="22"/>
        </w:rPr>
        <w:t>Órganos</w:t>
      </w:r>
      <w:r>
        <w:rPr>
          <w:i/>
          <w:spacing w:val="-6"/>
          <w:sz w:val="22"/>
        </w:rPr>
        <w:t> </w:t>
      </w:r>
      <w:r>
        <w:rPr>
          <w:i/>
          <w:sz w:val="22"/>
        </w:rPr>
        <w:t>Animal</w:t>
      </w:r>
      <w:r>
        <w:rPr>
          <w:i/>
          <w:spacing w:val="-3"/>
          <w:sz w:val="22"/>
        </w:rPr>
        <w:t> </w:t>
      </w:r>
      <w:r>
        <w:rPr>
          <w:i/>
          <w:sz w:val="22"/>
        </w:rPr>
        <w:t>Cardiovascular. </w:t>
      </w:r>
      <w:r>
        <w:rPr>
          <w:sz w:val="22"/>
        </w:rPr>
        <w:t>Récupéré</w:t>
      </w:r>
      <w:r>
        <w:rPr>
          <w:spacing w:val="-3"/>
          <w:sz w:val="22"/>
        </w:rPr>
        <w:t> </w:t>
      </w:r>
      <w:r>
        <w:rPr>
          <w:sz w:val="22"/>
        </w:rPr>
        <w:t>sur</w:t>
      </w:r>
      <w:r>
        <w:rPr>
          <w:spacing w:val="-3"/>
          <w:sz w:val="22"/>
        </w:rPr>
        <w:t> </w:t>
      </w:r>
      <w:r>
        <w:rPr>
          <w:sz w:val="22"/>
        </w:rPr>
        <w:t>Órganos</w:t>
      </w:r>
      <w:r>
        <w:rPr>
          <w:spacing w:val="-3"/>
          <w:sz w:val="22"/>
        </w:rPr>
        <w:t> </w:t>
      </w:r>
      <w:r>
        <w:rPr>
          <w:sz w:val="22"/>
        </w:rPr>
        <w:t>animales</w:t>
      </w:r>
      <w:r>
        <w:rPr>
          <w:spacing w:val="-3"/>
          <w:sz w:val="22"/>
        </w:rPr>
        <w:t> </w:t>
      </w:r>
      <w:r>
        <w:rPr>
          <w:sz w:val="22"/>
        </w:rPr>
        <w:t>cardiovascular: </w:t>
      </w:r>
      <w:hyperlink r:id="rId39">
        <w:r>
          <w:rPr>
            <w:spacing w:val="-2"/>
            <w:sz w:val="22"/>
          </w:rPr>
          <w:t>https://mmegias.webs.uvigo.es/inicio.html</w:t>
        </w:r>
      </w:hyperlink>
      <w:r>
        <w:rPr>
          <w:spacing w:val="-2"/>
          <w:sz w:val="22"/>
        </w:rPr>
        <w:t>.</w:t>
      </w:r>
    </w:p>
    <w:p>
      <w:pPr>
        <w:spacing w:line="360" w:lineRule="auto" w:before="242"/>
        <w:ind w:left="1288" w:right="137" w:hanging="721"/>
        <w:jc w:val="both"/>
        <w:rPr>
          <w:sz w:val="22"/>
        </w:rPr>
      </w:pPr>
      <w:r>
        <w:rPr>
          <w:spacing w:val="-2"/>
          <w:sz w:val="22"/>
        </w:rPr>
        <w:t>Murillo,</w:t>
      </w:r>
      <w:r>
        <w:rPr>
          <w:spacing w:val="-9"/>
          <w:sz w:val="22"/>
        </w:rPr>
        <w:t> </w:t>
      </w:r>
      <w:r>
        <w:rPr>
          <w:spacing w:val="-2"/>
          <w:sz w:val="22"/>
        </w:rPr>
        <w:t>C.,</w:t>
      </w:r>
      <w:r>
        <w:rPr>
          <w:spacing w:val="-10"/>
          <w:sz w:val="22"/>
        </w:rPr>
        <w:t> </w:t>
      </w:r>
      <w:r>
        <w:rPr>
          <w:spacing w:val="-2"/>
          <w:sz w:val="22"/>
        </w:rPr>
        <w:t>Ko,</w:t>
      </w:r>
      <w:r>
        <w:rPr>
          <w:spacing w:val="-10"/>
          <w:sz w:val="22"/>
        </w:rPr>
        <w:t> </w:t>
      </w:r>
      <w:r>
        <w:rPr>
          <w:spacing w:val="-2"/>
          <w:sz w:val="22"/>
        </w:rPr>
        <w:t>J.</w:t>
      </w:r>
      <w:r>
        <w:rPr>
          <w:spacing w:val="-5"/>
          <w:sz w:val="22"/>
        </w:rPr>
        <w:t> </w:t>
      </w:r>
      <w:r>
        <w:rPr>
          <w:spacing w:val="-2"/>
          <w:sz w:val="22"/>
        </w:rPr>
        <w:t>C.,</w:t>
      </w:r>
      <w:r>
        <w:rPr>
          <w:spacing w:val="-12"/>
          <w:sz w:val="22"/>
        </w:rPr>
        <w:t> </w:t>
      </w:r>
      <w:r>
        <w:rPr>
          <w:spacing w:val="-2"/>
          <w:sz w:val="22"/>
        </w:rPr>
        <w:t>Weil,</w:t>
      </w:r>
      <w:r>
        <w:rPr>
          <w:spacing w:val="-12"/>
          <w:sz w:val="22"/>
        </w:rPr>
        <w:t> </w:t>
      </w:r>
      <w:r>
        <w:rPr>
          <w:spacing w:val="-2"/>
          <w:sz w:val="22"/>
        </w:rPr>
        <w:t>A.</w:t>
      </w:r>
      <w:r>
        <w:rPr>
          <w:spacing w:val="-9"/>
          <w:sz w:val="22"/>
        </w:rPr>
        <w:t> </w:t>
      </w:r>
      <w:r>
        <w:rPr>
          <w:spacing w:val="-2"/>
          <w:sz w:val="22"/>
        </w:rPr>
        <w:t>B.,</w:t>
      </w:r>
      <w:r>
        <w:rPr>
          <w:spacing w:val="-10"/>
          <w:sz w:val="22"/>
        </w:rPr>
        <w:t> </w:t>
      </w:r>
      <w:r>
        <w:rPr>
          <w:spacing w:val="-2"/>
          <w:sz w:val="22"/>
        </w:rPr>
        <w:t>Kreuzer,</w:t>
      </w:r>
      <w:r>
        <w:rPr>
          <w:spacing w:val="-5"/>
          <w:sz w:val="22"/>
        </w:rPr>
        <w:t> </w:t>
      </w:r>
      <w:r>
        <w:rPr>
          <w:spacing w:val="-2"/>
          <w:sz w:val="22"/>
        </w:rPr>
        <w:t>M.,</w:t>
      </w:r>
      <w:r>
        <w:rPr>
          <w:spacing w:val="-10"/>
          <w:sz w:val="22"/>
        </w:rPr>
        <w:t> </w:t>
      </w:r>
      <w:r>
        <w:rPr>
          <w:spacing w:val="-2"/>
          <w:sz w:val="22"/>
        </w:rPr>
        <w:t>&amp;</w:t>
      </w:r>
      <w:r>
        <w:rPr>
          <w:spacing w:val="-5"/>
          <w:sz w:val="22"/>
        </w:rPr>
        <w:t> </w:t>
      </w:r>
      <w:r>
        <w:rPr>
          <w:spacing w:val="-2"/>
          <w:sz w:val="22"/>
        </w:rPr>
        <w:t>Moore,</w:t>
      </w:r>
      <w:r>
        <w:rPr>
          <w:spacing w:val="-5"/>
          <w:sz w:val="22"/>
        </w:rPr>
        <w:t> </w:t>
      </w:r>
      <w:r>
        <w:rPr>
          <w:spacing w:val="-2"/>
          <w:sz w:val="22"/>
        </w:rPr>
        <w:t>G.</w:t>
      </w:r>
      <w:r>
        <w:rPr>
          <w:spacing w:val="-5"/>
          <w:sz w:val="22"/>
        </w:rPr>
        <w:t> </w:t>
      </w:r>
      <w:r>
        <w:rPr>
          <w:spacing w:val="-2"/>
          <w:sz w:val="22"/>
        </w:rPr>
        <w:t>E.</w:t>
      </w:r>
      <w:r>
        <w:rPr>
          <w:spacing w:val="-5"/>
          <w:sz w:val="22"/>
        </w:rPr>
        <w:t> </w:t>
      </w:r>
      <w:r>
        <w:rPr>
          <w:spacing w:val="-2"/>
          <w:sz w:val="22"/>
        </w:rPr>
        <w:t>(2025,</w:t>
      </w:r>
      <w:r>
        <w:rPr>
          <w:spacing w:val="-5"/>
          <w:sz w:val="22"/>
        </w:rPr>
        <w:t> </w:t>
      </w:r>
      <w:r>
        <w:rPr>
          <w:spacing w:val="-2"/>
          <w:sz w:val="22"/>
        </w:rPr>
        <w:t>3</w:t>
      </w:r>
      <w:r>
        <w:rPr>
          <w:spacing w:val="-7"/>
          <w:sz w:val="22"/>
        </w:rPr>
        <w:t> </w:t>
      </w:r>
      <w:r>
        <w:rPr>
          <w:spacing w:val="-2"/>
          <w:sz w:val="22"/>
        </w:rPr>
        <w:t>1). Caracterización </w:t>
      </w:r>
      <w:r>
        <w:rPr>
          <w:sz w:val="22"/>
        </w:rPr>
        <w:t>de patrones electroencefalográficos frontales caninos y correlaciones cardiovasculares</w:t>
      </w:r>
      <w:r>
        <w:rPr>
          <w:spacing w:val="-2"/>
          <w:sz w:val="22"/>
        </w:rPr>
        <w:t> </w:t>
      </w:r>
      <w:r>
        <w:rPr>
          <w:sz w:val="22"/>
        </w:rPr>
        <w:t>a</w:t>
      </w:r>
      <w:r>
        <w:rPr>
          <w:spacing w:val="-2"/>
          <w:sz w:val="22"/>
        </w:rPr>
        <w:t> </w:t>
      </w:r>
      <w:r>
        <w:rPr>
          <w:sz w:val="22"/>
        </w:rPr>
        <w:t>diferentes</w:t>
      </w:r>
      <w:r>
        <w:rPr>
          <w:spacing w:val="-2"/>
          <w:sz w:val="22"/>
        </w:rPr>
        <w:t> </w:t>
      </w:r>
      <w:r>
        <w:rPr>
          <w:sz w:val="22"/>
        </w:rPr>
        <w:t>niveles</w:t>
      </w:r>
      <w:r>
        <w:rPr>
          <w:spacing w:val="-2"/>
          <w:sz w:val="22"/>
        </w:rPr>
        <w:t> </w:t>
      </w:r>
      <w:r>
        <w:rPr>
          <w:sz w:val="22"/>
        </w:rPr>
        <w:t>anestésicos</w:t>
      </w:r>
      <w:r>
        <w:rPr>
          <w:spacing w:val="-2"/>
          <w:sz w:val="22"/>
        </w:rPr>
        <w:t> </w:t>
      </w:r>
      <w:r>
        <w:rPr>
          <w:sz w:val="22"/>
        </w:rPr>
        <w:t>de</w:t>
      </w:r>
      <w:r>
        <w:rPr>
          <w:spacing w:val="-2"/>
          <w:sz w:val="22"/>
        </w:rPr>
        <w:t> </w:t>
      </w:r>
      <w:r>
        <w:rPr>
          <w:sz w:val="22"/>
        </w:rPr>
        <w:t>sevoflurano. </w:t>
      </w:r>
      <w:r>
        <w:rPr>
          <w:i/>
          <w:sz w:val="22"/>
        </w:rPr>
        <w:t>Animales,</w:t>
      </w:r>
      <w:r>
        <w:rPr>
          <w:i/>
          <w:spacing w:val="-4"/>
          <w:sz w:val="22"/>
        </w:rPr>
        <w:t> </w:t>
      </w:r>
      <w:r>
        <w:rPr>
          <w:i/>
          <w:sz w:val="22"/>
        </w:rPr>
        <w:t>15</w:t>
      </w:r>
      <w:r>
        <w:rPr>
          <w:sz w:val="22"/>
        </w:rPr>
        <w:t>(5), 715. doi:10.3390/ani15050715</w:t>
      </w:r>
    </w:p>
    <w:p>
      <w:pPr>
        <w:spacing w:line="360" w:lineRule="auto" w:before="238"/>
        <w:ind w:left="1288" w:right="134" w:hanging="721"/>
        <w:jc w:val="both"/>
        <w:rPr>
          <w:sz w:val="22"/>
        </w:rPr>
      </w:pPr>
      <w:r>
        <w:rPr>
          <w:sz w:val="22"/>
        </w:rPr>
        <w:t>Murrell,</w:t>
      </w:r>
      <w:r>
        <w:rPr>
          <w:spacing w:val="-10"/>
          <w:sz w:val="22"/>
        </w:rPr>
        <w:t> </w:t>
      </w:r>
      <w:r>
        <w:rPr>
          <w:sz w:val="22"/>
        </w:rPr>
        <w:t>J.</w:t>
      </w:r>
      <w:r>
        <w:rPr>
          <w:spacing w:val="-10"/>
          <w:sz w:val="22"/>
        </w:rPr>
        <w:t> </w:t>
      </w:r>
      <w:r>
        <w:rPr>
          <w:sz w:val="22"/>
        </w:rPr>
        <w:t>C.,</w:t>
      </w:r>
      <w:r>
        <w:rPr>
          <w:spacing w:val="-10"/>
          <w:sz w:val="22"/>
        </w:rPr>
        <w:t> </w:t>
      </w:r>
      <w:r>
        <w:rPr>
          <w:sz w:val="22"/>
        </w:rPr>
        <w:t>&amp;</w:t>
      </w:r>
      <w:r>
        <w:rPr>
          <w:spacing w:val="-14"/>
          <w:sz w:val="22"/>
        </w:rPr>
        <w:t> </w:t>
      </w:r>
      <w:r>
        <w:rPr>
          <w:sz w:val="22"/>
        </w:rPr>
        <w:t>Hellebrekers,</w:t>
      </w:r>
      <w:r>
        <w:rPr>
          <w:spacing w:val="-10"/>
          <w:sz w:val="22"/>
        </w:rPr>
        <w:t> </w:t>
      </w:r>
      <w:r>
        <w:rPr>
          <w:sz w:val="22"/>
        </w:rPr>
        <w:t>L.</w:t>
      </w:r>
      <w:r>
        <w:rPr>
          <w:spacing w:val="-10"/>
          <w:sz w:val="22"/>
        </w:rPr>
        <w:t> </w:t>
      </w:r>
      <w:r>
        <w:rPr>
          <w:sz w:val="22"/>
        </w:rPr>
        <w:t>J.</w:t>
      </w:r>
      <w:r>
        <w:rPr>
          <w:spacing w:val="-10"/>
          <w:sz w:val="22"/>
        </w:rPr>
        <w:t> </w:t>
      </w:r>
      <w:r>
        <w:rPr>
          <w:sz w:val="22"/>
        </w:rPr>
        <w:t>(2005).</w:t>
      </w:r>
      <w:r>
        <w:rPr>
          <w:spacing w:val="-14"/>
          <w:sz w:val="22"/>
        </w:rPr>
        <w:t> </w:t>
      </w:r>
      <w:r>
        <w:rPr>
          <w:sz w:val="22"/>
        </w:rPr>
        <w:t>Medetomidine</w:t>
      </w:r>
      <w:r>
        <w:rPr>
          <w:spacing w:val="-12"/>
          <w:sz w:val="22"/>
        </w:rPr>
        <w:t> </w:t>
      </w:r>
      <w:r>
        <w:rPr>
          <w:sz w:val="22"/>
        </w:rPr>
        <w:t>and</w:t>
      </w:r>
      <w:r>
        <w:rPr>
          <w:spacing w:val="-13"/>
          <w:sz w:val="22"/>
        </w:rPr>
        <w:t> </w:t>
      </w:r>
      <w:r>
        <w:rPr>
          <w:sz w:val="22"/>
        </w:rPr>
        <w:t>dexmedetomidine:</w:t>
      </w:r>
      <w:r>
        <w:rPr>
          <w:spacing w:val="-12"/>
          <w:sz w:val="22"/>
        </w:rPr>
        <w:t> </w:t>
      </w:r>
      <w:r>
        <w:rPr>
          <w:sz w:val="22"/>
        </w:rPr>
        <w:t>a</w:t>
      </w:r>
      <w:r>
        <w:rPr>
          <w:spacing w:val="-12"/>
          <w:sz w:val="22"/>
        </w:rPr>
        <w:t> </w:t>
      </w:r>
      <w:r>
        <w:rPr>
          <w:sz w:val="22"/>
        </w:rPr>
        <w:t>review of cardiovascular effects and antinociceptive properties in the dog. </w:t>
      </w:r>
      <w:r>
        <w:rPr>
          <w:i/>
          <w:sz w:val="22"/>
        </w:rPr>
        <w:t>Veterinary Anaesthesia and Analgesia, 32</w:t>
      </w:r>
      <w:r>
        <w:rPr>
          <w:sz w:val="22"/>
        </w:rPr>
        <w:t>(1), 117-127. doi:</w:t>
      </w:r>
      <w:hyperlink r:id="rId40">
        <w:r>
          <w:rPr>
            <w:sz w:val="22"/>
          </w:rPr>
          <w:t>https://doi.org/10.1111/j.1467-</w:t>
        </w:r>
      </w:hyperlink>
      <w:r>
        <w:rPr>
          <w:spacing w:val="-2"/>
          <w:sz w:val="22"/>
        </w:rPr>
        <w:t>2995.2005.00233.x</w:t>
      </w:r>
    </w:p>
    <w:p>
      <w:pPr>
        <w:spacing w:line="360" w:lineRule="auto" w:before="239"/>
        <w:ind w:left="1288" w:right="138" w:hanging="721"/>
        <w:jc w:val="both"/>
        <w:rPr>
          <w:sz w:val="22"/>
        </w:rPr>
      </w:pPr>
      <w:r>
        <w:rPr>
          <w:sz w:val="22"/>
        </w:rPr>
        <w:t>Pan, S. Y., Liu, G., Lin, J. H., &amp; Jin, Y. P. (2021, 11 14). Eficacia y seguridad de la premedicación con dexmedetomidina en anestesia equilibrada: una revisión sistemática y metaanálisis en perros. </w:t>
      </w:r>
      <w:r>
        <w:rPr>
          <w:i/>
          <w:sz w:val="22"/>
        </w:rPr>
        <w:t>Animals , 11</w:t>
      </w:r>
      <w:r>
        <w:rPr>
          <w:sz w:val="22"/>
        </w:rPr>
        <w:t>(11), 3254. </w:t>
      </w:r>
      <w:r>
        <w:rPr>
          <w:spacing w:val="-2"/>
          <w:sz w:val="22"/>
        </w:rPr>
        <w:t>doi:10.3390/ani11113254</w:t>
      </w:r>
    </w:p>
    <w:p>
      <w:pPr>
        <w:spacing w:line="360" w:lineRule="auto" w:before="243"/>
        <w:ind w:left="1288" w:right="143" w:hanging="721"/>
        <w:jc w:val="both"/>
        <w:rPr>
          <w:sz w:val="22"/>
        </w:rPr>
      </w:pPr>
      <w:r>
        <w:rPr>
          <w:sz w:val="22"/>
        </w:rPr>
        <w:t>Peña-Montoya, W. R. (2024, 8 23). Implementación de la dexmedetomidina en unidades de cuidados intensivos y durante el período perioperatorio. </w:t>
      </w:r>
      <w:r>
        <w:rPr>
          <w:i/>
          <w:sz w:val="22"/>
        </w:rPr>
        <w:t>Revista Ciencia Multidisciplinar CUNORI, 8</w:t>
      </w:r>
      <w:r>
        <w:rPr>
          <w:sz w:val="22"/>
        </w:rPr>
        <w:t>(2), 1-14. doi:10.36314/cunori.v8i2.272</w:t>
      </w:r>
    </w:p>
    <w:p>
      <w:pPr>
        <w:spacing w:after="0" w:line="360" w:lineRule="auto"/>
        <w:jc w:val="both"/>
        <w:rPr>
          <w:sz w:val="22"/>
        </w:rPr>
        <w:sectPr>
          <w:pgSz w:w="11910" w:h="16840"/>
          <w:pgMar w:header="0" w:footer="1038" w:top="1620" w:bottom="1220" w:left="1700" w:right="1559"/>
        </w:sectPr>
      </w:pPr>
    </w:p>
    <w:p>
      <w:pPr>
        <w:spacing w:line="360" w:lineRule="auto" w:before="63"/>
        <w:ind w:left="1288" w:right="138" w:hanging="721"/>
        <w:jc w:val="both"/>
        <w:rPr>
          <w:sz w:val="22"/>
        </w:rPr>
      </w:pPr>
      <w:r>
        <w:rPr>
          <w:sz w:val="22"/>
        </w:rPr>
        <w:t>Redondo, J. I., Otero, P. E., Martínez-Taboada, F., Doménech,</w:t>
      </w:r>
      <w:r>
        <w:rPr>
          <w:spacing w:val="-3"/>
          <w:sz w:val="22"/>
        </w:rPr>
        <w:t> </w:t>
      </w:r>
      <w:r>
        <w:rPr>
          <w:sz w:val="22"/>
        </w:rPr>
        <w:t>L.,</w:t>
      </w:r>
      <w:r>
        <w:rPr>
          <w:spacing w:val="-3"/>
          <w:sz w:val="22"/>
        </w:rPr>
        <w:t> </w:t>
      </w:r>
      <w:r>
        <w:rPr>
          <w:sz w:val="22"/>
        </w:rPr>
        <w:t>Hernández-Magaña, E. Z., &amp;</w:t>
      </w:r>
      <w:r>
        <w:rPr>
          <w:spacing w:val="-3"/>
          <w:sz w:val="22"/>
        </w:rPr>
        <w:t> </w:t>
      </w:r>
      <w:r>
        <w:rPr>
          <w:sz w:val="22"/>
        </w:rPr>
        <w:t>Viscasillas, J. (2023, 11</w:t>
      </w:r>
      <w:r>
        <w:rPr>
          <w:spacing w:val="-2"/>
          <w:sz w:val="22"/>
        </w:rPr>
        <w:t> </w:t>
      </w:r>
      <w:r>
        <w:rPr>
          <w:sz w:val="22"/>
        </w:rPr>
        <w:t>13).</w:t>
      </w:r>
      <w:r>
        <w:rPr>
          <w:spacing w:val="-3"/>
          <w:sz w:val="22"/>
        </w:rPr>
        <w:t> </w:t>
      </w:r>
      <w:r>
        <w:rPr>
          <w:sz w:val="22"/>
        </w:rPr>
        <w:t>Mortalidad por</w:t>
      </w:r>
      <w:r>
        <w:rPr>
          <w:spacing w:val="-1"/>
          <w:sz w:val="22"/>
        </w:rPr>
        <w:t> </w:t>
      </w:r>
      <w:r>
        <w:rPr>
          <w:sz w:val="22"/>
        </w:rPr>
        <w:t>anestesia</w:t>
      </w:r>
      <w:r>
        <w:rPr>
          <w:spacing w:val="-1"/>
          <w:sz w:val="22"/>
        </w:rPr>
        <w:t> </w:t>
      </w:r>
      <w:r>
        <w:rPr>
          <w:sz w:val="22"/>
        </w:rPr>
        <w:t>en perros:</w:t>
      </w:r>
      <w:r>
        <w:rPr>
          <w:spacing w:val="-1"/>
          <w:sz w:val="22"/>
        </w:rPr>
        <w:t> </w:t>
      </w:r>
      <w:r>
        <w:rPr>
          <w:sz w:val="22"/>
        </w:rPr>
        <w:t>un análisis mundial</w:t>
      </w:r>
      <w:r>
        <w:rPr>
          <w:spacing w:val="-14"/>
          <w:sz w:val="22"/>
        </w:rPr>
        <w:t> </w:t>
      </w:r>
      <w:r>
        <w:rPr>
          <w:sz w:val="22"/>
        </w:rPr>
        <w:t>y</w:t>
      </w:r>
      <w:r>
        <w:rPr>
          <w:spacing w:val="-10"/>
          <w:sz w:val="22"/>
        </w:rPr>
        <w:t> </w:t>
      </w:r>
      <w:r>
        <w:rPr>
          <w:sz w:val="22"/>
        </w:rPr>
        <w:t>evaluación</w:t>
      </w:r>
      <w:r>
        <w:rPr>
          <w:spacing w:val="-9"/>
          <w:sz w:val="22"/>
        </w:rPr>
        <w:t> </w:t>
      </w:r>
      <w:r>
        <w:rPr>
          <w:sz w:val="22"/>
        </w:rPr>
        <w:t>de</w:t>
      </w:r>
      <w:r>
        <w:rPr>
          <w:spacing w:val="-12"/>
          <w:sz w:val="22"/>
        </w:rPr>
        <w:t> </w:t>
      </w:r>
      <w:r>
        <w:rPr>
          <w:sz w:val="22"/>
        </w:rPr>
        <w:t>riesgos.</w:t>
      </w:r>
      <w:r>
        <w:rPr>
          <w:spacing w:val="-6"/>
          <w:sz w:val="22"/>
        </w:rPr>
        <w:t> </w:t>
      </w:r>
      <w:r>
        <w:rPr>
          <w:i/>
          <w:sz w:val="22"/>
        </w:rPr>
        <w:t>VetRecord,</w:t>
      </w:r>
      <w:r>
        <w:rPr>
          <w:i/>
          <w:spacing w:val="-10"/>
          <w:sz w:val="22"/>
        </w:rPr>
        <w:t> </w:t>
      </w:r>
      <w:r>
        <w:rPr>
          <w:i/>
          <w:sz w:val="22"/>
        </w:rPr>
        <w:t>195</w:t>
      </w:r>
      <w:r>
        <w:rPr>
          <w:sz w:val="22"/>
        </w:rPr>
        <w:t>(1),</w:t>
      </w:r>
      <w:r>
        <w:rPr>
          <w:spacing w:val="-10"/>
          <w:sz w:val="22"/>
        </w:rPr>
        <w:t> </w:t>
      </w:r>
      <w:r>
        <w:rPr>
          <w:sz w:val="22"/>
        </w:rPr>
        <w:t>e3604.</w:t>
      </w:r>
      <w:r>
        <w:rPr>
          <w:spacing w:val="-10"/>
          <w:sz w:val="22"/>
        </w:rPr>
        <w:t> </w:t>
      </w:r>
      <w:r>
        <w:rPr>
          <w:spacing w:val="-2"/>
          <w:sz w:val="22"/>
        </w:rPr>
        <w:t>doi:10.1002/vetr.3604</w:t>
      </w:r>
    </w:p>
    <w:p>
      <w:pPr>
        <w:spacing w:before="242"/>
        <w:ind w:left="568" w:right="0" w:firstLine="0"/>
        <w:jc w:val="left"/>
        <w:rPr>
          <w:sz w:val="22"/>
        </w:rPr>
      </w:pPr>
      <w:r>
        <w:rPr>
          <w:sz w:val="22"/>
        </w:rPr>
        <w:t>Romagnoli,</w:t>
      </w:r>
      <w:r>
        <w:rPr>
          <w:spacing w:val="-14"/>
          <w:sz w:val="22"/>
        </w:rPr>
        <w:t> </w:t>
      </w:r>
      <w:r>
        <w:rPr>
          <w:sz w:val="22"/>
        </w:rPr>
        <w:t>S.,</w:t>
      </w:r>
      <w:r>
        <w:rPr>
          <w:spacing w:val="-14"/>
          <w:sz w:val="22"/>
        </w:rPr>
        <w:t> </w:t>
      </w:r>
      <w:r>
        <w:rPr>
          <w:sz w:val="22"/>
        </w:rPr>
        <w:t>Krekeler,</w:t>
      </w:r>
      <w:r>
        <w:rPr>
          <w:spacing w:val="-11"/>
          <w:sz w:val="22"/>
        </w:rPr>
        <w:t> </w:t>
      </w:r>
      <w:r>
        <w:rPr>
          <w:sz w:val="22"/>
        </w:rPr>
        <w:t>N.,</w:t>
      </w:r>
      <w:r>
        <w:rPr>
          <w:spacing w:val="-13"/>
          <w:sz w:val="22"/>
        </w:rPr>
        <w:t> </w:t>
      </w:r>
      <w:r>
        <w:rPr>
          <w:sz w:val="22"/>
        </w:rPr>
        <w:t>de</w:t>
      </w:r>
      <w:r>
        <w:rPr>
          <w:spacing w:val="-11"/>
          <w:sz w:val="22"/>
        </w:rPr>
        <w:t> </w:t>
      </w:r>
      <w:r>
        <w:rPr>
          <w:sz w:val="22"/>
        </w:rPr>
        <w:t>CrameR,</w:t>
      </w:r>
      <w:r>
        <w:rPr>
          <w:spacing w:val="-13"/>
          <w:sz w:val="22"/>
        </w:rPr>
        <w:t> </w:t>
      </w:r>
      <w:r>
        <w:rPr>
          <w:sz w:val="22"/>
        </w:rPr>
        <w:t>K.,</w:t>
      </w:r>
      <w:r>
        <w:rPr>
          <w:spacing w:val="-14"/>
          <w:sz w:val="22"/>
        </w:rPr>
        <w:t> </w:t>
      </w:r>
      <w:r>
        <w:rPr>
          <w:sz w:val="22"/>
        </w:rPr>
        <w:t>Kutzler,</w:t>
      </w:r>
      <w:r>
        <w:rPr>
          <w:spacing w:val="-10"/>
          <w:sz w:val="22"/>
        </w:rPr>
        <w:t> </w:t>
      </w:r>
      <w:r>
        <w:rPr>
          <w:sz w:val="22"/>
        </w:rPr>
        <w:t>M.,</w:t>
      </w:r>
      <w:r>
        <w:rPr>
          <w:spacing w:val="-13"/>
          <w:sz w:val="22"/>
        </w:rPr>
        <w:t> </w:t>
      </w:r>
      <w:r>
        <w:rPr>
          <w:sz w:val="22"/>
        </w:rPr>
        <w:t>McCarthy,</w:t>
      </w:r>
      <w:r>
        <w:rPr>
          <w:spacing w:val="-9"/>
          <w:sz w:val="22"/>
        </w:rPr>
        <w:t> </w:t>
      </w:r>
      <w:r>
        <w:rPr>
          <w:sz w:val="22"/>
        </w:rPr>
        <w:t>R.,</w:t>
      </w:r>
      <w:r>
        <w:rPr>
          <w:spacing w:val="-13"/>
          <w:sz w:val="22"/>
        </w:rPr>
        <w:t> </w:t>
      </w:r>
      <w:r>
        <w:rPr>
          <w:sz w:val="22"/>
        </w:rPr>
        <w:t>&amp;</w:t>
      </w:r>
      <w:r>
        <w:rPr>
          <w:spacing w:val="-13"/>
          <w:sz w:val="22"/>
        </w:rPr>
        <w:t> </w:t>
      </w:r>
      <w:r>
        <w:rPr>
          <w:sz w:val="22"/>
        </w:rPr>
        <w:t>Schaefer-</w:t>
      </w:r>
      <w:r>
        <w:rPr>
          <w:spacing w:val="-2"/>
          <w:sz w:val="22"/>
        </w:rPr>
        <w:t>Somi,</w:t>
      </w:r>
    </w:p>
    <w:p>
      <w:pPr>
        <w:spacing w:before="127"/>
        <w:ind w:left="1288" w:right="0" w:firstLine="0"/>
        <w:jc w:val="left"/>
        <w:rPr>
          <w:sz w:val="22"/>
        </w:rPr>
      </w:pPr>
      <w:r>
        <w:rPr>
          <w:spacing w:val="-2"/>
          <w:sz w:val="22"/>
        </w:rPr>
        <w:t>S.</w:t>
      </w:r>
      <w:r>
        <w:rPr>
          <w:spacing w:val="-8"/>
          <w:sz w:val="22"/>
        </w:rPr>
        <w:t> </w:t>
      </w:r>
      <w:r>
        <w:rPr>
          <w:spacing w:val="-2"/>
          <w:sz w:val="22"/>
        </w:rPr>
        <w:t>(2024,</w:t>
      </w:r>
      <w:r>
        <w:rPr>
          <w:spacing w:val="-8"/>
          <w:sz w:val="22"/>
        </w:rPr>
        <w:t> </w:t>
      </w:r>
      <w:r>
        <w:rPr>
          <w:spacing w:val="-2"/>
          <w:sz w:val="22"/>
        </w:rPr>
        <w:t>5</w:t>
      </w:r>
      <w:r>
        <w:rPr>
          <w:spacing w:val="-12"/>
          <w:sz w:val="22"/>
        </w:rPr>
        <w:t> </w:t>
      </w:r>
      <w:r>
        <w:rPr>
          <w:spacing w:val="-2"/>
          <w:sz w:val="22"/>
        </w:rPr>
        <w:t>28).</w:t>
      </w:r>
      <w:r>
        <w:rPr>
          <w:spacing w:val="-4"/>
          <w:sz w:val="22"/>
        </w:rPr>
        <w:t> </w:t>
      </w:r>
      <w:r>
        <w:rPr>
          <w:spacing w:val="-2"/>
          <w:sz w:val="22"/>
        </w:rPr>
        <w:t>WSAVA</w:t>
      </w:r>
      <w:r>
        <w:rPr>
          <w:spacing w:val="-20"/>
          <w:sz w:val="22"/>
        </w:rPr>
        <w:t> </w:t>
      </w:r>
      <w:r>
        <w:rPr>
          <w:spacing w:val="-2"/>
          <w:sz w:val="22"/>
        </w:rPr>
        <w:t>guidelines</w:t>
      </w:r>
      <w:r>
        <w:rPr>
          <w:spacing w:val="-10"/>
          <w:sz w:val="22"/>
        </w:rPr>
        <w:t> </w:t>
      </w:r>
      <w:r>
        <w:rPr>
          <w:spacing w:val="-2"/>
          <w:sz w:val="22"/>
        </w:rPr>
        <w:t>for</w:t>
      </w:r>
      <w:r>
        <w:rPr>
          <w:spacing w:val="-10"/>
          <w:sz w:val="22"/>
        </w:rPr>
        <w:t> </w:t>
      </w:r>
      <w:r>
        <w:rPr>
          <w:spacing w:val="-2"/>
          <w:sz w:val="22"/>
        </w:rPr>
        <w:t>the</w:t>
      </w:r>
      <w:r>
        <w:rPr>
          <w:spacing w:val="-10"/>
          <w:sz w:val="22"/>
        </w:rPr>
        <w:t> </w:t>
      </w:r>
      <w:r>
        <w:rPr>
          <w:spacing w:val="-2"/>
          <w:sz w:val="22"/>
        </w:rPr>
        <w:t>control</w:t>
      </w:r>
      <w:r>
        <w:rPr>
          <w:spacing w:val="-10"/>
          <w:sz w:val="22"/>
        </w:rPr>
        <w:t> </w:t>
      </w:r>
      <w:r>
        <w:rPr>
          <w:spacing w:val="-2"/>
          <w:sz w:val="22"/>
        </w:rPr>
        <w:t>of</w:t>
      </w:r>
      <w:r>
        <w:rPr>
          <w:spacing w:val="-10"/>
          <w:sz w:val="22"/>
        </w:rPr>
        <w:t> </w:t>
      </w:r>
      <w:r>
        <w:rPr>
          <w:spacing w:val="-2"/>
          <w:sz w:val="22"/>
        </w:rPr>
        <w:t>reproduction</w:t>
      </w:r>
      <w:r>
        <w:rPr>
          <w:spacing w:val="-7"/>
          <w:sz w:val="22"/>
        </w:rPr>
        <w:t> </w:t>
      </w:r>
      <w:r>
        <w:rPr>
          <w:spacing w:val="-2"/>
          <w:sz w:val="22"/>
        </w:rPr>
        <w:t>in</w:t>
      </w:r>
      <w:r>
        <w:rPr>
          <w:spacing w:val="-12"/>
          <w:sz w:val="22"/>
        </w:rPr>
        <w:t> </w:t>
      </w:r>
      <w:r>
        <w:rPr>
          <w:spacing w:val="-2"/>
          <w:sz w:val="22"/>
        </w:rPr>
        <w:t>dogs</w:t>
      </w:r>
      <w:r>
        <w:rPr>
          <w:spacing w:val="-10"/>
          <w:sz w:val="22"/>
        </w:rPr>
        <w:t> </w:t>
      </w:r>
      <w:r>
        <w:rPr>
          <w:spacing w:val="-2"/>
          <w:sz w:val="22"/>
        </w:rPr>
        <w:t>and</w:t>
      </w:r>
      <w:r>
        <w:rPr>
          <w:spacing w:val="-6"/>
          <w:sz w:val="22"/>
        </w:rPr>
        <w:t> </w:t>
      </w:r>
      <w:r>
        <w:rPr>
          <w:spacing w:val="-2"/>
          <w:sz w:val="22"/>
        </w:rPr>
        <w:t>cats.</w:t>
      </w:r>
    </w:p>
    <w:p>
      <w:pPr>
        <w:spacing w:before="127"/>
        <w:ind w:left="1288" w:right="0" w:firstLine="0"/>
        <w:jc w:val="left"/>
        <w:rPr>
          <w:sz w:val="22"/>
        </w:rPr>
      </w:pPr>
      <w:r>
        <w:rPr>
          <w:i/>
          <w:sz w:val="22"/>
        </w:rPr>
        <w:t>J</w:t>
      </w:r>
      <w:r>
        <w:rPr>
          <w:i/>
          <w:spacing w:val="-3"/>
          <w:sz w:val="22"/>
        </w:rPr>
        <w:t> </w:t>
      </w:r>
      <w:r>
        <w:rPr>
          <w:i/>
          <w:sz w:val="22"/>
        </w:rPr>
        <w:t>Small</w:t>
      </w:r>
      <w:r>
        <w:rPr>
          <w:i/>
          <w:spacing w:val="-6"/>
          <w:sz w:val="22"/>
        </w:rPr>
        <w:t> </w:t>
      </w:r>
      <w:r>
        <w:rPr>
          <w:i/>
          <w:sz w:val="22"/>
        </w:rPr>
        <w:t>Anim Pract.</w:t>
      </w:r>
      <w:r>
        <w:rPr>
          <w:i/>
          <w:spacing w:val="-5"/>
          <w:sz w:val="22"/>
        </w:rPr>
        <w:t> </w:t>
      </w:r>
      <w:r>
        <w:rPr>
          <w:i/>
          <w:sz w:val="22"/>
        </w:rPr>
        <w:t>, 65</w:t>
      </w:r>
      <w:r>
        <w:rPr>
          <w:sz w:val="22"/>
        </w:rPr>
        <w:t>(7),</w:t>
      </w:r>
      <w:r>
        <w:rPr>
          <w:spacing w:val="-4"/>
          <w:sz w:val="22"/>
        </w:rPr>
        <w:t> </w:t>
      </w:r>
      <w:r>
        <w:rPr>
          <w:sz w:val="22"/>
        </w:rPr>
        <w:t>424-559.</w:t>
      </w:r>
      <w:r>
        <w:rPr>
          <w:spacing w:val="-4"/>
          <w:sz w:val="22"/>
        </w:rPr>
        <w:t> </w:t>
      </w:r>
      <w:r>
        <w:rPr>
          <w:spacing w:val="-2"/>
          <w:sz w:val="22"/>
        </w:rPr>
        <w:t>doi:10.1111/jsap.13724.</w:t>
      </w:r>
    </w:p>
    <w:p>
      <w:pPr>
        <w:pStyle w:val="BodyText"/>
        <w:spacing w:before="110"/>
        <w:rPr>
          <w:sz w:val="22"/>
        </w:rPr>
      </w:pPr>
    </w:p>
    <w:p>
      <w:pPr>
        <w:spacing w:line="360" w:lineRule="auto" w:before="0"/>
        <w:ind w:left="1288" w:right="137" w:hanging="721"/>
        <w:jc w:val="both"/>
        <w:rPr>
          <w:sz w:val="22"/>
        </w:rPr>
      </w:pPr>
      <w:r>
        <w:rPr>
          <w:sz w:val="22"/>
        </w:rPr>
        <w:t>Russo,</w:t>
      </w:r>
      <w:r>
        <w:rPr>
          <w:spacing w:val="-7"/>
          <w:sz w:val="22"/>
        </w:rPr>
        <w:t> </w:t>
      </w:r>
      <w:r>
        <w:rPr>
          <w:sz w:val="22"/>
        </w:rPr>
        <w:t>E.,</w:t>
      </w:r>
      <w:r>
        <w:rPr>
          <w:spacing w:val="-7"/>
          <w:sz w:val="22"/>
        </w:rPr>
        <w:t> </w:t>
      </w:r>
      <w:r>
        <w:rPr>
          <w:sz w:val="22"/>
        </w:rPr>
        <w:t>&amp;</w:t>
      </w:r>
      <w:r>
        <w:rPr>
          <w:spacing w:val="-7"/>
          <w:sz w:val="22"/>
        </w:rPr>
        <w:t> </w:t>
      </w:r>
      <w:r>
        <w:rPr>
          <w:sz w:val="22"/>
        </w:rPr>
        <w:t>Farry,</w:t>
      </w:r>
      <w:r>
        <w:rPr>
          <w:spacing w:val="-7"/>
          <w:sz w:val="22"/>
        </w:rPr>
        <w:t> </w:t>
      </w:r>
      <w:r>
        <w:rPr>
          <w:sz w:val="22"/>
        </w:rPr>
        <w:t>T.</w:t>
      </w:r>
      <w:r>
        <w:rPr>
          <w:spacing w:val="-7"/>
          <w:sz w:val="22"/>
        </w:rPr>
        <w:t> </w:t>
      </w:r>
      <w:r>
        <w:rPr>
          <w:sz w:val="22"/>
        </w:rPr>
        <w:t>(2022,</w:t>
      </w:r>
      <w:r>
        <w:rPr>
          <w:spacing w:val="-7"/>
          <w:sz w:val="22"/>
        </w:rPr>
        <w:t> </w:t>
      </w:r>
      <w:r>
        <w:rPr>
          <w:sz w:val="22"/>
        </w:rPr>
        <w:t>12</w:t>
      </w:r>
      <w:r>
        <w:rPr>
          <w:spacing w:val="-6"/>
          <w:sz w:val="22"/>
        </w:rPr>
        <w:t> </w:t>
      </w:r>
      <w:r>
        <w:rPr>
          <w:sz w:val="22"/>
        </w:rPr>
        <w:t>2).</w:t>
      </w:r>
      <w:r>
        <w:rPr>
          <w:spacing w:val="-3"/>
          <w:sz w:val="22"/>
        </w:rPr>
        <w:t> </w:t>
      </w:r>
      <w:r>
        <w:rPr>
          <w:sz w:val="22"/>
        </w:rPr>
        <w:t>Preparación</w:t>
      </w:r>
      <w:r>
        <w:rPr>
          <w:spacing w:val="-6"/>
          <w:sz w:val="22"/>
        </w:rPr>
        <w:t> </w:t>
      </w:r>
      <w:r>
        <w:rPr>
          <w:sz w:val="22"/>
        </w:rPr>
        <w:t>preanestésica</w:t>
      </w:r>
      <w:r>
        <w:rPr>
          <w:spacing w:val="-5"/>
          <w:sz w:val="22"/>
        </w:rPr>
        <w:t> </w:t>
      </w:r>
      <w:r>
        <w:rPr>
          <w:sz w:val="22"/>
        </w:rPr>
        <w:t>en</w:t>
      </w:r>
      <w:r>
        <w:rPr>
          <w:spacing w:val="-3"/>
          <w:sz w:val="22"/>
        </w:rPr>
        <w:t> </w:t>
      </w:r>
      <w:r>
        <w:rPr>
          <w:sz w:val="22"/>
        </w:rPr>
        <w:t>gatos</w:t>
      </w:r>
      <w:r>
        <w:rPr>
          <w:spacing w:val="-5"/>
          <w:sz w:val="22"/>
        </w:rPr>
        <w:t> </w:t>
      </w:r>
      <w:r>
        <w:rPr>
          <w:sz w:val="22"/>
        </w:rPr>
        <w:t>y</w:t>
      </w:r>
      <w:r>
        <w:rPr>
          <w:spacing w:val="-6"/>
          <w:sz w:val="22"/>
        </w:rPr>
        <w:t> </w:t>
      </w:r>
      <w:r>
        <w:rPr>
          <w:sz w:val="22"/>
        </w:rPr>
        <w:t>perros:</w:t>
      </w:r>
      <w:r>
        <w:rPr>
          <w:spacing w:val="-5"/>
          <w:sz w:val="22"/>
        </w:rPr>
        <w:t> </w:t>
      </w:r>
      <w:r>
        <w:rPr>
          <w:sz w:val="22"/>
        </w:rPr>
        <w:t>evidencia reciente. </w:t>
      </w:r>
      <w:r>
        <w:rPr>
          <w:i/>
          <w:sz w:val="22"/>
        </w:rPr>
        <w:t>ReserchGate La Enferemera Veterinaria, 13</w:t>
      </w:r>
      <w:r>
        <w:rPr>
          <w:sz w:val="22"/>
        </w:rPr>
        <w:t>(2), 454-460. </w:t>
      </w:r>
      <w:r>
        <w:rPr>
          <w:spacing w:val="-2"/>
          <w:sz w:val="22"/>
        </w:rPr>
        <w:t>doi:10.12968/vetn.2022.13.10.454</w:t>
      </w:r>
    </w:p>
    <w:p>
      <w:pPr>
        <w:spacing w:line="360" w:lineRule="auto" w:before="242"/>
        <w:ind w:left="1288" w:right="147" w:hanging="721"/>
        <w:jc w:val="both"/>
        <w:rPr>
          <w:sz w:val="22"/>
        </w:rPr>
      </w:pPr>
      <w:r>
        <w:rPr>
          <w:spacing w:val="-2"/>
          <w:sz w:val="22"/>
        </w:rPr>
        <w:t>Sánchez,</w:t>
      </w:r>
      <w:r>
        <w:rPr>
          <w:spacing w:val="-12"/>
          <w:sz w:val="22"/>
        </w:rPr>
        <w:t> </w:t>
      </w:r>
      <w:r>
        <w:rPr>
          <w:spacing w:val="-2"/>
          <w:sz w:val="22"/>
        </w:rPr>
        <w:t>I.,</w:t>
      </w:r>
      <w:r>
        <w:rPr>
          <w:spacing w:val="-4"/>
          <w:sz w:val="22"/>
        </w:rPr>
        <w:t> </w:t>
      </w:r>
      <w:r>
        <w:rPr>
          <w:spacing w:val="-2"/>
          <w:sz w:val="22"/>
        </w:rPr>
        <w:t>Redondo,</w:t>
      </w:r>
      <w:r>
        <w:rPr>
          <w:spacing w:val="-10"/>
          <w:sz w:val="22"/>
        </w:rPr>
        <w:t> </w:t>
      </w:r>
      <w:r>
        <w:rPr>
          <w:spacing w:val="-2"/>
          <w:sz w:val="22"/>
        </w:rPr>
        <w:t>J.</w:t>
      </w:r>
      <w:r>
        <w:rPr>
          <w:spacing w:val="-5"/>
          <w:sz w:val="22"/>
        </w:rPr>
        <w:t> </w:t>
      </w:r>
      <w:r>
        <w:rPr>
          <w:spacing w:val="-2"/>
          <w:sz w:val="22"/>
        </w:rPr>
        <w:t>I.,</w:t>
      </w:r>
      <w:r>
        <w:rPr>
          <w:spacing w:val="-5"/>
          <w:sz w:val="22"/>
        </w:rPr>
        <w:t> </w:t>
      </w:r>
      <w:r>
        <w:rPr>
          <w:spacing w:val="-2"/>
          <w:sz w:val="22"/>
        </w:rPr>
        <w:t>Donati,</w:t>
      </w:r>
      <w:r>
        <w:rPr>
          <w:spacing w:val="-5"/>
          <w:sz w:val="22"/>
        </w:rPr>
        <w:t> </w:t>
      </w:r>
      <w:r>
        <w:rPr>
          <w:spacing w:val="-2"/>
          <w:sz w:val="22"/>
        </w:rPr>
        <w:t>P.</w:t>
      </w:r>
      <w:r>
        <w:rPr>
          <w:spacing w:val="-12"/>
          <w:sz w:val="22"/>
        </w:rPr>
        <w:t> </w:t>
      </w:r>
      <w:r>
        <w:rPr>
          <w:spacing w:val="-2"/>
          <w:sz w:val="22"/>
        </w:rPr>
        <w:t>A.,</w:t>
      </w:r>
      <w:r>
        <w:rPr>
          <w:spacing w:val="-9"/>
          <w:sz w:val="22"/>
        </w:rPr>
        <w:t> </w:t>
      </w:r>
      <w:r>
        <w:rPr>
          <w:spacing w:val="-2"/>
          <w:sz w:val="22"/>
        </w:rPr>
        <w:t>&amp;</w:t>
      </w:r>
      <w:r>
        <w:rPr>
          <w:spacing w:val="-5"/>
          <w:sz w:val="22"/>
        </w:rPr>
        <w:t> </w:t>
      </w:r>
      <w:r>
        <w:rPr>
          <w:spacing w:val="-2"/>
          <w:sz w:val="22"/>
        </w:rPr>
        <w:t>Gómez,</w:t>
      </w:r>
      <w:r>
        <w:rPr>
          <w:spacing w:val="-5"/>
          <w:sz w:val="22"/>
        </w:rPr>
        <w:t> </w:t>
      </w:r>
      <w:r>
        <w:rPr>
          <w:spacing w:val="-2"/>
          <w:sz w:val="22"/>
        </w:rPr>
        <w:t>J.</w:t>
      </w:r>
      <w:r>
        <w:rPr>
          <w:spacing w:val="-5"/>
          <w:sz w:val="22"/>
        </w:rPr>
        <w:t> </w:t>
      </w:r>
      <w:r>
        <w:rPr>
          <w:spacing w:val="-2"/>
          <w:sz w:val="22"/>
        </w:rPr>
        <w:t>(2023,</w:t>
      </w:r>
      <w:r>
        <w:rPr>
          <w:spacing w:val="-10"/>
          <w:sz w:val="22"/>
        </w:rPr>
        <w:t> </w:t>
      </w:r>
      <w:r>
        <w:rPr>
          <w:spacing w:val="-2"/>
          <w:sz w:val="22"/>
        </w:rPr>
        <w:t>6</w:t>
      </w:r>
      <w:r>
        <w:rPr>
          <w:spacing w:val="-4"/>
          <w:sz w:val="22"/>
        </w:rPr>
        <w:t> </w:t>
      </w:r>
      <w:r>
        <w:rPr>
          <w:spacing w:val="-2"/>
          <w:sz w:val="22"/>
        </w:rPr>
        <w:t>25).</w:t>
      </w:r>
      <w:r>
        <w:rPr>
          <w:spacing w:val="-10"/>
          <w:sz w:val="22"/>
        </w:rPr>
        <w:t> </w:t>
      </w:r>
      <w:r>
        <w:rPr>
          <w:spacing w:val="-2"/>
          <w:sz w:val="22"/>
        </w:rPr>
        <w:t>Efectos</w:t>
      </w:r>
      <w:r>
        <w:rPr>
          <w:spacing w:val="-7"/>
          <w:sz w:val="22"/>
        </w:rPr>
        <w:t> </w:t>
      </w:r>
      <w:r>
        <w:rPr>
          <w:spacing w:val="-2"/>
          <w:sz w:val="22"/>
        </w:rPr>
        <w:t>hemodinámicos </w:t>
      </w:r>
      <w:r>
        <w:rPr>
          <w:sz w:val="24"/>
        </w:rPr>
        <w:t>del Pimobendan durante la anestesia general en perros mayores sanos: un estudio </w:t>
      </w:r>
      <w:r>
        <w:rPr>
          <w:sz w:val="22"/>
        </w:rPr>
        <w:t>clínico prospectivo, aleatorizado, triple ciego y controlado con placebo. </w:t>
      </w:r>
      <w:r>
        <w:rPr>
          <w:i/>
          <w:sz w:val="22"/>
        </w:rPr>
        <w:t>Animales, 13</w:t>
      </w:r>
      <w:r>
        <w:rPr>
          <w:sz w:val="22"/>
        </w:rPr>
        <w:t>(13), 2110. doi:10.3390/ani13132110</w:t>
      </w:r>
    </w:p>
    <w:p>
      <w:pPr>
        <w:spacing w:line="360" w:lineRule="auto" w:before="242"/>
        <w:ind w:left="1288" w:right="137" w:hanging="721"/>
        <w:jc w:val="both"/>
        <w:rPr>
          <w:sz w:val="22"/>
        </w:rPr>
      </w:pPr>
      <w:r>
        <w:rPr>
          <w:sz w:val="22"/>
        </w:rPr>
        <w:t>Sarotti,</w:t>
      </w:r>
      <w:r>
        <w:rPr>
          <w:spacing w:val="-1"/>
          <w:sz w:val="22"/>
        </w:rPr>
        <w:t> </w:t>
      </w:r>
      <w:r>
        <w:rPr>
          <w:sz w:val="22"/>
        </w:rPr>
        <w:t>D.,</w:t>
      </w:r>
      <w:r>
        <w:rPr>
          <w:spacing w:val="-4"/>
          <w:sz w:val="22"/>
        </w:rPr>
        <w:t> </w:t>
      </w:r>
      <w:r>
        <w:rPr>
          <w:sz w:val="22"/>
        </w:rPr>
        <w:t>Franci,</w:t>
      </w:r>
      <w:r>
        <w:rPr>
          <w:spacing w:val="-1"/>
          <w:sz w:val="22"/>
        </w:rPr>
        <w:t> </w:t>
      </w:r>
      <w:r>
        <w:rPr>
          <w:sz w:val="22"/>
        </w:rPr>
        <w:t>P.,</w:t>
      </w:r>
      <w:r>
        <w:rPr>
          <w:spacing w:val="-1"/>
          <w:sz w:val="22"/>
        </w:rPr>
        <w:t> </w:t>
      </w:r>
      <w:r>
        <w:rPr>
          <w:sz w:val="22"/>
        </w:rPr>
        <w:t>Oricco,</w:t>
      </w:r>
      <w:r>
        <w:rPr>
          <w:spacing w:val="-1"/>
          <w:sz w:val="22"/>
        </w:rPr>
        <w:t> </w:t>
      </w:r>
      <w:r>
        <w:rPr>
          <w:sz w:val="22"/>
        </w:rPr>
        <w:t>S.,</w:t>
      </w:r>
      <w:r>
        <w:rPr>
          <w:spacing w:val="-1"/>
          <w:sz w:val="22"/>
        </w:rPr>
        <w:t> </w:t>
      </w:r>
      <w:r>
        <w:rPr>
          <w:sz w:val="22"/>
        </w:rPr>
        <w:t>&amp;</w:t>
      </w:r>
      <w:r>
        <w:rPr>
          <w:spacing w:val="-4"/>
          <w:sz w:val="22"/>
        </w:rPr>
        <w:t> </w:t>
      </w:r>
      <w:r>
        <w:rPr>
          <w:sz w:val="22"/>
        </w:rPr>
        <w:t>Rabozzi,</w:t>
      </w:r>
      <w:r>
        <w:rPr>
          <w:spacing w:val="-1"/>
          <w:sz w:val="22"/>
        </w:rPr>
        <w:t> </w:t>
      </w:r>
      <w:r>
        <w:rPr>
          <w:sz w:val="22"/>
        </w:rPr>
        <w:t>R.</w:t>
      </w:r>
      <w:r>
        <w:rPr>
          <w:spacing w:val="-1"/>
          <w:sz w:val="22"/>
        </w:rPr>
        <w:t> </w:t>
      </w:r>
      <w:r>
        <w:rPr>
          <w:sz w:val="22"/>
        </w:rPr>
        <w:t>(2024,</w:t>
      </w:r>
      <w:r>
        <w:rPr>
          <w:spacing w:val="-4"/>
          <w:sz w:val="22"/>
        </w:rPr>
        <w:t> </w:t>
      </w:r>
      <w:r>
        <w:rPr>
          <w:sz w:val="22"/>
        </w:rPr>
        <w:t>9 11). Comparación de</w:t>
      </w:r>
      <w:r>
        <w:rPr>
          <w:spacing w:val="-3"/>
          <w:sz w:val="22"/>
        </w:rPr>
        <w:t> </w:t>
      </w:r>
      <w:r>
        <w:rPr>
          <w:sz w:val="22"/>
        </w:rPr>
        <w:t>los</w:t>
      </w:r>
      <w:r>
        <w:rPr>
          <w:spacing w:val="-3"/>
          <w:sz w:val="22"/>
        </w:rPr>
        <w:t> </w:t>
      </w:r>
      <w:r>
        <w:rPr>
          <w:sz w:val="22"/>
        </w:rPr>
        <w:t>efectos hemodinámicos del propofol o alfaxalone durante la inducción en perros. (D. Floreano, Éd.) </w:t>
      </w:r>
      <w:r>
        <w:rPr>
          <w:i/>
          <w:sz w:val="22"/>
        </w:rPr>
        <w:t>Fronteras en la Ciencia Veterinaria, 11</w:t>
      </w:r>
      <w:r>
        <w:rPr>
          <w:sz w:val="22"/>
        </w:rPr>
        <w:t>(2), 1-9. </w:t>
      </w:r>
      <w:r>
        <w:rPr>
          <w:spacing w:val="-2"/>
          <w:sz w:val="22"/>
        </w:rPr>
        <w:t>doi:10.3389/fvets.2024.1442670</w:t>
      </w:r>
    </w:p>
    <w:p>
      <w:pPr>
        <w:spacing w:line="360" w:lineRule="auto" w:before="238"/>
        <w:ind w:left="1288" w:right="137" w:hanging="721"/>
        <w:jc w:val="both"/>
        <w:rPr>
          <w:sz w:val="22"/>
        </w:rPr>
      </w:pPr>
      <w:r>
        <w:rPr>
          <w:sz w:val="22"/>
        </w:rPr>
        <w:t>Tranquilli,</w:t>
      </w:r>
      <w:r>
        <w:rPr>
          <w:spacing w:val="-14"/>
          <w:sz w:val="22"/>
        </w:rPr>
        <w:t> </w:t>
      </w:r>
      <w:r>
        <w:rPr>
          <w:sz w:val="22"/>
        </w:rPr>
        <w:t>W.</w:t>
      </w:r>
      <w:r>
        <w:rPr>
          <w:spacing w:val="-5"/>
          <w:sz w:val="22"/>
        </w:rPr>
        <w:t> </w:t>
      </w:r>
      <w:r>
        <w:rPr>
          <w:sz w:val="22"/>
        </w:rPr>
        <w:t>J.,</w:t>
      </w:r>
      <w:r>
        <w:rPr>
          <w:spacing w:val="-7"/>
          <w:sz w:val="22"/>
        </w:rPr>
        <w:t> </w:t>
      </w:r>
      <w:r>
        <w:rPr>
          <w:sz w:val="22"/>
        </w:rPr>
        <w:t>Grimm,</w:t>
      </w:r>
      <w:r>
        <w:rPr>
          <w:spacing w:val="-7"/>
          <w:sz w:val="22"/>
        </w:rPr>
        <w:t> </w:t>
      </w:r>
      <w:r>
        <w:rPr>
          <w:sz w:val="22"/>
        </w:rPr>
        <w:t>K.</w:t>
      </w:r>
      <w:r>
        <w:rPr>
          <w:spacing w:val="-14"/>
          <w:sz w:val="22"/>
        </w:rPr>
        <w:t> </w:t>
      </w:r>
      <w:r>
        <w:rPr>
          <w:sz w:val="22"/>
        </w:rPr>
        <w:t>A.,</w:t>
      </w:r>
      <w:r>
        <w:rPr>
          <w:spacing w:val="-7"/>
          <w:sz w:val="22"/>
        </w:rPr>
        <w:t> </w:t>
      </w:r>
      <w:r>
        <w:rPr>
          <w:sz w:val="22"/>
        </w:rPr>
        <w:t>&amp;</w:t>
      </w:r>
      <w:r>
        <w:rPr>
          <w:spacing w:val="-4"/>
          <w:sz w:val="22"/>
        </w:rPr>
        <w:t> </w:t>
      </w:r>
      <w:r>
        <w:rPr>
          <w:sz w:val="22"/>
        </w:rPr>
        <w:t>Lamont,</w:t>
      </w:r>
      <w:r>
        <w:rPr>
          <w:spacing w:val="-7"/>
          <w:sz w:val="22"/>
        </w:rPr>
        <w:t> </w:t>
      </w:r>
      <w:r>
        <w:rPr>
          <w:sz w:val="22"/>
        </w:rPr>
        <w:t>L.</w:t>
      </w:r>
      <w:r>
        <w:rPr>
          <w:spacing w:val="-14"/>
          <w:sz w:val="22"/>
        </w:rPr>
        <w:t> </w:t>
      </w:r>
      <w:r>
        <w:rPr>
          <w:sz w:val="22"/>
        </w:rPr>
        <w:t>A.</w:t>
      </w:r>
      <w:r>
        <w:rPr>
          <w:spacing w:val="-3"/>
          <w:sz w:val="22"/>
        </w:rPr>
        <w:t> </w:t>
      </w:r>
      <w:r>
        <w:rPr>
          <w:sz w:val="22"/>
        </w:rPr>
        <w:t>(2024). </w:t>
      </w:r>
      <w:r>
        <w:rPr>
          <w:i/>
          <w:sz w:val="22"/>
        </w:rPr>
        <w:t>Panorama,</w:t>
      </w:r>
      <w:r>
        <w:rPr>
          <w:i/>
          <w:spacing w:val="-7"/>
          <w:sz w:val="22"/>
        </w:rPr>
        <w:t> </w:t>
      </w:r>
      <w:r>
        <w:rPr>
          <w:i/>
          <w:sz w:val="22"/>
        </w:rPr>
        <w:t>historia</w:t>
      </w:r>
      <w:r>
        <w:rPr>
          <w:i/>
          <w:spacing w:val="-3"/>
          <w:sz w:val="22"/>
        </w:rPr>
        <w:t> </w:t>
      </w:r>
      <w:r>
        <w:rPr>
          <w:i/>
          <w:sz w:val="22"/>
        </w:rPr>
        <w:t>y</w:t>
      </w:r>
      <w:r>
        <w:rPr>
          <w:i/>
          <w:spacing w:val="-5"/>
          <w:sz w:val="22"/>
        </w:rPr>
        <w:t> </w:t>
      </w:r>
      <w:r>
        <w:rPr>
          <w:i/>
          <w:sz w:val="22"/>
        </w:rPr>
        <w:t>actualidad de</w:t>
      </w:r>
      <w:r>
        <w:rPr>
          <w:i/>
          <w:spacing w:val="-10"/>
          <w:sz w:val="22"/>
        </w:rPr>
        <w:t> </w:t>
      </w:r>
      <w:r>
        <w:rPr>
          <w:i/>
          <w:sz w:val="22"/>
        </w:rPr>
        <w:t>la</w:t>
      </w:r>
      <w:r>
        <w:rPr>
          <w:i/>
          <w:spacing w:val="-11"/>
          <w:sz w:val="22"/>
        </w:rPr>
        <w:t> </w:t>
      </w:r>
      <w:r>
        <w:rPr>
          <w:i/>
          <w:sz w:val="22"/>
        </w:rPr>
        <w:t>anestesia</w:t>
      </w:r>
      <w:r>
        <w:rPr>
          <w:i/>
          <w:spacing w:val="-7"/>
          <w:sz w:val="22"/>
        </w:rPr>
        <w:t> </w:t>
      </w:r>
      <w:r>
        <w:rPr>
          <w:i/>
          <w:sz w:val="22"/>
        </w:rPr>
        <w:t>y</w:t>
      </w:r>
      <w:r>
        <w:rPr>
          <w:i/>
          <w:spacing w:val="-10"/>
          <w:sz w:val="22"/>
        </w:rPr>
        <w:t> </w:t>
      </w:r>
      <w:r>
        <w:rPr>
          <w:i/>
          <w:sz w:val="22"/>
        </w:rPr>
        <w:t>analgesia</w:t>
      </w:r>
      <w:r>
        <w:rPr>
          <w:i/>
          <w:spacing w:val="-7"/>
          <w:sz w:val="22"/>
        </w:rPr>
        <w:t> </w:t>
      </w:r>
      <w:r>
        <w:rPr>
          <w:i/>
          <w:sz w:val="22"/>
        </w:rPr>
        <w:t>veterinaria</w:t>
      </w:r>
      <w:r>
        <w:rPr>
          <w:i/>
          <w:spacing w:val="-3"/>
          <w:sz w:val="22"/>
        </w:rPr>
        <w:t> </w:t>
      </w:r>
      <w:r>
        <w:rPr>
          <w:sz w:val="22"/>
        </w:rPr>
        <w:t>(éd.</w:t>
      </w:r>
      <w:r>
        <w:rPr>
          <w:spacing w:val="-8"/>
          <w:sz w:val="22"/>
        </w:rPr>
        <w:t> </w:t>
      </w:r>
      <w:r>
        <w:rPr>
          <w:sz w:val="22"/>
        </w:rPr>
        <w:t>Sexta).</w:t>
      </w:r>
      <w:r>
        <w:rPr>
          <w:spacing w:val="-8"/>
          <w:sz w:val="22"/>
        </w:rPr>
        <w:t> </w:t>
      </w:r>
      <w:r>
        <w:rPr>
          <w:sz w:val="22"/>
        </w:rPr>
        <w:t>(L.</w:t>
      </w:r>
      <w:r>
        <w:rPr>
          <w:spacing w:val="-11"/>
          <w:sz w:val="22"/>
        </w:rPr>
        <w:t> </w:t>
      </w:r>
      <w:r>
        <w:rPr>
          <w:sz w:val="22"/>
        </w:rPr>
        <w:t>Lamont,</w:t>
      </w:r>
      <w:r>
        <w:rPr>
          <w:spacing w:val="-11"/>
          <w:sz w:val="22"/>
        </w:rPr>
        <w:t> </w:t>
      </w:r>
      <w:r>
        <w:rPr>
          <w:sz w:val="22"/>
        </w:rPr>
        <w:t>Éd.)</w:t>
      </w:r>
      <w:r>
        <w:rPr>
          <w:spacing w:val="-10"/>
          <w:sz w:val="22"/>
        </w:rPr>
        <w:t> </w:t>
      </w:r>
      <w:r>
        <w:rPr>
          <w:sz w:val="22"/>
        </w:rPr>
        <w:t>John</w:t>
      </w:r>
      <w:r>
        <w:rPr>
          <w:spacing w:val="-14"/>
          <w:sz w:val="22"/>
        </w:rPr>
        <w:t> </w:t>
      </w:r>
      <w:r>
        <w:rPr>
          <w:sz w:val="22"/>
        </w:rPr>
        <w:t>Wiley</w:t>
      </w:r>
      <w:r>
        <w:rPr>
          <w:spacing w:val="-7"/>
          <w:sz w:val="22"/>
        </w:rPr>
        <w:t> </w:t>
      </w:r>
      <w:r>
        <w:rPr>
          <w:sz w:val="22"/>
        </w:rPr>
        <w:t>&amp; Sons, Inc. doi:10.1002/9781119830306</w:t>
      </w:r>
    </w:p>
    <w:p>
      <w:pPr>
        <w:spacing w:line="360" w:lineRule="auto" w:before="242"/>
        <w:ind w:left="1288" w:right="135" w:hanging="721"/>
        <w:jc w:val="both"/>
        <w:rPr>
          <w:sz w:val="22"/>
        </w:rPr>
      </w:pPr>
      <w:r>
        <w:rPr>
          <w:sz w:val="22"/>
        </w:rPr>
        <w:t>Villamizar-Rueda, O., Guerrero-Erazo, C. J.,</w:t>
      </w:r>
      <w:r>
        <w:rPr>
          <w:spacing w:val="-8"/>
          <w:sz w:val="22"/>
        </w:rPr>
        <w:t> </w:t>
      </w:r>
      <w:r>
        <w:rPr>
          <w:sz w:val="22"/>
        </w:rPr>
        <w:t>Arismendy-Agudelo , I. J., Sierra-Torres, L. </w:t>
      </w:r>
      <w:r>
        <w:rPr>
          <w:spacing w:val="-2"/>
          <w:sz w:val="22"/>
        </w:rPr>
        <w:t>P.,</w:t>
      </w:r>
      <w:r>
        <w:rPr>
          <w:spacing w:val="-12"/>
          <w:sz w:val="22"/>
        </w:rPr>
        <w:t> </w:t>
      </w:r>
      <w:r>
        <w:rPr>
          <w:spacing w:val="-2"/>
          <w:sz w:val="22"/>
        </w:rPr>
        <w:t>Carvajal-Angarita</w:t>
      </w:r>
      <w:r>
        <w:rPr>
          <w:spacing w:val="-12"/>
          <w:sz w:val="22"/>
        </w:rPr>
        <w:t> </w:t>
      </w:r>
      <w:r>
        <w:rPr>
          <w:spacing w:val="-2"/>
          <w:sz w:val="22"/>
        </w:rPr>
        <w:t>,</w:t>
      </w:r>
      <w:r>
        <w:rPr>
          <w:spacing w:val="-8"/>
          <w:sz w:val="22"/>
        </w:rPr>
        <w:t> </w:t>
      </w:r>
      <w:r>
        <w:rPr>
          <w:spacing w:val="-2"/>
          <w:sz w:val="22"/>
        </w:rPr>
        <w:t>L.</w:t>
      </w:r>
      <w:r>
        <w:rPr>
          <w:spacing w:val="-12"/>
          <w:sz w:val="22"/>
        </w:rPr>
        <w:t> </w:t>
      </w:r>
      <w:r>
        <w:rPr>
          <w:spacing w:val="-2"/>
          <w:sz w:val="22"/>
        </w:rPr>
        <w:t>A.,</w:t>
      </w:r>
      <w:r>
        <w:rPr>
          <w:spacing w:val="-9"/>
          <w:sz w:val="22"/>
        </w:rPr>
        <w:t> </w:t>
      </w:r>
      <w:r>
        <w:rPr>
          <w:spacing w:val="-2"/>
          <w:sz w:val="22"/>
        </w:rPr>
        <w:t>Fernández-Maje,</w:t>
      </w:r>
      <w:r>
        <w:rPr>
          <w:spacing w:val="-5"/>
          <w:sz w:val="22"/>
        </w:rPr>
        <w:t> </w:t>
      </w:r>
      <w:r>
        <w:rPr>
          <w:spacing w:val="-2"/>
          <w:sz w:val="22"/>
        </w:rPr>
        <w:t>P.</w:t>
      </w:r>
      <w:r>
        <w:rPr>
          <w:spacing w:val="-12"/>
          <w:sz w:val="22"/>
        </w:rPr>
        <w:t> </w:t>
      </w:r>
      <w:r>
        <w:rPr>
          <w:spacing w:val="-2"/>
          <w:sz w:val="22"/>
        </w:rPr>
        <w:t>A.,</w:t>
      </w:r>
      <w:r>
        <w:rPr>
          <w:spacing w:val="-9"/>
          <w:sz w:val="22"/>
        </w:rPr>
        <w:t> </w:t>
      </w:r>
      <w:r>
        <w:rPr>
          <w:spacing w:val="-2"/>
          <w:sz w:val="22"/>
        </w:rPr>
        <w:t>&amp;</w:t>
      </w:r>
      <w:r>
        <w:rPr>
          <w:spacing w:val="-9"/>
          <w:sz w:val="22"/>
        </w:rPr>
        <w:t> </w:t>
      </w:r>
      <w:r>
        <w:rPr>
          <w:spacing w:val="-2"/>
          <w:sz w:val="22"/>
        </w:rPr>
        <w:t>Duque-Jiménez,</w:t>
      </w:r>
      <w:r>
        <w:rPr>
          <w:spacing w:val="-5"/>
          <w:sz w:val="22"/>
        </w:rPr>
        <w:t> </w:t>
      </w:r>
      <w:r>
        <w:rPr>
          <w:spacing w:val="-2"/>
          <w:sz w:val="22"/>
        </w:rPr>
        <w:t>J.</w:t>
      </w:r>
      <w:r>
        <w:rPr>
          <w:spacing w:val="-5"/>
          <w:sz w:val="22"/>
        </w:rPr>
        <w:t> </w:t>
      </w:r>
      <w:r>
        <w:rPr>
          <w:spacing w:val="-2"/>
          <w:sz w:val="22"/>
        </w:rPr>
        <w:t>P.</w:t>
      </w:r>
      <w:r>
        <w:rPr>
          <w:spacing w:val="-5"/>
          <w:sz w:val="22"/>
        </w:rPr>
        <w:t> </w:t>
      </w:r>
      <w:r>
        <w:rPr>
          <w:spacing w:val="-2"/>
          <w:sz w:val="22"/>
        </w:rPr>
        <w:t>(2024, </w:t>
      </w:r>
      <w:r>
        <w:rPr>
          <w:sz w:val="22"/>
        </w:rPr>
        <w:t>12</w:t>
      </w:r>
      <w:r>
        <w:rPr>
          <w:spacing w:val="-5"/>
          <w:sz w:val="22"/>
        </w:rPr>
        <w:t> </w:t>
      </w:r>
      <w:r>
        <w:rPr>
          <w:sz w:val="22"/>
        </w:rPr>
        <w:t>13).</w:t>
      </w:r>
      <w:r>
        <w:rPr>
          <w:spacing w:val="-6"/>
          <w:sz w:val="22"/>
        </w:rPr>
        <w:t> </w:t>
      </w:r>
      <w:r>
        <w:rPr>
          <w:sz w:val="22"/>
        </w:rPr>
        <w:t>Dexmedetomidina</w:t>
      </w:r>
      <w:r>
        <w:rPr>
          <w:spacing w:val="-4"/>
          <w:sz w:val="22"/>
        </w:rPr>
        <w:t> </w:t>
      </w:r>
      <w:r>
        <w:rPr>
          <w:sz w:val="22"/>
        </w:rPr>
        <w:t>en</w:t>
      </w:r>
      <w:r>
        <w:rPr>
          <w:spacing w:val="-5"/>
          <w:sz w:val="22"/>
        </w:rPr>
        <w:t> </w:t>
      </w:r>
      <w:r>
        <w:rPr>
          <w:sz w:val="22"/>
        </w:rPr>
        <w:t>la</w:t>
      </w:r>
      <w:r>
        <w:rPr>
          <w:spacing w:val="-4"/>
          <w:sz w:val="22"/>
        </w:rPr>
        <w:t> </w:t>
      </w:r>
      <w:r>
        <w:rPr>
          <w:sz w:val="22"/>
        </w:rPr>
        <w:t>sedación</w:t>
      </w:r>
      <w:r>
        <w:rPr>
          <w:spacing w:val="-1"/>
          <w:sz w:val="22"/>
        </w:rPr>
        <w:t> </w:t>
      </w:r>
      <w:r>
        <w:rPr>
          <w:sz w:val="22"/>
        </w:rPr>
        <w:t>del</w:t>
      </w:r>
      <w:r>
        <w:rPr>
          <w:spacing w:val="-4"/>
          <w:sz w:val="22"/>
        </w:rPr>
        <w:t> </w:t>
      </w:r>
      <w:r>
        <w:rPr>
          <w:sz w:val="22"/>
        </w:rPr>
        <w:t>paciente</w:t>
      </w:r>
      <w:r>
        <w:rPr>
          <w:spacing w:val="-4"/>
          <w:sz w:val="22"/>
        </w:rPr>
        <w:t> </w:t>
      </w:r>
      <w:r>
        <w:rPr>
          <w:sz w:val="22"/>
        </w:rPr>
        <w:t>críticamente</w:t>
      </w:r>
      <w:r>
        <w:rPr>
          <w:spacing w:val="-4"/>
          <w:sz w:val="22"/>
        </w:rPr>
        <w:t> </w:t>
      </w:r>
      <w:r>
        <w:rPr>
          <w:sz w:val="22"/>
        </w:rPr>
        <w:t>enfermo:</w:t>
      </w:r>
      <w:r>
        <w:rPr>
          <w:spacing w:val="-4"/>
          <w:sz w:val="22"/>
        </w:rPr>
        <w:t> </w:t>
      </w:r>
      <w:r>
        <w:rPr>
          <w:sz w:val="22"/>
        </w:rPr>
        <w:t>¿cuál es la relación riesgo- beneficio respecto de otros agentes? </w:t>
      </w:r>
      <w:r>
        <w:rPr>
          <w:i/>
          <w:sz w:val="22"/>
        </w:rPr>
        <w:t>Revista Argentina de Medicina, 12</w:t>
      </w:r>
      <w:r>
        <w:rPr>
          <w:sz w:val="22"/>
        </w:rPr>
        <w:t>(4), 247-254. doi:10.61222/ram.v12i4.1042</w:t>
      </w:r>
    </w:p>
    <w:p>
      <w:pPr>
        <w:spacing w:line="360" w:lineRule="auto" w:before="239"/>
        <w:ind w:left="1288" w:right="139" w:hanging="721"/>
        <w:jc w:val="both"/>
        <w:rPr>
          <w:sz w:val="22"/>
        </w:rPr>
      </w:pPr>
      <w:r>
        <w:rPr>
          <w:sz w:val="22"/>
        </w:rPr>
        <w:t>Wringe, E., Boustead, K., Iovanescu, C., Barron, L., &amp; Downing, F. (2025). Manejo anestésico y complicaciones perioperatorias en perros sometidos a estudios </w:t>
      </w:r>
      <w:r>
        <w:rPr>
          <w:spacing w:val="-2"/>
          <w:sz w:val="22"/>
        </w:rPr>
        <w:t>electrofisiológicos cardíacos y ablaciones de catéter por radiofrecuencia. </w:t>
      </w:r>
      <w:r>
        <w:rPr>
          <w:i/>
          <w:spacing w:val="-2"/>
          <w:sz w:val="22"/>
        </w:rPr>
        <w:t>Fronteras </w:t>
      </w:r>
      <w:r>
        <w:rPr>
          <w:i/>
          <w:sz w:val="22"/>
        </w:rPr>
        <w:t>en la Ciencia Veterinaria, 12</w:t>
      </w:r>
      <w:r>
        <w:rPr>
          <w:sz w:val="22"/>
        </w:rPr>
        <w:t>. doi:10.3389/fvets.2025.1717394</w:t>
      </w:r>
    </w:p>
    <w:p>
      <w:pPr>
        <w:spacing w:after="0" w:line="360" w:lineRule="auto"/>
        <w:jc w:val="both"/>
        <w:rPr>
          <w:sz w:val="22"/>
        </w:rPr>
        <w:sectPr>
          <w:pgSz w:w="11910" w:h="16840"/>
          <w:pgMar w:header="0" w:footer="1038" w:top="1620" w:bottom="1220" w:left="1700" w:right="1559"/>
        </w:sectPr>
      </w:pPr>
    </w:p>
    <w:p>
      <w:pPr>
        <w:pStyle w:val="Heading2"/>
      </w:pPr>
      <w:bookmarkStart w:name="_bookmark80" w:id="81"/>
      <w:bookmarkEnd w:id="81"/>
      <w:r>
        <w:rPr>
          <w:b w:val="0"/>
        </w:rPr>
      </w:r>
      <w:r>
        <w:rPr>
          <w:spacing w:val="-2"/>
        </w:rPr>
        <w:t>ANEXOS</w:t>
      </w:r>
    </w:p>
    <w:p>
      <w:pPr>
        <w:spacing w:before="275"/>
        <w:ind w:left="568" w:right="0" w:firstLine="0"/>
        <w:jc w:val="left"/>
        <w:rPr>
          <w:sz w:val="22"/>
        </w:rPr>
      </w:pPr>
      <w:bookmarkStart w:name="_bookmark81" w:id="82"/>
      <w:bookmarkEnd w:id="82"/>
      <w:r>
        <w:rPr/>
      </w:r>
      <w:r>
        <w:rPr>
          <w:b/>
          <w:i/>
          <w:sz w:val="22"/>
        </w:rPr>
        <w:t>Anexos</w:t>
      </w:r>
      <w:r>
        <w:rPr>
          <w:b/>
          <w:i/>
          <w:spacing w:val="-5"/>
          <w:sz w:val="22"/>
        </w:rPr>
        <w:t> </w:t>
      </w:r>
      <w:r>
        <w:rPr>
          <w:b/>
          <w:i/>
          <w:sz w:val="22"/>
        </w:rPr>
        <w:t>1.</w:t>
      </w:r>
      <w:r>
        <w:rPr>
          <w:b/>
          <w:i/>
          <w:spacing w:val="1"/>
          <w:sz w:val="22"/>
        </w:rPr>
        <w:t> </w:t>
      </w:r>
      <w:r>
        <w:rPr>
          <w:sz w:val="22"/>
        </w:rPr>
        <w:t>Mapa</w:t>
      </w:r>
      <w:r>
        <w:rPr>
          <w:spacing w:val="-6"/>
          <w:sz w:val="22"/>
        </w:rPr>
        <w:t> </w:t>
      </w:r>
      <w:r>
        <w:rPr>
          <w:sz w:val="22"/>
        </w:rPr>
        <w:t>de</w:t>
      </w:r>
      <w:r>
        <w:rPr>
          <w:spacing w:val="-2"/>
          <w:sz w:val="22"/>
        </w:rPr>
        <w:t> </w:t>
      </w:r>
      <w:r>
        <w:rPr>
          <w:sz w:val="22"/>
        </w:rPr>
        <w:t>ubicación</w:t>
      </w:r>
      <w:r>
        <w:rPr>
          <w:spacing w:val="1"/>
          <w:sz w:val="22"/>
        </w:rPr>
        <w:t> </w:t>
      </w:r>
      <w:r>
        <w:rPr>
          <w:sz w:val="22"/>
        </w:rPr>
        <w:t>de</w:t>
      </w:r>
      <w:r>
        <w:rPr>
          <w:spacing w:val="-2"/>
          <w:sz w:val="22"/>
        </w:rPr>
        <w:t> </w:t>
      </w:r>
      <w:r>
        <w:rPr>
          <w:sz w:val="22"/>
        </w:rPr>
        <w:t>la</w:t>
      </w:r>
      <w:r>
        <w:rPr>
          <w:spacing w:val="-2"/>
          <w:sz w:val="22"/>
        </w:rPr>
        <w:t> investigación.</w:t>
      </w:r>
    </w:p>
    <w:p>
      <w:pPr>
        <w:pStyle w:val="BodyText"/>
        <w:spacing w:before="74"/>
        <w:rPr>
          <w:sz w:val="20"/>
        </w:rPr>
      </w:pPr>
      <w:r>
        <w:rPr>
          <w:sz w:val="20"/>
        </w:rPr>
        <w:drawing>
          <wp:anchor distT="0" distB="0" distL="0" distR="0" allowOverlap="1" layoutInCell="1" locked="0" behindDoc="1" simplePos="0" relativeHeight="487600640">
            <wp:simplePos x="0" y="0"/>
            <wp:positionH relativeFrom="page">
              <wp:posOffset>1440180</wp:posOffset>
            </wp:positionH>
            <wp:positionV relativeFrom="paragraph">
              <wp:posOffset>208562</wp:posOffset>
            </wp:positionV>
            <wp:extent cx="5025687" cy="2709672"/>
            <wp:effectExtent l="0" t="0" r="0" b="0"/>
            <wp:wrapTopAndBottom/>
            <wp:docPr id="31" name="Image 31"/>
            <wp:cNvGraphicFramePr>
              <a:graphicFrameLocks/>
            </wp:cNvGraphicFramePr>
            <a:graphic>
              <a:graphicData uri="http://schemas.openxmlformats.org/drawingml/2006/picture">
                <pic:pic>
                  <pic:nvPicPr>
                    <pic:cNvPr id="31" name="Image 31"/>
                    <pic:cNvPicPr/>
                  </pic:nvPicPr>
                  <pic:blipFill>
                    <a:blip r:embed="rId42" cstate="print"/>
                    <a:stretch>
                      <a:fillRect/>
                    </a:stretch>
                  </pic:blipFill>
                  <pic:spPr>
                    <a:xfrm>
                      <a:off x="0" y="0"/>
                      <a:ext cx="5025687" cy="2709672"/>
                    </a:xfrm>
                    <a:prstGeom prst="rect">
                      <a:avLst/>
                    </a:prstGeom>
                  </pic:spPr>
                </pic:pic>
              </a:graphicData>
            </a:graphic>
          </wp:anchor>
        </w:drawing>
      </w:r>
    </w:p>
    <w:p>
      <w:pPr>
        <w:spacing w:before="131"/>
        <w:ind w:left="568" w:right="0" w:firstLine="0"/>
        <w:jc w:val="left"/>
        <w:rPr>
          <w:sz w:val="20"/>
        </w:rPr>
      </w:pPr>
      <w:r>
        <w:rPr>
          <w:b/>
          <w:sz w:val="20"/>
        </w:rPr>
        <w:t>Fuente:</w:t>
      </w:r>
      <w:r>
        <w:rPr>
          <w:b/>
          <w:spacing w:val="-5"/>
          <w:sz w:val="20"/>
        </w:rPr>
        <w:t> </w:t>
      </w:r>
      <w:r>
        <w:rPr>
          <w:sz w:val="20"/>
        </w:rPr>
        <w:t>Tomado</w:t>
      </w:r>
      <w:r>
        <w:rPr>
          <w:spacing w:val="-3"/>
          <w:sz w:val="20"/>
        </w:rPr>
        <w:t> </w:t>
      </w:r>
      <w:r>
        <w:rPr>
          <w:sz w:val="20"/>
        </w:rPr>
        <w:t>de</w:t>
      </w:r>
      <w:r>
        <w:rPr>
          <w:spacing w:val="-3"/>
          <w:sz w:val="20"/>
        </w:rPr>
        <w:t> </w:t>
      </w:r>
      <w:r>
        <w:rPr>
          <w:sz w:val="20"/>
        </w:rPr>
        <w:t>Google</w:t>
      </w:r>
      <w:r>
        <w:rPr>
          <w:spacing w:val="-6"/>
          <w:sz w:val="20"/>
        </w:rPr>
        <w:t> </w:t>
      </w:r>
      <w:r>
        <w:rPr>
          <w:spacing w:val="-2"/>
          <w:sz w:val="20"/>
        </w:rPr>
        <w:t>(2023)</w:t>
      </w:r>
    </w:p>
    <w:p>
      <w:pPr>
        <w:pStyle w:val="BodyText"/>
        <w:spacing w:before="97"/>
        <w:rPr>
          <w:sz w:val="20"/>
        </w:rPr>
      </w:pPr>
      <w:r>
        <w:rPr>
          <w:sz w:val="20"/>
        </w:rPr>
        <w:drawing>
          <wp:anchor distT="0" distB="0" distL="0" distR="0" allowOverlap="1" layoutInCell="1" locked="0" behindDoc="1" simplePos="0" relativeHeight="487601152">
            <wp:simplePos x="0" y="0"/>
            <wp:positionH relativeFrom="page">
              <wp:posOffset>1440180</wp:posOffset>
            </wp:positionH>
            <wp:positionV relativeFrom="paragraph">
              <wp:posOffset>222897</wp:posOffset>
            </wp:positionV>
            <wp:extent cx="5035909" cy="2743962"/>
            <wp:effectExtent l="0" t="0" r="0" b="0"/>
            <wp:wrapTopAndBottom/>
            <wp:docPr id="32" name="Image 32"/>
            <wp:cNvGraphicFramePr>
              <a:graphicFrameLocks/>
            </wp:cNvGraphicFramePr>
            <a:graphic>
              <a:graphicData uri="http://schemas.openxmlformats.org/drawingml/2006/picture">
                <pic:pic>
                  <pic:nvPicPr>
                    <pic:cNvPr id="32" name="Image 32"/>
                    <pic:cNvPicPr/>
                  </pic:nvPicPr>
                  <pic:blipFill>
                    <a:blip r:embed="rId43" cstate="print"/>
                    <a:stretch>
                      <a:fillRect/>
                    </a:stretch>
                  </pic:blipFill>
                  <pic:spPr>
                    <a:xfrm>
                      <a:off x="0" y="0"/>
                      <a:ext cx="5035909" cy="2743962"/>
                    </a:xfrm>
                    <a:prstGeom prst="rect">
                      <a:avLst/>
                    </a:prstGeom>
                  </pic:spPr>
                </pic:pic>
              </a:graphicData>
            </a:graphic>
          </wp:anchor>
        </w:drawing>
      </w:r>
    </w:p>
    <w:p>
      <w:pPr>
        <w:spacing w:before="107"/>
        <w:ind w:left="568" w:right="0" w:firstLine="0"/>
        <w:jc w:val="left"/>
        <w:rPr>
          <w:sz w:val="20"/>
        </w:rPr>
      </w:pPr>
      <w:r>
        <w:rPr>
          <w:b/>
          <w:sz w:val="20"/>
        </w:rPr>
        <w:t>Fuente:</w:t>
      </w:r>
      <w:r>
        <w:rPr>
          <w:b/>
          <w:spacing w:val="-4"/>
          <w:sz w:val="20"/>
        </w:rPr>
        <w:t> </w:t>
      </w:r>
      <w:r>
        <w:rPr>
          <w:sz w:val="20"/>
        </w:rPr>
        <w:t>Tomado</w:t>
      </w:r>
      <w:r>
        <w:rPr>
          <w:spacing w:val="-3"/>
          <w:sz w:val="20"/>
        </w:rPr>
        <w:t> </w:t>
      </w:r>
      <w:r>
        <w:rPr>
          <w:sz w:val="20"/>
        </w:rPr>
        <w:t>de</w:t>
      </w:r>
      <w:r>
        <w:rPr>
          <w:spacing w:val="-3"/>
          <w:sz w:val="20"/>
        </w:rPr>
        <w:t> </w:t>
      </w:r>
      <w:r>
        <w:rPr>
          <w:sz w:val="20"/>
        </w:rPr>
        <w:t>Google</w:t>
      </w:r>
      <w:r>
        <w:rPr>
          <w:spacing w:val="-6"/>
          <w:sz w:val="20"/>
        </w:rPr>
        <w:t> </w:t>
      </w:r>
      <w:r>
        <w:rPr>
          <w:spacing w:val="-2"/>
          <w:sz w:val="20"/>
        </w:rPr>
        <w:t>(2023)</w:t>
      </w:r>
    </w:p>
    <w:p>
      <w:pPr>
        <w:spacing w:after="0"/>
        <w:jc w:val="left"/>
        <w:rPr>
          <w:sz w:val="20"/>
        </w:rPr>
        <w:sectPr>
          <w:footerReference w:type="default" r:id="rId41"/>
          <w:pgSz w:w="11910" w:h="16840"/>
          <w:pgMar w:header="0" w:footer="0" w:top="1860" w:bottom="280" w:left="1700" w:right="1559"/>
        </w:sectPr>
      </w:pPr>
    </w:p>
    <w:p>
      <w:pPr>
        <w:spacing w:before="179"/>
        <w:ind w:left="568" w:right="0" w:firstLine="0"/>
        <w:jc w:val="left"/>
        <w:rPr>
          <w:sz w:val="22"/>
        </w:rPr>
      </w:pPr>
      <w:bookmarkStart w:name="_bookmark82" w:id="83"/>
      <w:bookmarkEnd w:id="83"/>
      <w:r>
        <w:rPr/>
      </w:r>
      <w:r>
        <w:rPr>
          <w:b/>
          <w:i/>
          <w:sz w:val="22"/>
        </w:rPr>
        <w:t>Anexos</w:t>
      </w:r>
      <w:r>
        <w:rPr>
          <w:b/>
          <w:i/>
          <w:spacing w:val="-5"/>
          <w:sz w:val="22"/>
        </w:rPr>
        <w:t> </w:t>
      </w:r>
      <w:r>
        <w:rPr>
          <w:b/>
          <w:i/>
          <w:sz w:val="22"/>
        </w:rPr>
        <w:t>2.</w:t>
      </w:r>
      <w:r>
        <w:rPr>
          <w:b/>
          <w:i/>
          <w:spacing w:val="1"/>
          <w:sz w:val="22"/>
        </w:rPr>
        <w:t> </w:t>
      </w:r>
      <w:r>
        <w:rPr>
          <w:sz w:val="22"/>
        </w:rPr>
        <w:t>Croquis</w:t>
      </w:r>
      <w:r>
        <w:rPr>
          <w:spacing w:val="-2"/>
          <w:sz w:val="22"/>
        </w:rPr>
        <w:t> </w:t>
      </w:r>
      <w:r>
        <w:rPr>
          <w:sz w:val="22"/>
        </w:rPr>
        <w:t>del</w:t>
      </w:r>
      <w:r>
        <w:rPr>
          <w:spacing w:val="-2"/>
          <w:sz w:val="22"/>
        </w:rPr>
        <w:t> ensayo</w:t>
      </w:r>
    </w:p>
    <w:p>
      <w:pPr>
        <w:pStyle w:val="BodyText"/>
        <w:spacing w:before="74"/>
        <w:rPr>
          <w:sz w:val="20"/>
        </w:rPr>
      </w:pPr>
      <w:r>
        <w:rPr>
          <w:sz w:val="20"/>
        </w:rPr>
        <mc:AlternateContent>
          <mc:Choice Requires="wps">
            <w:drawing>
              <wp:anchor distT="0" distB="0" distL="0" distR="0" allowOverlap="1" layoutInCell="1" locked="0" behindDoc="1" simplePos="0" relativeHeight="487601664">
                <wp:simplePos x="0" y="0"/>
                <wp:positionH relativeFrom="page">
                  <wp:posOffset>1440561</wp:posOffset>
                </wp:positionH>
                <wp:positionV relativeFrom="paragraph">
                  <wp:posOffset>208674</wp:posOffset>
                </wp:positionV>
                <wp:extent cx="5036185" cy="508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5036185" cy="5080"/>
                        </a:xfrm>
                        <a:custGeom>
                          <a:avLst/>
                          <a:gdLst/>
                          <a:ahLst/>
                          <a:cxnLst/>
                          <a:rect l="l" t="t" r="r" b="b"/>
                          <a:pathLst>
                            <a:path w="5036185" h="5080">
                              <a:moveTo>
                                <a:pt x="2523096" y="0"/>
                              </a:moveTo>
                              <a:lnTo>
                                <a:pt x="2518156" y="0"/>
                              </a:lnTo>
                              <a:lnTo>
                                <a:pt x="2518029" y="0"/>
                              </a:lnTo>
                              <a:lnTo>
                                <a:pt x="0" y="0"/>
                              </a:lnTo>
                              <a:lnTo>
                                <a:pt x="0" y="5080"/>
                              </a:lnTo>
                              <a:lnTo>
                                <a:pt x="2518029" y="5080"/>
                              </a:lnTo>
                              <a:lnTo>
                                <a:pt x="2518156" y="5080"/>
                              </a:lnTo>
                              <a:lnTo>
                                <a:pt x="2523096" y="5080"/>
                              </a:lnTo>
                              <a:lnTo>
                                <a:pt x="2523096" y="0"/>
                              </a:lnTo>
                              <a:close/>
                            </a:path>
                            <a:path w="5036185" h="5080">
                              <a:moveTo>
                                <a:pt x="5035804" y="0"/>
                              </a:moveTo>
                              <a:lnTo>
                                <a:pt x="2523109" y="0"/>
                              </a:lnTo>
                              <a:lnTo>
                                <a:pt x="2523109" y="5080"/>
                              </a:lnTo>
                              <a:lnTo>
                                <a:pt x="5035804" y="5080"/>
                              </a:lnTo>
                              <a:lnTo>
                                <a:pt x="50358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6.43104pt;width:396.55pt;height:.4pt;mso-position-horizontal-relative:page;mso-position-vertical-relative:paragraph;z-index:-15714816;mso-wrap-distance-left:0;mso-wrap-distance-right:0" id="docshape13" coordorigin="2269,329" coordsize="7931,8" path="m6242,329l6234,329,6234,329,2269,329,2269,337,6234,337,6234,337,6242,337,6242,329xm10199,329l6242,329,6242,337,10199,337,10199,329xe" filled="true" fillcolor="#000000" stroked="false">
                <v:path arrowok="t"/>
                <v:fill type="solid"/>
                <w10:wrap type="topAndBottom"/>
              </v:shape>
            </w:pict>
          </mc:Fallback>
        </mc:AlternateContent>
      </w:r>
    </w:p>
    <w:p>
      <w:pPr>
        <w:pStyle w:val="Heading3"/>
        <w:tabs>
          <w:tab w:pos="4513" w:val="left" w:leader="none"/>
        </w:tabs>
        <w:ind w:left="0" w:right="127" w:firstLine="0"/>
        <w:jc w:val="center"/>
      </w:pPr>
      <w:r>
        <w:rPr>
          <w:color w:val="0D0D0D"/>
        </w:rPr>
        <w:t>Código</w:t>
      </w:r>
      <w:r>
        <w:rPr>
          <w:color w:val="0D0D0D"/>
          <w:spacing w:val="-5"/>
        </w:rPr>
        <w:t> </w:t>
      </w:r>
      <w:r>
        <w:rPr>
          <w:color w:val="0D0D0D"/>
        </w:rPr>
        <w:t>del</w:t>
      </w:r>
      <w:r>
        <w:rPr>
          <w:color w:val="0D0D0D"/>
          <w:spacing w:val="-1"/>
        </w:rPr>
        <w:t> </w:t>
      </w:r>
      <w:r>
        <w:rPr>
          <w:color w:val="0D0D0D"/>
          <w:spacing w:val="-2"/>
        </w:rPr>
        <w:t>tratamiento</w:t>
      </w:r>
      <w:r>
        <w:rPr>
          <w:color w:val="0D0D0D"/>
        </w:rPr>
        <w:tab/>
      </w:r>
      <w:r>
        <w:rPr>
          <w:color w:val="0D0D0D"/>
          <w:spacing w:val="-2"/>
        </w:rPr>
        <w:t>Tratamiento</w:t>
      </w:r>
    </w:p>
    <w:p>
      <w:pPr>
        <w:pStyle w:val="BodyText"/>
        <w:rPr>
          <w:b/>
          <w:sz w:val="20"/>
        </w:rPr>
      </w:pPr>
    </w:p>
    <w:p>
      <w:pPr>
        <w:pStyle w:val="BodyText"/>
        <w:spacing w:before="20"/>
        <w:rPr>
          <w:b/>
          <w:sz w:val="20"/>
        </w:rPr>
      </w:pPr>
      <w:r>
        <w:rPr>
          <w:b/>
          <w:sz w:val="20"/>
        </w:rPr>
        <mc:AlternateContent>
          <mc:Choice Requires="wps">
            <w:drawing>
              <wp:anchor distT="0" distB="0" distL="0" distR="0" allowOverlap="1" layoutInCell="1" locked="0" behindDoc="1" simplePos="0" relativeHeight="487602176">
                <wp:simplePos x="0" y="0"/>
                <wp:positionH relativeFrom="page">
                  <wp:posOffset>1440561</wp:posOffset>
                </wp:positionH>
                <wp:positionV relativeFrom="paragraph">
                  <wp:posOffset>174270</wp:posOffset>
                </wp:positionV>
                <wp:extent cx="5036185" cy="508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036185" cy="5080"/>
                        </a:xfrm>
                        <a:custGeom>
                          <a:avLst/>
                          <a:gdLst/>
                          <a:ahLst/>
                          <a:cxnLst/>
                          <a:rect l="l" t="t" r="r" b="b"/>
                          <a:pathLst>
                            <a:path w="5036185" h="5080">
                              <a:moveTo>
                                <a:pt x="2523096" y="0"/>
                              </a:moveTo>
                              <a:lnTo>
                                <a:pt x="2518156" y="0"/>
                              </a:lnTo>
                              <a:lnTo>
                                <a:pt x="2518029" y="0"/>
                              </a:lnTo>
                              <a:lnTo>
                                <a:pt x="0" y="0"/>
                              </a:lnTo>
                              <a:lnTo>
                                <a:pt x="0" y="5080"/>
                              </a:lnTo>
                              <a:lnTo>
                                <a:pt x="2518029" y="5080"/>
                              </a:lnTo>
                              <a:lnTo>
                                <a:pt x="2518156" y="5080"/>
                              </a:lnTo>
                              <a:lnTo>
                                <a:pt x="2523096" y="5080"/>
                              </a:lnTo>
                              <a:lnTo>
                                <a:pt x="2523096" y="0"/>
                              </a:lnTo>
                              <a:close/>
                            </a:path>
                            <a:path w="5036185" h="5080">
                              <a:moveTo>
                                <a:pt x="5035804" y="0"/>
                              </a:moveTo>
                              <a:lnTo>
                                <a:pt x="2523109" y="0"/>
                              </a:lnTo>
                              <a:lnTo>
                                <a:pt x="2523109" y="5080"/>
                              </a:lnTo>
                              <a:lnTo>
                                <a:pt x="5035804" y="5080"/>
                              </a:lnTo>
                              <a:lnTo>
                                <a:pt x="50358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3.430008pt;margin-top:13.722116pt;width:396.55pt;height:.4pt;mso-position-horizontal-relative:page;mso-position-vertical-relative:paragraph;z-index:-15714304;mso-wrap-distance-left:0;mso-wrap-distance-right:0" id="docshape14" coordorigin="2269,274" coordsize="7931,8" path="m6242,274l6234,274,6234,274,2269,274,2269,282,6234,282,6234,282,6242,282,6242,274xm10199,274l6242,274,6242,282,10199,282,10199,274xe" filled="true" fillcolor="#000000" stroked="false">
                <v:path arrowok="t"/>
                <v:fill type="solid"/>
                <w10:wrap type="topAndBottom"/>
              </v:shape>
            </w:pict>
          </mc:Fallback>
        </mc:AlternateContent>
      </w:r>
    </w:p>
    <w:p>
      <w:pPr>
        <w:pStyle w:val="BodyText"/>
        <w:tabs>
          <w:tab w:pos="4801" w:val="left" w:leader="none"/>
        </w:tabs>
        <w:spacing w:before="4"/>
        <w:ind w:left="2417"/>
      </w:pPr>
      <w:r>
        <w:rPr>
          <w:color w:val="0D0D0D"/>
          <w:spacing w:val="-5"/>
        </w:rPr>
        <w:t>T1</w:t>
      </w:r>
      <w:r>
        <w:rPr>
          <w:color w:val="0D0D0D"/>
        </w:rPr>
        <w:tab/>
        <w:t>15</w:t>
      </w:r>
      <w:r>
        <w:rPr>
          <w:color w:val="0D0D0D"/>
          <w:spacing w:val="-1"/>
        </w:rPr>
        <w:t> </w:t>
      </w:r>
      <w:r>
        <w:rPr>
          <w:color w:val="0D0D0D"/>
        </w:rPr>
        <w:t>Caninos</w:t>
      </w:r>
      <w:r>
        <w:rPr>
          <w:color w:val="0D0D0D"/>
          <w:spacing w:val="-2"/>
        </w:rPr>
        <w:t> </w:t>
      </w:r>
      <w:r>
        <w:rPr>
          <w:color w:val="0D0D0D"/>
        </w:rPr>
        <w:t>+</w:t>
      </w:r>
      <w:r>
        <w:rPr>
          <w:color w:val="0D0D0D"/>
          <w:spacing w:val="-1"/>
        </w:rPr>
        <w:t> </w:t>
      </w:r>
      <w:r>
        <w:rPr>
          <w:color w:val="0D0D0D"/>
        </w:rPr>
        <w:t>Dexmedetomidina</w:t>
      </w:r>
      <w:r>
        <w:rPr>
          <w:color w:val="0D0D0D"/>
          <w:spacing w:val="1"/>
        </w:rPr>
        <w:t> </w:t>
      </w:r>
      <w:r>
        <w:rPr>
          <w:color w:val="0D0D0D"/>
          <w:spacing w:val="-5"/>
        </w:rPr>
        <w:t>IV</w:t>
      </w:r>
    </w:p>
    <w:p>
      <w:pPr>
        <w:pStyle w:val="BodyText"/>
        <w:spacing w:before="227"/>
      </w:pPr>
    </w:p>
    <w:p>
      <w:pPr>
        <w:pStyle w:val="BodyText"/>
        <w:tabs>
          <w:tab w:pos="4641" w:val="left" w:leader="none"/>
        </w:tabs>
        <w:spacing w:before="1"/>
        <w:ind w:left="2417"/>
      </w:pPr>
      <w:r>
        <w:rPr>
          <w:color w:val="0D0D0D"/>
          <w:spacing w:val="-5"/>
        </w:rPr>
        <w:t>T2</w:t>
      </w:r>
      <w:r>
        <w:rPr>
          <w:color w:val="0D0D0D"/>
        </w:rPr>
        <w:tab/>
        <w:t>15</w:t>
      </w:r>
      <w:r>
        <w:rPr>
          <w:color w:val="0D0D0D"/>
          <w:spacing w:val="-1"/>
        </w:rPr>
        <w:t> </w:t>
      </w:r>
      <w:r>
        <w:rPr>
          <w:color w:val="0D0D0D"/>
        </w:rPr>
        <w:t>Caninos</w:t>
      </w:r>
      <w:r>
        <w:rPr>
          <w:color w:val="0D0D0D"/>
          <w:spacing w:val="-2"/>
        </w:rPr>
        <w:t> </w:t>
      </w:r>
      <w:r>
        <w:rPr>
          <w:color w:val="0D0D0D"/>
        </w:rPr>
        <w:t>+</w:t>
      </w:r>
      <w:r>
        <w:rPr>
          <w:color w:val="0D0D0D"/>
          <w:spacing w:val="-1"/>
        </w:rPr>
        <w:t> </w:t>
      </w:r>
      <w:r>
        <w:rPr>
          <w:color w:val="0D0D0D"/>
        </w:rPr>
        <w:t>Dexmedetomidina</w:t>
      </w:r>
      <w:r>
        <w:rPr>
          <w:color w:val="0D0D0D"/>
          <w:spacing w:val="1"/>
        </w:rPr>
        <w:t> </w:t>
      </w:r>
      <w:r>
        <w:rPr>
          <w:color w:val="0D0D0D"/>
          <w:spacing w:val="-5"/>
        </w:rPr>
        <w:t>IM</w:t>
      </w:r>
    </w:p>
    <w:p>
      <w:pPr>
        <w:pStyle w:val="BodyText"/>
        <w:spacing w:before="1"/>
        <w:rPr>
          <w:sz w:val="10"/>
        </w:rPr>
      </w:pPr>
      <w:r>
        <w:rPr>
          <w:sz w:val="10"/>
        </w:rPr>
        <mc:AlternateContent>
          <mc:Choice Requires="wps">
            <w:drawing>
              <wp:anchor distT="0" distB="0" distL="0" distR="0" allowOverlap="1" layoutInCell="1" locked="0" behindDoc="1" simplePos="0" relativeHeight="487602688">
                <wp:simplePos x="0" y="0"/>
                <wp:positionH relativeFrom="page">
                  <wp:posOffset>1432941</wp:posOffset>
                </wp:positionH>
                <wp:positionV relativeFrom="paragraph">
                  <wp:posOffset>88956</wp:posOffset>
                </wp:positionV>
                <wp:extent cx="5043805" cy="508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5043805" cy="5080"/>
                        </a:xfrm>
                        <a:custGeom>
                          <a:avLst/>
                          <a:gdLst/>
                          <a:ahLst/>
                          <a:cxnLst/>
                          <a:rect l="l" t="t" r="r" b="b"/>
                          <a:pathLst>
                            <a:path w="5043805" h="5080">
                              <a:moveTo>
                                <a:pt x="5043424" y="0"/>
                              </a:moveTo>
                              <a:lnTo>
                                <a:pt x="5043424" y="0"/>
                              </a:lnTo>
                              <a:lnTo>
                                <a:pt x="0" y="0"/>
                              </a:lnTo>
                              <a:lnTo>
                                <a:pt x="0" y="5067"/>
                              </a:lnTo>
                              <a:lnTo>
                                <a:pt x="5043424" y="5067"/>
                              </a:lnTo>
                              <a:lnTo>
                                <a:pt x="50434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2.830002pt;margin-top:7.004487pt;width:397.120019pt;height:.399pt;mso-position-horizontal-relative:page;mso-position-vertical-relative:paragraph;z-index:-15713792;mso-wrap-distance-left:0;mso-wrap-distance-right:0" id="docshape15" filled="true" fillcolor="#000000" stroked="false">
                <v:fill type="solid"/>
                <w10:wrap type="topAndBottom"/>
              </v:rect>
            </w:pict>
          </mc:Fallback>
        </mc:AlternateContent>
      </w:r>
    </w:p>
    <w:p>
      <w:pPr>
        <w:pStyle w:val="BodyText"/>
        <w:spacing w:after="0"/>
        <w:rPr>
          <w:sz w:val="10"/>
        </w:rPr>
        <w:sectPr>
          <w:footerReference w:type="default" r:id="rId44"/>
          <w:pgSz w:w="11910" w:h="16840"/>
          <w:pgMar w:header="0" w:footer="0" w:top="1920" w:bottom="280" w:left="1700" w:right="1559"/>
        </w:sectPr>
      </w:pPr>
    </w:p>
    <w:p>
      <w:pPr>
        <w:pStyle w:val="BodyText"/>
        <w:rPr>
          <w:sz w:val="22"/>
        </w:rPr>
      </w:pPr>
    </w:p>
    <w:p>
      <w:pPr>
        <w:pStyle w:val="BodyText"/>
        <w:rPr>
          <w:sz w:val="22"/>
        </w:rPr>
      </w:pPr>
    </w:p>
    <w:p>
      <w:pPr>
        <w:pStyle w:val="BodyText"/>
        <w:spacing w:before="160"/>
        <w:rPr>
          <w:sz w:val="22"/>
        </w:rPr>
      </w:pPr>
    </w:p>
    <w:p>
      <w:pPr>
        <w:spacing w:before="0"/>
        <w:ind w:left="141" w:right="0" w:firstLine="0"/>
        <w:jc w:val="left"/>
        <w:rPr>
          <w:sz w:val="22"/>
        </w:rPr>
      </w:pPr>
      <w:r>
        <w:rPr>
          <w:sz w:val="22"/>
        </w:rPr>
        <mc:AlternateContent>
          <mc:Choice Requires="wps">
            <w:drawing>
              <wp:anchor distT="0" distB="0" distL="0" distR="0" allowOverlap="1" layoutInCell="1" locked="0" behindDoc="0" simplePos="0" relativeHeight="15744000">
                <wp:simplePos x="0" y="0"/>
                <wp:positionH relativeFrom="page">
                  <wp:posOffset>1079817</wp:posOffset>
                </wp:positionH>
                <wp:positionV relativeFrom="paragraph">
                  <wp:posOffset>369610</wp:posOffset>
                </wp:positionV>
                <wp:extent cx="8533765" cy="508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8533765" cy="5080"/>
                        </a:xfrm>
                        <a:custGeom>
                          <a:avLst/>
                          <a:gdLst/>
                          <a:ahLst/>
                          <a:cxnLst/>
                          <a:rect l="l" t="t" r="r" b="b"/>
                          <a:pathLst>
                            <a:path w="8533765" h="5080">
                              <a:moveTo>
                                <a:pt x="797560" y="0"/>
                              </a:moveTo>
                              <a:lnTo>
                                <a:pt x="0" y="0"/>
                              </a:lnTo>
                              <a:lnTo>
                                <a:pt x="0" y="5080"/>
                              </a:lnTo>
                              <a:lnTo>
                                <a:pt x="797560" y="5080"/>
                              </a:lnTo>
                              <a:lnTo>
                                <a:pt x="797560" y="0"/>
                              </a:lnTo>
                              <a:close/>
                            </a:path>
                            <a:path w="8533765" h="5080">
                              <a:moveTo>
                                <a:pt x="1625904" y="0"/>
                              </a:moveTo>
                              <a:lnTo>
                                <a:pt x="1625904" y="0"/>
                              </a:lnTo>
                              <a:lnTo>
                                <a:pt x="797623" y="0"/>
                              </a:lnTo>
                              <a:lnTo>
                                <a:pt x="797623" y="5080"/>
                              </a:lnTo>
                              <a:lnTo>
                                <a:pt x="1625904" y="5080"/>
                              </a:lnTo>
                              <a:lnTo>
                                <a:pt x="1625904" y="0"/>
                              </a:lnTo>
                              <a:close/>
                            </a:path>
                            <a:path w="8533765" h="5080">
                              <a:moveTo>
                                <a:pt x="2586342" y="0"/>
                              </a:moveTo>
                              <a:lnTo>
                                <a:pt x="2179624" y="0"/>
                              </a:lnTo>
                              <a:lnTo>
                                <a:pt x="2174557" y="0"/>
                              </a:lnTo>
                              <a:lnTo>
                                <a:pt x="1625917" y="0"/>
                              </a:lnTo>
                              <a:lnTo>
                                <a:pt x="1625917" y="5080"/>
                              </a:lnTo>
                              <a:lnTo>
                                <a:pt x="2174557" y="5080"/>
                              </a:lnTo>
                              <a:lnTo>
                                <a:pt x="2179624" y="5080"/>
                              </a:lnTo>
                              <a:lnTo>
                                <a:pt x="2586342" y="5080"/>
                              </a:lnTo>
                              <a:lnTo>
                                <a:pt x="2586342" y="0"/>
                              </a:lnTo>
                              <a:close/>
                            </a:path>
                            <a:path w="8533765" h="5080">
                              <a:moveTo>
                                <a:pt x="2591485" y="0"/>
                              </a:moveTo>
                              <a:lnTo>
                                <a:pt x="2586418" y="0"/>
                              </a:lnTo>
                              <a:lnTo>
                                <a:pt x="2586418" y="5080"/>
                              </a:lnTo>
                              <a:lnTo>
                                <a:pt x="2591485" y="5080"/>
                              </a:lnTo>
                              <a:lnTo>
                                <a:pt x="2591485" y="0"/>
                              </a:lnTo>
                              <a:close/>
                            </a:path>
                            <a:path w="8533765" h="5080">
                              <a:moveTo>
                                <a:pt x="3500691" y="0"/>
                              </a:moveTo>
                              <a:lnTo>
                                <a:pt x="3500691" y="0"/>
                              </a:lnTo>
                              <a:lnTo>
                                <a:pt x="2591498" y="0"/>
                              </a:lnTo>
                              <a:lnTo>
                                <a:pt x="2591498" y="5080"/>
                              </a:lnTo>
                              <a:lnTo>
                                <a:pt x="3500691" y="5080"/>
                              </a:lnTo>
                              <a:lnTo>
                                <a:pt x="3500691" y="0"/>
                              </a:lnTo>
                              <a:close/>
                            </a:path>
                            <a:path w="8533765" h="5080">
                              <a:moveTo>
                                <a:pt x="4001439" y="0"/>
                              </a:moveTo>
                              <a:lnTo>
                                <a:pt x="3996436" y="0"/>
                              </a:lnTo>
                              <a:lnTo>
                                <a:pt x="3500818" y="0"/>
                              </a:lnTo>
                              <a:lnTo>
                                <a:pt x="3500818" y="5080"/>
                              </a:lnTo>
                              <a:lnTo>
                                <a:pt x="3996372" y="5080"/>
                              </a:lnTo>
                              <a:lnTo>
                                <a:pt x="4001439" y="5080"/>
                              </a:lnTo>
                              <a:lnTo>
                                <a:pt x="4001439" y="0"/>
                              </a:lnTo>
                              <a:close/>
                            </a:path>
                            <a:path w="8533765" h="5080">
                              <a:moveTo>
                                <a:pt x="4412920" y="0"/>
                              </a:moveTo>
                              <a:lnTo>
                                <a:pt x="4407852" y="0"/>
                              </a:lnTo>
                              <a:lnTo>
                                <a:pt x="4001452" y="0"/>
                              </a:lnTo>
                              <a:lnTo>
                                <a:pt x="4001452" y="5080"/>
                              </a:lnTo>
                              <a:lnTo>
                                <a:pt x="4407852" y="5080"/>
                              </a:lnTo>
                              <a:lnTo>
                                <a:pt x="4412920" y="5080"/>
                              </a:lnTo>
                              <a:lnTo>
                                <a:pt x="4412920" y="0"/>
                              </a:lnTo>
                              <a:close/>
                            </a:path>
                            <a:path w="8533765" h="5080">
                              <a:moveTo>
                                <a:pt x="4824400" y="0"/>
                              </a:moveTo>
                              <a:lnTo>
                                <a:pt x="4819332" y="0"/>
                              </a:lnTo>
                              <a:lnTo>
                                <a:pt x="4412932" y="0"/>
                              </a:lnTo>
                              <a:lnTo>
                                <a:pt x="4412932" y="5080"/>
                              </a:lnTo>
                              <a:lnTo>
                                <a:pt x="4819332" y="5080"/>
                              </a:lnTo>
                              <a:lnTo>
                                <a:pt x="4824400" y="5080"/>
                              </a:lnTo>
                              <a:lnTo>
                                <a:pt x="4824400" y="0"/>
                              </a:lnTo>
                              <a:close/>
                            </a:path>
                            <a:path w="8533765" h="5080">
                              <a:moveTo>
                                <a:pt x="5271440" y="0"/>
                              </a:moveTo>
                              <a:lnTo>
                                <a:pt x="4824412" y="0"/>
                              </a:lnTo>
                              <a:lnTo>
                                <a:pt x="4824412" y="5080"/>
                              </a:lnTo>
                              <a:lnTo>
                                <a:pt x="5271440" y="5080"/>
                              </a:lnTo>
                              <a:lnTo>
                                <a:pt x="5271440" y="0"/>
                              </a:lnTo>
                              <a:close/>
                            </a:path>
                            <a:path w="8533765" h="5080">
                              <a:moveTo>
                                <a:pt x="5276520" y="0"/>
                              </a:moveTo>
                              <a:lnTo>
                                <a:pt x="5271452" y="0"/>
                              </a:lnTo>
                              <a:lnTo>
                                <a:pt x="5271452" y="5080"/>
                              </a:lnTo>
                              <a:lnTo>
                                <a:pt x="5276520" y="5080"/>
                              </a:lnTo>
                              <a:lnTo>
                                <a:pt x="5276520" y="0"/>
                              </a:lnTo>
                              <a:close/>
                            </a:path>
                            <a:path w="8533765" h="5080">
                              <a:moveTo>
                                <a:pt x="5716270" y="0"/>
                              </a:moveTo>
                              <a:lnTo>
                                <a:pt x="5276532" y="0"/>
                              </a:lnTo>
                              <a:lnTo>
                                <a:pt x="5276532" y="5080"/>
                              </a:lnTo>
                              <a:lnTo>
                                <a:pt x="5716270" y="5080"/>
                              </a:lnTo>
                              <a:lnTo>
                                <a:pt x="5716270" y="0"/>
                              </a:lnTo>
                              <a:close/>
                            </a:path>
                            <a:path w="8533765" h="5080">
                              <a:moveTo>
                                <a:pt x="6173521" y="0"/>
                              </a:moveTo>
                              <a:lnTo>
                                <a:pt x="6168453" y="0"/>
                              </a:lnTo>
                              <a:lnTo>
                                <a:pt x="5721413" y="0"/>
                              </a:lnTo>
                              <a:lnTo>
                                <a:pt x="5716333" y="0"/>
                              </a:lnTo>
                              <a:lnTo>
                                <a:pt x="5716333" y="5080"/>
                              </a:lnTo>
                              <a:lnTo>
                                <a:pt x="5721413" y="5080"/>
                              </a:lnTo>
                              <a:lnTo>
                                <a:pt x="6168453" y="5080"/>
                              </a:lnTo>
                              <a:lnTo>
                                <a:pt x="6173521" y="5080"/>
                              </a:lnTo>
                              <a:lnTo>
                                <a:pt x="6173521" y="0"/>
                              </a:lnTo>
                              <a:close/>
                            </a:path>
                            <a:path w="8533765" h="5080">
                              <a:moveTo>
                                <a:pt x="7591095" y="0"/>
                              </a:moveTo>
                              <a:lnTo>
                                <a:pt x="7591095" y="0"/>
                              </a:lnTo>
                              <a:lnTo>
                                <a:pt x="6173533" y="0"/>
                              </a:lnTo>
                              <a:lnTo>
                                <a:pt x="6173533" y="5080"/>
                              </a:lnTo>
                              <a:lnTo>
                                <a:pt x="7591095" y="5080"/>
                              </a:lnTo>
                              <a:lnTo>
                                <a:pt x="7591095" y="0"/>
                              </a:lnTo>
                              <a:close/>
                            </a:path>
                            <a:path w="8533765" h="5080">
                              <a:moveTo>
                                <a:pt x="8533765" y="0"/>
                              </a:moveTo>
                              <a:lnTo>
                                <a:pt x="8043227" y="0"/>
                              </a:lnTo>
                              <a:lnTo>
                                <a:pt x="8038147" y="0"/>
                              </a:lnTo>
                              <a:lnTo>
                                <a:pt x="7591107" y="0"/>
                              </a:lnTo>
                              <a:lnTo>
                                <a:pt x="7591107" y="5080"/>
                              </a:lnTo>
                              <a:lnTo>
                                <a:pt x="8038147" y="5080"/>
                              </a:lnTo>
                              <a:lnTo>
                                <a:pt x="8043227" y="5080"/>
                              </a:lnTo>
                              <a:lnTo>
                                <a:pt x="8533765" y="5080"/>
                              </a:lnTo>
                              <a:lnTo>
                                <a:pt x="85337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5.025002pt;margin-top:29.103201pt;width:671.95pt;height:.4pt;mso-position-horizontal-relative:page;mso-position-vertical-relative:paragraph;z-index:15744000" id="docshape16" coordorigin="1701,582" coordsize="13439,8" path="m2957,582l1701,582,1701,590,2957,590,2957,582xm4261,582l4253,582,3613,582,3605,582,3605,582,2965,582,2957,582,2957,590,2965,590,3605,590,3605,590,3613,590,4253,590,4261,590,4261,582xm5773,582l5133,582,5125,582,4261,582,4261,590,5125,590,5133,590,5773,590,5773,582xm5782,582l5774,582,5774,590,5782,590,5782,582xm7213,582l7205,582,6566,582,6565,582,6558,582,5782,582,5782,590,6558,590,6565,590,6566,590,7205,590,7213,590,7213,582xm8002,582l7994,582,7994,582,7214,582,7214,590,7994,590,7994,590,8002,590,8002,582xm8650,582l8642,582,8002,582,8002,590,8642,590,8650,590,8650,582xm9298,582l9290,582,8650,582,8650,590,9290,590,9298,590,9298,582xm10002,582l9298,582,9298,590,10002,590,10002,582xm10010,582l10002,582,10002,590,10010,590,10010,582xm10703,582l10010,582,10010,590,10703,590,10703,582xm11423,582l11415,582,10711,582,10703,582,10703,590,10711,590,11415,590,11423,590,11423,582xm13655,582l13647,582,12923,582,12915,582,12915,582,12211,582,12203,582,11423,582,11423,590,12203,590,12211,590,12915,590,12915,590,12923,590,13647,590,13655,590,13655,582xm15140,582l14367,582,14359,582,13655,582,13655,590,14359,590,14367,590,15140,590,15140,582xe" filled="true" fillcolor="#000000" stroked="false">
                <v:path arrowok="t"/>
                <v:fill type="solid"/>
                <w10:wrap type="none"/>
              </v:shape>
            </w:pict>
          </mc:Fallback>
        </mc:AlternateContent>
      </w:r>
      <w:r>
        <w:rPr>
          <w:sz w:val="22"/>
        </w:rPr>
        <mc:AlternateContent>
          <mc:Choice Requires="wps">
            <w:drawing>
              <wp:anchor distT="0" distB="0" distL="0" distR="0" allowOverlap="1" layoutInCell="1" locked="0" behindDoc="0" simplePos="0" relativeHeight="15744512">
                <wp:simplePos x="0" y="0"/>
                <wp:positionH relativeFrom="page">
                  <wp:posOffset>1144608</wp:posOffset>
                </wp:positionH>
                <wp:positionV relativeFrom="paragraph">
                  <wp:posOffset>363512</wp:posOffset>
                </wp:positionV>
                <wp:extent cx="194310" cy="54229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94310" cy="542290"/>
                        </a:xfrm>
                        <a:prstGeom prst="rect">
                          <a:avLst/>
                        </a:prstGeom>
                      </wps:spPr>
                      <wps:txbx>
                        <w:txbxContent>
                          <w:p>
                            <w:pPr>
                              <w:pStyle w:val="BodyText"/>
                              <w:spacing w:before="10"/>
                              <w:ind w:left="20"/>
                            </w:pPr>
                            <w:r>
                              <w:rPr>
                                <w:color w:val="0D0D0D"/>
                                <w:spacing w:val="-2"/>
                              </w:rPr>
                              <w:t>Paciente</w:t>
                            </w:r>
                          </w:p>
                        </w:txbxContent>
                      </wps:txbx>
                      <wps:bodyPr wrap="square" lIns="0" tIns="0" rIns="0" bIns="0" rtlCol="0" vert="vert270">
                        <a:noAutofit/>
                      </wps:bodyPr>
                    </wps:wsp>
                  </a:graphicData>
                </a:graphic>
              </wp:anchor>
            </w:drawing>
          </mc:Choice>
          <mc:Fallback>
            <w:pict>
              <v:shape style="position:absolute;margin-left:90.12664pt;margin-top:28.623034pt;width:15.3pt;height:42.7pt;mso-position-horizontal-relative:page;mso-position-vertical-relative:paragraph;z-index:15744512" type="#_x0000_t202" id="docshape17" filled="false" stroked="false">
                <v:textbox inset="0,0,0,0" style="layout-flow:vertical;mso-layout-flow-alt:bottom-to-top">
                  <w:txbxContent>
                    <w:p>
                      <w:pPr>
                        <w:pStyle w:val="BodyText"/>
                        <w:spacing w:before="10"/>
                        <w:ind w:left="20"/>
                      </w:pPr>
                      <w:r>
                        <w:rPr>
                          <w:color w:val="0D0D0D"/>
                          <w:spacing w:val="-2"/>
                        </w:rPr>
                        <w:t>Paciente</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5024">
                <wp:simplePos x="0" y="0"/>
                <wp:positionH relativeFrom="page">
                  <wp:posOffset>1942295</wp:posOffset>
                </wp:positionH>
                <wp:positionV relativeFrom="paragraph">
                  <wp:posOffset>365620</wp:posOffset>
                </wp:positionV>
                <wp:extent cx="194310" cy="24574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94310" cy="245745"/>
                        </a:xfrm>
                        <a:prstGeom prst="rect">
                          <a:avLst/>
                        </a:prstGeom>
                      </wps:spPr>
                      <wps:txbx>
                        <w:txbxContent>
                          <w:p>
                            <w:pPr>
                              <w:pStyle w:val="BodyText"/>
                              <w:spacing w:before="10"/>
                              <w:ind w:left="20"/>
                            </w:pPr>
                            <w:r>
                              <w:rPr>
                                <w:color w:val="0D0D0D"/>
                                <w:spacing w:val="-5"/>
                              </w:rPr>
                              <w:t>Vía</w:t>
                            </w:r>
                          </w:p>
                        </w:txbxContent>
                      </wps:txbx>
                      <wps:bodyPr wrap="square" lIns="0" tIns="0" rIns="0" bIns="0" rtlCol="0" vert="vert270">
                        <a:noAutofit/>
                      </wps:bodyPr>
                    </wps:wsp>
                  </a:graphicData>
                </a:graphic>
              </wp:anchor>
            </w:drawing>
          </mc:Choice>
          <mc:Fallback>
            <w:pict>
              <v:shape style="position:absolute;margin-left:152.936646pt;margin-top:28.789049pt;width:15.3pt;height:19.350pt;mso-position-horizontal-relative:page;mso-position-vertical-relative:paragraph;z-index:15745024" type="#_x0000_t202" id="docshape18" filled="false" stroked="false">
                <v:textbox inset="0,0,0,0" style="layout-flow:vertical;mso-layout-flow-alt:bottom-to-top">
                  <w:txbxContent>
                    <w:p>
                      <w:pPr>
                        <w:pStyle w:val="BodyText"/>
                        <w:spacing w:before="10"/>
                        <w:ind w:left="20"/>
                      </w:pPr>
                      <w:r>
                        <w:rPr>
                          <w:color w:val="0D0D0D"/>
                          <w:spacing w:val="-5"/>
                        </w:rPr>
                        <w:t>Vía</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5536">
                <wp:simplePos x="0" y="0"/>
                <wp:positionH relativeFrom="page">
                  <wp:posOffset>2354029</wp:posOffset>
                </wp:positionH>
                <wp:positionV relativeFrom="paragraph">
                  <wp:posOffset>363214</wp:posOffset>
                </wp:positionV>
                <wp:extent cx="194310" cy="72834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194310" cy="728345"/>
                        </a:xfrm>
                        <a:prstGeom prst="rect">
                          <a:avLst/>
                        </a:prstGeom>
                      </wps:spPr>
                      <wps:txbx>
                        <w:txbxContent>
                          <w:p>
                            <w:pPr>
                              <w:pStyle w:val="BodyText"/>
                              <w:spacing w:before="10"/>
                              <w:ind w:left="20"/>
                            </w:pPr>
                            <w:r>
                              <w:rPr>
                                <w:color w:val="0D0D0D"/>
                                <w:spacing w:val="-2"/>
                              </w:rPr>
                              <w:t>Temperatur</w:t>
                            </w:r>
                          </w:p>
                        </w:txbxContent>
                      </wps:txbx>
                      <wps:bodyPr wrap="square" lIns="0" tIns="0" rIns="0" bIns="0" rtlCol="0" vert="vert270">
                        <a:noAutofit/>
                      </wps:bodyPr>
                    </wps:wsp>
                  </a:graphicData>
                </a:graphic>
              </wp:anchor>
            </w:drawing>
          </mc:Choice>
          <mc:Fallback>
            <w:pict>
              <v:shape style="position:absolute;margin-left:185.356644pt;margin-top:28.599564pt;width:15.3pt;height:57.35pt;mso-position-horizontal-relative:page;mso-position-vertical-relative:paragraph;z-index:15745536" type="#_x0000_t202" id="docshape19" filled="false" stroked="false">
                <v:textbox inset="0,0,0,0" style="layout-flow:vertical;mso-layout-flow-alt:bottom-to-top">
                  <w:txbxContent>
                    <w:p>
                      <w:pPr>
                        <w:pStyle w:val="BodyText"/>
                        <w:spacing w:before="10"/>
                        <w:ind w:left="20"/>
                      </w:pPr>
                      <w:r>
                        <w:rPr>
                          <w:color w:val="0D0D0D"/>
                          <w:spacing w:val="-2"/>
                        </w:rPr>
                        <w:t>Temperatur</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6048">
                <wp:simplePos x="0" y="0"/>
                <wp:positionH relativeFrom="page">
                  <wp:posOffset>2765509</wp:posOffset>
                </wp:positionH>
                <wp:positionV relativeFrom="paragraph">
                  <wp:posOffset>362395</wp:posOffset>
                </wp:positionV>
                <wp:extent cx="748030" cy="72898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748030" cy="728980"/>
                        </a:xfrm>
                        <a:prstGeom prst="rect">
                          <a:avLst/>
                        </a:prstGeom>
                      </wps:spPr>
                      <wps:txbx>
                        <w:txbxContent>
                          <w:p>
                            <w:pPr>
                              <w:pStyle w:val="BodyText"/>
                              <w:spacing w:line="372" w:lineRule="auto" w:before="10"/>
                              <w:ind w:left="32" w:right="8" w:hanging="12"/>
                            </w:pPr>
                            <w:r>
                              <w:rPr>
                                <w:color w:val="0D0D0D"/>
                                <w:spacing w:val="-2"/>
                              </w:rPr>
                              <w:t>Temperatur a_prom_5_</w:t>
                            </w:r>
                          </w:p>
                          <w:p>
                            <w:pPr>
                              <w:pStyle w:val="BodyText"/>
                              <w:spacing w:before="16"/>
                              <w:ind w:left="592"/>
                            </w:pPr>
                            <w:r>
                              <w:rPr>
                                <w:color w:val="0D0D0D"/>
                                <w:spacing w:val="-4"/>
                              </w:rPr>
                              <w:t>FC_0</w:t>
                            </w:r>
                          </w:p>
                        </w:txbxContent>
                      </wps:txbx>
                      <wps:bodyPr wrap="square" lIns="0" tIns="0" rIns="0" bIns="0" rtlCol="0" vert="vert270">
                        <a:noAutofit/>
                      </wps:bodyPr>
                    </wps:wsp>
                  </a:graphicData>
                </a:graphic>
              </wp:anchor>
            </w:drawing>
          </mc:Choice>
          <mc:Fallback>
            <w:pict>
              <v:shape style="position:absolute;margin-left:217.756638pt;margin-top:28.535063pt;width:58.9pt;height:57.4pt;mso-position-horizontal-relative:page;mso-position-vertical-relative:paragraph;z-index:15746048" type="#_x0000_t202" id="docshape20" filled="false" stroked="false">
                <v:textbox inset="0,0,0,0" style="layout-flow:vertical;mso-layout-flow-alt:bottom-to-top">
                  <w:txbxContent>
                    <w:p>
                      <w:pPr>
                        <w:pStyle w:val="BodyText"/>
                        <w:spacing w:line="372" w:lineRule="auto" w:before="10"/>
                        <w:ind w:left="32" w:right="8" w:hanging="12"/>
                      </w:pPr>
                      <w:r>
                        <w:rPr>
                          <w:color w:val="0D0D0D"/>
                          <w:spacing w:val="-2"/>
                        </w:rPr>
                        <w:t>Temperatur a_prom_5_</w:t>
                      </w:r>
                    </w:p>
                    <w:p>
                      <w:pPr>
                        <w:pStyle w:val="BodyText"/>
                        <w:spacing w:before="16"/>
                        <w:ind w:left="592"/>
                      </w:pPr>
                      <w:r>
                        <w:rPr>
                          <w:color w:val="0D0D0D"/>
                          <w:spacing w:val="-4"/>
                        </w:rPr>
                        <w:t>FC_0</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6560">
                <wp:simplePos x="0" y="0"/>
                <wp:positionH relativeFrom="page">
                  <wp:posOffset>3730963</wp:posOffset>
                </wp:positionH>
                <wp:positionV relativeFrom="paragraph">
                  <wp:posOffset>364481</wp:posOffset>
                </wp:positionV>
                <wp:extent cx="692150" cy="68643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692150" cy="686435"/>
                        </a:xfrm>
                        <a:prstGeom prst="rect">
                          <a:avLst/>
                        </a:prstGeom>
                      </wps:spPr>
                      <wps:txbx>
                        <w:txbxContent>
                          <w:p>
                            <w:pPr>
                              <w:pStyle w:val="BodyText"/>
                              <w:spacing w:before="10"/>
                              <w:ind w:left="20"/>
                            </w:pPr>
                            <w:r>
                              <w:rPr>
                                <w:color w:val="0D0D0D"/>
                                <w:spacing w:val="-2"/>
                              </w:rPr>
                              <w:t>FC_prom_</w:t>
                            </w:r>
                          </w:p>
                          <w:p>
                            <w:pPr>
                              <w:pStyle w:val="BodyText"/>
                              <w:spacing w:line="360" w:lineRule="atLeast" w:before="64"/>
                              <w:ind w:left="527" w:right="16" w:firstLine="24"/>
                            </w:pPr>
                            <w:r>
                              <w:rPr>
                                <w:color w:val="0D0D0D"/>
                                <w:spacing w:val="-4"/>
                              </w:rPr>
                              <w:t>5_fin FR_0</w:t>
                            </w:r>
                          </w:p>
                        </w:txbxContent>
                      </wps:txbx>
                      <wps:bodyPr wrap="square" lIns="0" tIns="0" rIns="0" bIns="0" rtlCol="0" vert="vert270">
                        <a:noAutofit/>
                      </wps:bodyPr>
                    </wps:wsp>
                  </a:graphicData>
                </a:graphic>
              </wp:anchor>
            </w:drawing>
          </mc:Choice>
          <mc:Fallback>
            <w:pict>
              <v:shape style="position:absolute;margin-left:293.776642pt;margin-top:28.699314pt;width:54.5pt;height:54.05pt;mso-position-horizontal-relative:page;mso-position-vertical-relative:paragraph;z-index:15746560" type="#_x0000_t202" id="docshape21" filled="false" stroked="false">
                <v:textbox inset="0,0,0,0" style="layout-flow:vertical;mso-layout-flow-alt:bottom-to-top">
                  <w:txbxContent>
                    <w:p>
                      <w:pPr>
                        <w:pStyle w:val="BodyText"/>
                        <w:spacing w:before="10"/>
                        <w:ind w:left="20"/>
                      </w:pPr>
                      <w:r>
                        <w:rPr>
                          <w:color w:val="0D0D0D"/>
                          <w:spacing w:val="-2"/>
                        </w:rPr>
                        <w:t>FC_prom_</w:t>
                      </w:r>
                    </w:p>
                    <w:p>
                      <w:pPr>
                        <w:pStyle w:val="BodyText"/>
                        <w:spacing w:line="360" w:lineRule="atLeast" w:before="64"/>
                        <w:ind w:left="527" w:right="16" w:firstLine="24"/>
                      </w:pPr>
                      <w:r>
                        <w:rPr>
                          <w:color w:val="0D0D0D"/>
                          <w:spacing w:val="-4"/>
                        </w:rPr>
                        <w:t>5_fin FR_0</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7072">
                <wp:simplePos x="0" y="0"/>
                <wp:positionH relativeFrom="page">
                  <wp:posOffset>4640283</wp:posOffset>
                </wp:positionH>
                <wp:positionV relativeFrom="paragraph">
                  <wp:posOffset>362246</wp:posOffset>
                </wp:positionV>
                <wp:extent cx="695325" cy="68834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695325" cy="688340"/>
                        </a:xfrm>
                        <a:prstGeom prst="rect">
                          <a:avLst/>
                        </a:prstGeom>
                      </wps:spPr>
                      <wps:txbx>
                        <w:txbxContent>
                          <w:p>
                            <w:pPr>
                              <w:pStyle w:val="BodyText"/>
                              <w:spacing w:before="10"/>
                              <w:ind w:right="21"/>
                              <w:jc w:val="right"/>
                            </w:pPr>
                            <w:r>
                              <w:rPr>
                                <w:color w:val="0D0D0D"/>
                                <w:spacing w:val="-2"/>
                              </w:rPr>
                              <w:t>FR_prom_</w:t>
                            </w:r>
                          </w:p>
                          <w:p>
                            <w:pPr>
                              <w:pStyle w:val="BodyText"/>
                              <w:spacing w:line="360" w:lineRule="atLeast" w:before="68"/>
                              <w:ind w:left="220" w:right="18" w:firstLine="332"/>
                              <w:jc w:val="right"/>
                            </w:pPr>
                            <w:r>
                              <w:rPr>
                                <w:color w:val="0D0D0D"/>
                                <w:spacing w:val="-2"/>
                              </w:rPr>
                              <w:t>5_fin TLLC_0</w:t>
                            </w:r>
                          </w:p>
                        </w:txbxContent>
                      </wps:txbx>
                      <wps:bodyPr wrap="square" lIns="0" tIns="0" rIns="0" bIns="0" rtlCol="0" vert="vert270">
                        <a:noAutofit/>
                      </wps:bodyPr>
                    </wps:wsp>
                  </a:graphicData>
                </a:graphic>
              </wp:anchor>
            </w:drawing>
          </mc:Choice>
          <mc:Fallback>
            <w:pict>
              <v:shape style="position:absolute;margin-left:365.376648pt;margin-top:28.523314pt;width:54.75pt;height:54.2pt;mso-position-horizontal-relative:page;mso-position-vertical-relative:paragraph;z-index:15747072" type="#_x0000_t202" id="docshape22" filled="false" stroked="false">
                <v:textbox inset="0,0,0,0" style="layout-flow:vertical;mso-layout-flow-alt:bottom-to-top">
                  <w:txbxContent>
                    <w:p>
                      <w:pPr>
                        <w:pStyle w:val="BodyText"/>
                        <w:spacing w:before="10"/>
                        <w:ind w:right="21"/>
                        <w:jc w:val="right"/>
                      </w:pPr>
                      <w:r>
                        <w:rPr>
                          <w:color w:val="0D0D0D"/>
                          <w:spacing w:val="-2"/>
                        </w:rPr>
                        <w:t>FR_prom_</w:t>
                      </w:r>
                    </w:p>
                    <w:p>
                      <w:pPr>
                        <w:pStyle w:val="BodyText"/>
                        <w:spacing w:line="360" w:lineRule="atLeast" w:before="68"/>
                        <w:ind w:left="220" w:right="18" w:firstLine="332"/>
                        <w:jc w:val="right"/>
                      </w:pPr>
                      <w:r>
                        <w:rPr>
                          <w:color w:val="0D0D0D"/>
                          <w:spacing w:val="-2"/>
                        </w:rPr>
                        <w:t>5_fin TLLC_0</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7584">
                <wp:simplePos x="0" y="0"/>
                <wp:positionH relativeFrom="page">
                  <wp:posOffset>5552524</wp:posOffset>
                </wp:positionH>
                <wp:positionV relativeFrom="paragraph">
                  <wp:posOffset>362295</wp:posOffset>
                </wp:positionV>
                <wp:extent cx="194310" cy="68834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194310" cy="688340"/>
                        </a:xfrm>
                        <a:prstGeom prst="rect">
                          <a:avLst/>
                        </a:prstGeom>
                      </wps:spPr>
                      <wps:txbx>
                        <w:txbxContent>
                          <w:p>
                            <w:pPr>
                              <w:pStyle w:val="BodyText"/>
                              <w:spacing w:before="10"/>
                              <w:ind w:left="20"/>
                            </w:pPr>
                            <w:r>
                              <w:rPr>
                                <w:color w:val="0D0D0D"/>
                                <w:spacing w:val="-2"/>
                              </w:rPr>
                              <w:t>TLLC_pro</w:t>
                            </w:r>
                          </w:p>
                        </w:txbxContent>
                      </wps:txbx>
                      <wps:bodyPr wrap="square" lIns="0" tIns="0" rIns="0" bIns="0" rtlCol="0" vert="vert270">
                        <a:noAutofit/>
                      </wps:bodyPr>
                    </wps:wsp>
                  </a:graphicData>
                </a:graphic>
              </wp:anchor>
            </w:drawing>
          </mc:Choice>
          <mc:Fallback>
            <w:pict>
              <v:shape style="position:absolute;margin-left:437.206635pt;margin-top:28.52722pt;width:15.3pt;height:54.2pt;mso-position-horizontal-relative:page;mso-position-vertical-relative:paragraph;z-index:15747584" type="#_x0000_t202" id="docshape23" filled="false" stroked="false">
                <v:textbox inset="0,0,0,0" style="layout-flow:vertical;mso-layout-flow-alt:bottom-to-top">
                  <w:txbxContent>
                    <w:p>
                      <w:pPr>
                        <w:pStyle w:val="BodyText"/>
                        <w:spacing w:before="10"/>
                        <w:ind w:left="20"/>
                      </w:pPr>
                      <w:r>
                        <w:rPr>
                          <w:color w:val="0D0D0D"/>
                          <w:spacing w:val="-2"/>
                        </w:rPr>
                        <w:t>TLLC_pro</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8096">
                <wp:simplePos x="0" y="0"/>
                <wp:positionH relativeFrom="page">
                  <wp:posOffset>5964004</wp:posOffset>
                </wp:positionH>
                <wp:positionV relativeFrom="paragraph">
                  <wp:posOffset>367045</wp:posOffset>
                </wp:positionV>
                <wp:extent cx="194310" cy="52387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194310" cy="523875"/>
                        </a:xfrm>
                        <a:prstGeom prst="rect">
                          <a:avLst/>
                        </a:prstGeom>
                      </wps:spPr>
                      <wps:txbx>
                        <w:txbxContent>
                          <w:p>
                            <w:pPr>
                              <w:pStyle w:val="BodyText"/>
                              <w:spacing w:before="10"/>
                              <w:ind w:left="20"/>
                            </w:pPr>
                            <w:r>
                              <w:rPr>
                                <w:color w:val="0D0D0D"/>
                                <w:spacing w:val="-2"/>
                              </w:rPr>
                              <w:t>SpO2_0</w:t>
                            </w:r>
                          </w:p>
                        </w:txbxContent>
                      </wps:txbx>
                      <wps:bodyPr wrap="square" lIns="0" tIns="0" rIns="0" bIns="0" rtlCol="0" vert="vert270">
                        <a:noAutofit/>
                      </wps:bodyPr>
                    </wps:wsp>
                  </a:graphicData>
                </a:graphic>
              </wp:anchor>
            </w:drawing>
          </mc:Choice>
          <mc:Fallback>
            <w:pict>
              <v:shape style="position:absolute;margin-left:469.606628pt;margin-top:28.901236pt;width:15.3pt;height:41.25pt;mso-position-horizontal-relative:page;mso-position-vertical-relative:paragraph;z-index:15748096" type="#_x0000_t202" id="docshape24" filled="false" stroked="false">
                <v:textbox inset="0,0,0,0" style="layout-flow:vertical;mso-layout-flow-alt:bottom-to-top">
                  <w:txbxContent>
                    <w:p>
                      <w:pPr>
                        <w:pStyle w:val="BodyText"/>
                        <w:spacing w:before="10"/>
                        <w:ind w:left="20"/>
                      </w:pPr>
                      <w:r>
                        <w:rPr>
                          <w:color w:val="0D0D0D"/>
                          <w:spacing w:val="-2"/>
                        </w:rPr>
                        <w:t>SpO2_0</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8608">
                <wp:simplePos x="0" y="0"/>
                <wp:positionH relativeFrom="page">
                  <wp:posOffset>6416378</wp:posOffset>
                </wp:positionH>
                <wp:positionV relativeFrom="paragraph">
                  <wp:posOffset>362192</wp:posOffset>
                </wp:positionV>
                <wp:extent cx="641350" cy="65532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641350" cy="655320"/>
                        </a:xfrm>
                        <a:prstGeom prst="rect">
                          <a:avLst/>
                        </a:prstGeom>
                      </wps:spPr>
                      <wps:txbx>
                        <w:txbxContent>
                          <w:p>
                            <w:pPr>
                              <w:pStyle w:val="BodyText"/>
                              <w:spacing w:before="10"/>
                              <w:ind w:left="20"/>
                            </w:pPr>
                            <w:r>
                              <w:rPr>
                                <w:color w:val="0D0D0D"/>
                                <w:spacing w:val="-2"/>
                              </w:rPr>
                              <w:t>SpO2_pro</w:t>
                            </w:r>
                          </w:p>
                          <w:p>
                            <w:pPr>
                              <w:pStyle w:val="BodyText"/>
                              <w:spacing w:line="242" w:lineRule="auto" w:before="148"/>
                              <w:ind w:left="348" w:right="13" w:hanging="152"/>
                            </w:pPr>
                            <w:r>
                              <w:rPr>
                                <w:color w:val="0D0D0D"/>
                                <w:spacing w:val="-2"/>
                              </w:rPr>
                              <w:t>m_5_fin </w:t>
                            </w:r>
                            <w:r>
                              <w:rPr>
                                <w:color w:val="0D0D0D"/>
                                <w:spacing w:val="-6"/>
                              </w:rPr>
                              <w:t>PAS_0</w:t>
                            </w:r>
                          </w:p>
                        </w:txbxContent>
                      </wps:txbx>
                      <wps:bodyPr wrap="square" lIns="0" tIns="0" rIns="0" bIns="0" rtlCol="0" vert="vert270">
                        <a:noAutofit/>
                      </wps:bodyPr>
                    </wps:wsp>
                  </a:graphicData>
                </a:graphic>
              </wp:anchor>
            </w:drawing>
          </mc:Choice>
          <mc:Fallback>
            <w:pict>
              <v:shape style="position:absolute;margin-left:505.226624pt;margin-top:28.519064pt;width:50.5pt;height:51.6pt;mso-position-horizontal-relative:page;mso-position-vertical-relative:paragraph;z-index:15748608" type="#_x0000_t202" id="docshape25" filled="false" stroked="false">
                <v:textbox inset="0,0,0,0" style="layout-flow:vertical;mso-layout-flow-alt:bottom-to-top">
                  <w:txbxContent>
                    <w:p>
                      <w:pPr>
                        <w:pStyle w:val="BodyText"/>
                        <w:spacing w:before="10"/>
                        <w:ind w:left="20"/>
                      </w:pPr>
                      <w:r>
                        <w:rPr>
                          <w:color w:val="0D0D0D"/>
                          <w:spacing w:val="-2"/>
                        </w:rPr>
                        <w:t>SpO2_pro</w:t>
                      </w:r>
                    </w:p>
                    <w:p>
                      <w:pPr>
                        <w:pStyle w:val="BodyText"/>
                        <w:spacing w:line="242" w:lineRule="auto" w:before="148"/>
                        <w:ind w:left="348" w:right="13" w:hanging="152"/>
                      </w:pPr>
                      <w:r>
                        <w:rPr>
                          <w:color w:val="0D0D0D"/>
                          <w:spacing w:val="-2"/>
                        </w:rPr>
                        <w:t>m_5_fin </w:t>
                      </w:r>
                      <w:r>
                        <w:rPr>
                          <w:color w:val="0D0D0D"/>
                          <w:spacing w:val="-6"/>
                        </w:rPr>
                        <w:t>PAS_0</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9120">
                <wp:simplePos x="0" y="0"/>
                <wp:positionH relativeFrom="page">
                  <wp:posOffset>7313124</wp:posOffset>
                </wp:positionH>
                <wp:positionV relativeFrom="paragraph">
                  <wp:posOffset>364528</wp:posOffset>
                </wp:positionV>
                <wp:extent cx="695325" cy="688340"/>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695325" cy="688340"/>
                        </a:xfrm>
                        <a:prstGeom prst="rect">
                          <a:avLst/>
                        </a:prstGeom>
                      </wps:spPr>
                      <wps:txbx>
                        <w:txbxContent>
                          <w:p>
                            <w:pPr>
                              <w:pStyle w:val="BodyText"/>
                              <w:spacing w:before="10"/>
                              <w:ind w:left="20"/>
                            </w:pPr>
                            <w:r>
                              <w:rPr>
                                <w:color w:val="0D0D0D"/>
                                <w:spacing w:val="-2"/>
                              </w:rPr>
                              <w:t>PAS_prom</w:t>
                            </w:r>
                          </w:p>
                          <w:p>
                            <w:pPr>
                              <w:pStyle w:val="BodyText"/>
                              <w:spacing w:line="360" w:lineRule="atLeast" w:before="67"/>
                              <w:ind w:left="364" w:right="13" w:firstLine="72"/>
                            </w:pPr>
                            <w:r>
                              <w:rPr>
                                <w:color w:val="0D0D0D"/>
                                <w:spacing w:val="-2"/>
                              </w:rPr>
                              <w:t>_5_fin </w:t>
                            </w:r>
                            <w:r>
                              <w:rPr>
                                <w:color w:val="0D0D0D"/>
                                <w:spacing w:val="-7"/>
                              </w:rPr>
                              <w:t>PAD_0</w:t>
                            </w:r>
                          </w:p>
                        </w:txbxContent>
                      </wps:txbx>
                      <wps:bodyPr wrap="square" lIns="0" tIns="0" rIns="0" bIns="0" rtlCol="0" vert="vert270">
                        <a:noAutofit/>
                      </wps:bodyPr>
                    </wps:wsp>
                  </a:graphicData>
                </a:graphic>
              </wp:anchor>
            </w:drawing>
          </mc:Choice>
          <mc:Fallback>
            <w:pict>
              <v:shape style="position:absolute;margin-left:575.836609pt;margin-top:28.703064pt;width:54.75pt;height:54.2pt;mso-position-horizontal-relative:page;mso-position-vertical-relative:paragraph;z-index:15749120" type="#_x0000_t202" id="docshape26" filled="false" stroked="false">
                <v:textbox inset="0,0,0,0" style="layout-flow:vertical;mso-layout-flow-alt:bottom-to-top">
                  <w:txbxContent>
                    <w:p>
                      <w:pPr>
                        <w:pStyle w:val="BodyText"/>
                        <w:spacing w:before="10"/>
                        <w:ind w:left="20"/>
                      </w:pPr>
                      <w:r>
                        <w:rPr>
                          <w:color w:val="0D0D0D"/>
                          <w:spacing w:val="-2"/>
                        </w:rPr>
                        <w:t>PAS_prom</w:t>
                      </w:r>
                    </w:p>
                    <w:p>
                      <w:pPr>
                        <w:pStyle w:val="BodyText"/>
                        <w:spacing w:line="360" w:lineRule="atLeast" w:before="67"/>
                        <w:ind w:left="364" w:right="13" w:firstLine="72"/>
                      </w:pPr>
                      <w:r>
                        <w:rPr>
                          <w:color w:val="0D0D0D"/>
                          <w:spacing w:val="-2"/>
                        </w:rPr>
                        <w:t>_5_fin </w:t>
                      </w:r>
                      <w:r>
                        <w:rPr>
                          <w:color w:val="0D0D0D"/>
                          <w:spacing w:val="-7"/>
                        </w:rPr>
                        <w:t>PAD_0</w:t>
                      </w:r>
                    </w:p>
                  </w:txbxContent>
                </v:textbox>
                <w10:wrap type="none"/>
              </v:shape>
            </w:pict>
          </mc:Fallback>
        </mc:AlternateContent>
      </w:r>
      <w:r>
        <w:rPr>
          <w:sz w:val="22"/>
        </w:rPr>
        <mc:AlternateContent>
          <mc:Choice Requires="wps">
            <w:drawing>
              <wp:anchor distT="0" distB="0" distL="0" distR="0" allowOverlap="1" layoutInCell="1" locked="0" behindDoc="0" simplePos="0" relativeHeight="15749632">
                <wp:simplePos x="0" y="0"/>
                <wp:positionH relativeFrom="page">
                  <wp:posOffset>8265879</wp:posOffset>
                </wp:positionH>
                <wp:positionV relativeFrom="paragraph">
                  <wp:posOffset>364528</wp:posOffset>
                </wp:positionV>
                <wp:extent cx="659130" cy="71437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659130" cy="714375"/>
                        </a:xfrm>
                        <a:prstGeom prst="rect">
                          <a:avLst/>
                        </a:prstGeom>
                      </wps:spPr>
                      <wps:txbx>
                        <w:txbxContent>
                          <w:p>
                            <w:pPr>
                              <w:pStyle w:val="BodyText"/>
                              <w:spacing w:before="10"/>
                              <w:ind w:left="20"/>
                            </w:pPr>
                            <w:r>
                              <w:rPr>
                                <w:color w:val="0D0D0D"/>
                                <w:spacing w:val="-2"/>
                              </w:rPr>
                              <w:t>PAD_prom</w:t>
                            </w:r>
                          </w:p>
                          <w:p>
                            <w:pPr>
                              <w:pStyle w:val="BodyText"/>
                              <w:spacing w:line="268" w:lineRule="auto" w:before="133"/>
                              <w:ind w:left="364" w:right="14" w:firstLine="112"/>
                            </w:pPr>
                            <w:r>
                              <w:rPr>
                                <w:color w:val="0D0D0D"/>
                                <w:spacing w:val="-2"/>
                              </w:rPr>
                              <w:t>_5_fin </w:t>
                            </w:r>
                            <w:r>
                              <w:rPr>
                                <w:color w:val="0D0D0D"/>
                                <w:spacing w:val="-7"/>
                              </w:rPr>
                              <w:t>PAM_0</w:t>
                            </w:r>
                          </w:p>
                        </w:txbxContent>
                      </wps:txbx>
                      <wps:bodyPr wrap="square" lIns="0" tIns="0" rIns="0" bIns="0" rtlCol="0" vert="vert270">
                        <a:noAutofit/>
                      </wps:bodyPr>
                    </wps:wsp>
                  </a:graphicData>
                </a:graphic>
              </wp:anchor>
            </w:drawing>
          </mc:Choice>
          <mc:Fallback>
            <w:pict>
              <v:shape style="position:absolute;margin-left:650.856628pt;margin-top:28.703064pt;width:51.9pt;height:56.25pt;mso-position-horizontal-relative:page;mso-position-vertical-relative:paragraph;z-index:15749632" type="#_x0000_t202" id="docshape27" filled="false" stroked="false">
                <v:textbox inset="0,0,0,0" style="layout-flow:vertical;mso-layout-flow-alt:bottom-to-top">
                  <w:txbxContent>
                    <w:p>
                      <w:pPr>
                        <w:pStyle w:val="BodyText"/>
                        <w:spacing w:before="10"/>
                        <w:ind w:left="20"/>
                      </w:pPr>
                      <w:r>
                        <w:rPr>
                          <w:color w:val="0D0D0D"/>
                          <w:spacing w:val="-2"/>
                        </w:rPr>
                        <w:t>PAD_prom</w:t>
                      </w:r>
                    </w:p>
                    <w:p>
                      <w:pPr>
                        <w:pStyle w:val="BodyText"/>
                        <w:spacing w:line="268" w:lineRule="auto" w:before="133"/>
                        <w:ind w:left="364" w:right="14" w:firstLine="112"/>
                      </w:pPr>
                      <w:r>
                        <w:rPr>
                          <w:color w:val="0D0D0D"/>
                          <w:spacing w:val="-2"/>
                        </w:rPr>
                        <w:t>_5_fin </w:t>
                      </w:r>
                      <w:r>
                        <w:rPr>
                          <w:color w:val="0D0D0D"/>
                          <w:spacing w:val="-7"/>
                        </w:rPr>
                        <w:t>PAM_0</w:t>
                      </w:r>
                    </w:p>
                  </w:txbxContent>
                </v:textbox>
                <w10:wrap type="none"/>
              </v:shape>
            </w:pict>
          </mc:Fallback>
        </mc:AlternateContent>
      </w:r>
      <w:r>
        <w:rPr>
          <w:sz w:val="22"/>
        </w:rPr>
        <mc:AlternateContent>
          <mc:Choice Requires="wps">
            <w:drawing>
              <wp:anchor distT="0" distB="0" distL="0" distR="0" allowOverlap="1" layoutInCell="1" locked="0" behindDoc="0" simplePos="0" relativeHeight="15750144">
                <wp:simplePos x="0" y="0"/>
                <wp:positionH relativeFrom="page">
                  <wp:posOffset>9183199</wp:posOffset>
                </wp:positionH>
                <wp:positionV relativeFrom="paragraph">
                  <wp:posOffset>364528</wp:posOffset>
                </wp:positionV>
                <wp:extent cx="463550" cy="73977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463550" cy="739775"/>
                        </a:xfrm>
                        <a:prstGeom prst="rect">
                          <a:avLst/>
                        </a:prstGeom>
                      </wps:spPr>
                      <wps:txbx>
                        <w:txbxContent>
                          <w:p>
                            <w:pPr>
                              <w:pStyle w:val="BodyText"/>
                              <w:spacing w:before="10"/>
                              <w:ind w:left="20"/>
                            </w:pPr>
                            <w:r>
                              <w:rPr>
                                <w:color w:val="0D0D0D"/>
                                <w:spacing w:val="-2"/>
                              </w:rPr>
                              <w:t>PAM_prom</w:t>
                            </w:r>
                          </w:p>
                          <w:p>
                            <w:pPr>
                              <w:pStyle w:val="BodyText"/>
                              <w:spacing w:before="147"/>
                              <w:ind w:left="516"/>
                            </w:pPr>
                            <w:r>
                              <w:rPr>
                                <w:color w:val="0D0D0D"/>
                                <w:spacing w:val="-2"/>
                              </w:rPr>
                              <w:t>_5_fin</w:t>
                            </w:r>
                          </w:p>
                        </w:txbxContent>
                      </wps:txbx>
                      <wps:bodyPr wrap="square" lIns="0" tIns="0" rIns="0" bIns="0" rtlCol="0" vert="vert270">
                        <a:noAutofit/>
                      </wps:bodyPr>
                    </wps:wsp>
                  </a:graphicData>
                </a:graphic>
              </wp:anchor>
            </w:drawing>
          </mc:Choice>
          <mc:Fallback>
            <w:pict>
              <v:shape style="position:absolute;margin-left:723.086609pt;margin-top:28.703064pt;width:36.5pt;height:58.25pt;mso-position-horizontal-relative:page;mso-position-vertical-relative:paragraph;z-index:15750144" type="#_x0000_t202" id="docshape28" filled="false" stroked="false">
                <v:textbox inset="0,0,0,0" style="layout-flow:vertical;mso-layout-flow-alt:bottom-to-top">
                  <w:txbxContent>
                    <w:p>
                      <w:pPr>
                        <w:pStyle w:val="BodyText"/>
                        <w:spacing w:before="10"/>
                        <w:ind w:left="20"/>
                      </w:pPr>
                      <w:r>
                        <w:rPr>
                          <w:color w:val="0D0D0D"/>
                          <w:spacing w:val="-2"/>
                        </w:rPr>
                        <w:t>PAM_prom</w:t>
                      </w:r>
                    </w:p>
                    <w:p>
                      <w:pPr>
                        <w:pStyle w:val="BodyText"/>
                        <w:spacing w:before="147"/>
                        <w:ind w:left="516"/>
                      </w:pPr>
                      <w:r>
                        <w:rPr>
                          <w:color w:val="0D0D0D"/>
                          <w:spacing w:val="-2"/>
                        </w:rPr>
                        <w:t>_5_fin</w:t>
                      </w:r>
                    </w:p>
                  </w:txbxContent>
                </v:textbox>
                <w10:wrap type="none"/>
              </v:shape>
            </w:pict>
          </mc:Fallback>
        </mc:AlternateContent>
      </w:r>
      <w:bookmarkStart w:name="_bookmark83" w:id="84"/>
      <w:bookmarkEnd w:id="84"/>
      <w:r>
        <w:rPr/>
      </w:r>
      <w:r>
        <w:rPr>
          <w:b/>
          <w:i/>
          <w:sz w:val="22"/>
        </w:rPr>
        <w:t>Anexos</w:t>
      </w:r>
      <w:r>
        <w:rPr>
          <w:b/>
          <w:i/>
          <w:spacing w:val="-4"/>
          <w:sz w:val="22"/>
        </w:rPr>
        <w:t> </w:t>
      </w:r>
      <w:r>
        <w:rPr>
          <w:b/>
          <w:i/>
          <w:sz w:val="22"/>
        </w:rPr>
        <w:t>3</w:t>
      </w:r>
      <w:r>
        <w:rPr>
          <w:i/>
          <w:sz w:val="22"/>
        </w:rPr>
        <w:t>.</w:t>
      </w:r>
      <w:r>
        <w:rPr>
          <w:sz w:val="22"/>
        </w:rPr>
        <w:t>Base</w:t>
      </w:r>
      <w:r>
        <w:rPr>
          <w:spacing w:val="-1"/>
          <w:sz w:val="22"/>
        </w:rPr>
        <w:t> </w:t>
      </w:r>
      <w:r>
        <w:rPr>
          <w:sz w:val="22"/>
        </w:rPr>
        <w:t>de</w:t>
      </w:r>
      <w:r>
        <w:rPr>
          <w:spacing w:val="-1"/>
          <w:sz w:val="22"/>
        </w:rPr>
        <w:t> </w:t>
      </w:r>
      <w:r>
        <w:rPr>
          <w:sz w:val="22"/>
        </w:rPr>
        <w:t>datos</w:t>
      </w:r>
      <w:r>
        <w:rPr>
          <w:spacing w:val="-1"/>
          <w:sz w:val="22"/>
        </w:rPr>
        <w:t> </w:t>
      </w:r>
      <w:r>
        <w:rPr>
          <w:sz w:val="22"/>
        </w:rPr>
        <w:t>de</w:t>
      </w:r>
      <w:r>
        <w:rPr>
          <w:spacing w:val="-1"/>
          <w:sz w:val="22"/>
        </w:rPr>
        <w:t> </w:t>
      </w:r>
      <w:r>
        <w:rPr>
          <w:sz w:val="22"/>
        </w:rPr>
        <w:t>los</w:t>
      </w:r>
      <w:r>
        <w:rPr>
          <w:spacing w:val="-5"/>
          <w:sz w:val="22"/>
        </w:rPr>
        <w:t> </w:t>
      </w:r>
      <w:r>
        <w:rPr>
          <w:spacing w:val="-2"/>
          <w:sz w:val="22"/>
        </w:rPr>
        <w:t>pacientes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7"/>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62"/>
        <w:gridCol w:w="565"/>
        <w:gridCol w:w="708"/>
        <w:gridCol w:w="870"/>
        <w:gridCol w:w="626"/>
        <w:gridCol w:w="797"/>
        <w:gridCol w:w="660"/>
        <w:gridCol w:w="718"/>
        <w:gridCol w:w="664"/>
        <w:gridCol w:w="648"/>
        <w:gridCol w:w="734"/>
        <w:gridCol w:w="708"/>
        <w:gridCol w:w="762"/>
        <w:gridCol w:w="748"/>
        <w:gridCol w:w="694"/>
        <w:gridCol w:w="722"/>
        <w:gridCol w:w="778"/>
        <w:gridCol w:w="780"/>
      </w:tblGrid>
      <w:tr>
        <w:trPr>
          <w:trHeight w:val="318" w:hRule="atLeast"/>
        </w:trPr>
        <w:tc>
          <w:tcPr>
            <w:tcW w:w="1262" w:type="dxa"/>
            <w:tcBorders>
              <w:top w:val="single" w:sz="4" w:space="0" w:color="000000"/>
            </w:tcBorders>
          </w:tcPr>
          <w:p>
            <w:pPr>
              <w:pStyle w:val="TableParagraph"/>
              <w:spacing w:line="251" w:lineRule="exact" w:before="0"/>
              <w:ind w:left="114"/>
              <w:jc w:val="left"/>
              <w:rPr>
                <w:b/>
                <w:sz w:val="22"/>
              </w:rPr>
            </w:pPr>
            <w:r>
              <w:rPr>
                <w:b/>
                <w:color w:val="0D0D0D"/>
                <w:spacing w:val="-2"/>
                <w:sz w:val="22"/>
              </w:rPr>
              <w:t>Apolo</w:t>
            </w:r>
          </w:p>
        </w:tc>
        <w:tc>
          <w:tcPr>
            <w:tcW w:w="565" w:type="dxa"/>
            <w:tcBorders>
              <w:top w:val="single" w:sz="4" w:space="0" w:color="000000"/>
            </w:tcBorders>
          </w:tcPr>
          <w:p>
            <w:pPr>
              <w:pStyle w:val="TableParagraph"/>
              <w:spacing w:line="251" w:lineRule="exact" w:before="0"/>
              <w:ind w:left="107"/>
              <w:jc w:val="left"/>
              <w:rPr>
                <w:sz w:val="22"/>
              </w:rPr>
            </w:pPr>
            <w:r>
              <w:rPr>
                <w:color w:val="0D0D0D"/>
                <w:spacing w:val="-5"/>
                <w:sz w:val="22"/>
              </w:rPr>
              <w:t>IM</w:t>
            </w:r>
          </w:p>
        </w:tc>
        <w:tc>
          <w:tcPr>
            <w:tcW w:w="708" w:type="dxa"/>
            <w:tcBorders>
              <w:top w:val="single" w:sz="4" w:space="0" w:color="000000"/>
            </w:tcBorders>
          </w:tcPr>
          <w:p>
            <w:pPr>
              <w:pStyle w:val="TableParagraph"/>
              <w:spacing w:line="251" w:lineRule="exact" w:before="0"/>
              <w:ind w:left="60"/>
              <w:rPr>
                <w:sz w:val="22"/>
              </w:rPr>
            </w:pPr>
            <w:r>
              <w:rPr>
                <w:color w:val="0D0D0D"/>
                <w:spacing w:val="-4"/>
                <w:sz w:val="22"/>
              </w:rPr>
              <w:t>38.6</w:t>
            </w:r>
          </w:p>
        </w:tc>
        <w:tc>
          <w:tcPr>
            <w:tcW w:w="870" w:type="dxa"/>
            <w:tcBorders>
              <w:top w:val="single" w:sz="4" w:space="0" w:color="000000"/>
            </w:tcBorders>
          </w:tcPr>
          <w:p>
            <w:pPr>
              <w:pStyle w:val="TableParagraph"/>
              <w:spacing w:line="251" w:lineRule="exact" w:before="0"/>
              <w:ind w:left="131"/>
              <w:jc w:val="left"/>
              <w:rPr>
                <w:sz w:val="22"/>
              </w:rPr>
            </w:pPr>
            <w:r>
              <w:rPr>
                <w:color w:val="0D0D0D"/>
                <w:spacing w:val="-2"/>
                <w:sz w:val="22"/>
              </w:rPr>
              <w:t>38.46</w:t>
            </w:r>
          </w:p>
        </w:tc>
        <w:tc>
          <w:tcPr>
            <w:tcW w:w="626" w:type="dxa"/>
            <w:tcBorders>
              <w:top w:val="single" w:sz="4" w:space="0" w:color="000000"/>
            </w:tcBorders>
          </w:tcPr>
          <w:p>
            <w:pPr>
              <w:pStyle w:val="TableParagraph"/>
              <w:spacing w:line="251" w:lineRule="exact" w:before="0"/>
              <w:ind w:left="133"/>
              <w:jc w:val="left"/>
              <w:rPr>
                <w:sz w:val="22"/>
              </w:rPr>
            </w:pPr>
            <w:r>
              <w:rPr>
                <w:color w:val="0D0D0D"/>
                <w:spacing w:val="-5"/>
                <w:sz w:val="22"/>
              </w:rPr>
              <w:t>133</w:t>
            </w:r>
          </w:p>
        </w:tc>
        <w:tc>
          <w:tcPr>
            <w:tcW w:w="797" w:type="dxa"/>
            <w:tcBorders>
              <w:top w:val="single" w:sz="4" w:space="0" w:color="000000"/>
            </w:tcBorders>
          </w:tcPr>
          <w:p>
            <w:pPr>
              <w:pStyle w:val="TableParagraph"/>
              <w:spacing w:line="251" w:lineRule="exact" w:before="0"/>
              <w:ind w:left="155"/>
              <w:jc w:val="left"/>
              <w:rPr>
                <w:sz w:val="22"/>
              </w:rPr>
            </w:pPr>
            <w:r>
              <w:rPr>
                <w:color w:val="0D0D0D"/>
                <w:spacing w:val="-4"/>
                <w:sz w:val="22"/>
              </w:rPr>
              <w:t>126.8</w:t>
            </w:r>
          </w:p>
        </w:tc>
        <w:tc>
          <w:tcPr>
            <w:tcW w:w="660" w:type="dxa"/>
            <w:tcBorders>
              <w:top w:val="single" w:sz="4" w:space="0" w:color="000000"/>
            </w:tcBorders>
          </w:tcPr>
          <w:p>
            <w:pPr>
              <w:pStyle w:val="TableParagraph"/>
              <w:spacing w:line="251" w:lineRule="exact" w:before="0"/>
              <w:ind w:left="11"/>
              <w:rPr>
                <w:sz w:val="22"/>
              </w:rPr>
            </w:pPr>
            <w:r>
              <w:rPr>
                <w:color w:val="0D0D0D"/>
                <w:spacing w:val="-4"/>
                <w:sz w:val="22"/>
              </w:rPr>
              <w:t>18.0</w:t>
            </w:r>
          </w:p>
        </w:tc>
        <w:tc>
          <w:tcPr>
            <w:tcW w:w="718" w:type="dxa"/>
            <w:tcBorders>
              <w:top w:val="single" w:sz="4" w:space="0" w:color="000000"/>
            </w:tcBorders>
          </w:tcPr>
          <w:p>
            <w:pPr>
              <w:pStyle w:val="TableParagraph"/>
              <w:spacing w:line="251" w:lineRule="exact" w:before="0"/>
              <w:ind w:left="130"/>
              <w:jc w:val="left"/>
              <w:rPr>
                <w:sz w:val="22"/>
              </w:rPr>
            </w:pPr>
            <w:r>
              <w:rPr>
                <w:color w:val="0D0D0D"/>
                <w:spacing w:val="-4"/>
                <w:sz w:val="22"/>
              </w:rPr>
              <w:t>12.4</w:t>
            </w:r>
          </w:p>
        </w:tc>
        <w:tc>
          <w:tcPr>
            <w:tcW w:w="664" w:type="dxa"/>
            <w:tcBorders>
              <w:top w:val="single" w:sz="4" w:space="0" w:color="000000"/>
            </w:tcBorders>
          </w:tcPr>
          <w:p>
            <w:pPr>
              <w:pStyle w:val="TableParagraph"/>
              <w:spacing w:line="251" w:lineRule="exact" w:before="0"/>
              <w:ind w:left="16"/>
              <w:rPr>
                <w:sz w:val="22"/>
              </w:rPr>
            </w:pPr>
            <w:r>
              <w:rPr>
                <w:color w:val="0D0D0D"/>
                <w:spacing w:val="-5"/>
                <w:sz w:val="22"/>
              </w:rPr>
              <w:t>2.0</w:t>
            </w:r>
          </w:p>
        </w:tc>
        <w:tc>
          <w:tcPr>
            <w:tcW w:w="648" w:type="dxa"/>
            <w:tcBorders>
              <w:top w:val="single" w:sz="4" w:space="0" w:color="000000"/>
            </w:tcBorders>
          </w:tcPr>
          <w:p>
            <w:pPr>
              <w:pStyle w:val="TableParagraph"/>
              <w:spacing w:line="251" w:lineRule="exact" w:before="0"/>
              <w:rPr>
                <w:sz w:val="22"/>
              </w:rPr>
            </w:pPr>
            <w:r>
              <w:rPr>
                <w:color w:val="0D0D0D"/>
                <w:spacing w:val="-5"/>
                <w:sz w:val="22"/>
              </w:rPr>
              <w:t>2.3</w:t>
            </w:r>
          </w:p>
        </w:tc>
        <w:tc>
          <w:tcPr>
            <w:tcW w:w="734" w:type="dxa"/>
            <w:tcBorders>
              <w:top w:val="single" w:sz="4" w:space="0" w:color="000000"/>
            </w:tcBorders>
          </w:tcPr>
          <w:p>
            <w:pPr>
              <w:pStyle w:val="TableParagraph"/>
              <w:spacing w:line="251" w:lineRule="exact" w:before="0"/>
              <w:ind w:left="22"/>
              <w:rPr>
                <w:sz w:val="22"/>
              </w:rPr>
            </w:pPr>
            <w:r>
              <w:rPr>
                <w:color w:val="0D0D0D"/>
                <w:spacing w:val="-4"/>
                <w:sz w:val="22"/>
              </w:rPr>
              <w:t>99.0</w:t>
            </w:r>
          </w:p>
        </w:tc>
        <w:tc>
          <w:tcPr>
            <w:tcW w:w="708" w:type="dxa"/>
            <w:tcBorders>
              <w:top w:val="single" w:sz="4" w:space="0" w:color="000000"/>
            </w:tcBorders>
          </w:tcPr>
          <w:p>
            <w:pPr>
              <w:pStyle w:val="TableParagraph"/>
              <w:spacing w:line="251" w:lineRule="exact" w:before="0"/>
              <w:ind w:left="60" w:right="55"/>
              <w:rPr>
                <w:sz w:val="22"/>
              </w:rPr>
            </w:pPr>
            <w:r>
              <w:rPr>
                <w:color w:val="0D0D0D"/>
                <w:spacing w:val="-4"/>
                <w:sz w:val="22"/>
              </w:rPr>
              <w:t>98.6</w:t>
            </w:r>
          </w:p>
        </w:tc>
        <w:tc>
          <w:tcPr>
            <w:tcW w:w="762" w:type="dxa"/>
            <w:tcBorders>
              <w:top w:val="single" w:sz="4" w:space="0" w:color="000000"/>
            </w:tcBorders>
          </w:tcPr>
          <w:p>
            <w:pPr>
              <w:pStyle w:val="TableParagraph"/>
              <w:spacing w:line="251" w:lineRule="exact" w:before="0"/>
              <w:ind w:left="55" w:right="8"/>
              <w:rPr>
                <w:sz w:val="22"/>
              </w:rPr>
            </w:pPr>
            <w:r>
              <w:rPr>
                <w:color w:val="0D0D0D"/>
                <w:spacing w:val="-4"/>
                <w:sz w:val="22"/>
              </w:rPr>
              <w:t>117.0</w:t>
            </w:r>
          </w:p>
        </w:tc>
        <w:tc>
          <w:tcPr>
            <w:tcW w:w="748" w:type="dxa"/>
            <w:tcBorders>
              <w:top w:val="single" w:sz="4" w:space="0" w:color="000000"/>
            </w:tcBorders>
          </w:tcPr>
          <w:p>
            <w:pPr>
              <w:pStyle w:val="TableParagraph"/>
              <w:spacing w:line="251" w:lineRule="exact" w:before="0"/>
              <w:ind w:left="8" w:right="44"/>
              <w:rPr>
                <w:sz w:val="22"/>
              </w:rPr>
            </w:pPr>
            <w:r>
              <w:rPr>
                <w:color w:val="0D0D0D"/>
                <w:spacing w:val="-4"/>
                <w:sz w:val="22"/>
              </w:rPr>
              <w:t>148.4</w:t>
            </w:r>
          </w:p>
        </w:tc>
        <w:tc>
          <w:tcPr>
            <w:tcW w:w="694" w:type="dxa"/>
            <w:tcBorders>
              <w:top w:val="single" w:sz="4" w:space="0" w:color="000000"/>
            </w:tcBorders>
          </w:tcPr>
          <w:p>
            <w:pPr>
              <w:pStyle w:val="TableParagraph"/>
              <w:spacing w:line="251" w:lineRule="exact" w:before="0"/>
              <w:ind w:right="14"/>
              <w:rPr>
                <w:sz w:val="22"/>
              </w:rPr>
            </w:pPr>
            <w:r>
              <w:rPr>
                <w:color w:val="0D0D0D"/>
                <w:spacing w:val="-4"/>
                <w:sz w:val="22"/>
              </w:rPr>
              <w:t>73.0</w:t>
            </w:r>
          </w:p>
        </w:tc>
        <w:tc>
          <w:tcPr>
            <w:tcW w:w="722" w:type="dxa"/>
            <w:tcBorders>
              <w:top w:val="single" w:sz="4" w:space="0" w:color="000000"/>
            </w:tcBorders>
          </w:tcPr>
          <w:p>
            <w:pPr>
              <w:pStyle w:val="TableParagraph"/>
              <w:spacing w:line="251" w:lineRule="exact" w:before="0"/>
              <w:ind w:right="5"/>
              <w:rPr>
                <w:sz w:val="22"/>
              </w:rPr>
            </w:pPr>
            <w:r>
              <w:rPr>
                <w:color w:val="0D0D0D"/>
                <w:spacing w:val="-4"/>
                <w:sz w:val="22"/>
              </w:rPr>
              <w:t>95.8</w:t>
            </w:r>
          </w:p>
        </w:tc>
        <w:tc>
          <w:tcPr>
            <w:tcW w:w="778" w:type="dxa"/>
            <w:tcBorders>
              <w:top w:val="single" w:sz="4" w:space="0" w:color="000000"/>
            </w:tcBorders>
          </w:tcPr>
          <w:p>
            <w:pPr>
              <w:pStyle w:val="TableParagraph"/>
              <w:spacing w:line="251" w:lineRule="exact" w:before="0"/>
              <w:ind w:left="174"/>
              <w:jc w:val="left"/>
              <w:rPr>
                <w:sz w:val="22"/>
              </w:rPr>
            </w:pPr>
            <w:r>
              <w:rPr>
                <w:color w:val="0D0D0D"/>
                <w:spacing w:val="-4"/>
                <w:sz w:val="22"/>
              </w:rPr>
              <w:t>91.0</w:t>
            </w:r>
          </w:p>
        </w:tc>
        <w:tc>
          <w:tcPr>
            <w:tcW w:w="780" w:type="dxa"/>
            <w:tcBorders>
              <w:top w:val="single" w:sz="4" w:space="0" w:color="000000"/>
            </w:tcBorders>
          </w:tcPr>
          <w:p>
            <w:pPr>
              <w:pStyle w:val="TableParagraph"/>
              <w:spacing w:line="251" w:lineRule="exact" w:before="0"/>
              <w:ind w:left="12" w:right="83"/>
              <w:rPr>
                <w:sz w:val="22"/>
              </w:rPr>
            </w:pPr>
            <w:r>
              <w:rPr>
                <w:color w:val="0D0D0D"/>
                <w:spacing w:val="-4"/>
                <w:sz w:val="22"/>
              </w:rPr>
              <w:t>114.2</w:t>
            </w:r>
          </w:p>
        </w:tc>
      </w:tr>
      <w:tr>
        <w:trPr>
          <w:trHeight w:val="380" w:hRule="atLeast"/>
        </w:trPr>
        <w:tc>
          <w:tcPr>
            <w:tcW w:w="1262" w:type="dxa"/>
          </w:tcPr>
          <w:p>
            <w:pPr>
              <w:pStyle w:val="TableParagraph"/>
              <w:ind w:left="114"/>
              <w:jc w:val="left"/>
              <w:rPr>
                <w:b/>
                <w:sz w:val="22"/>
              </w:rPr>
            </w:pPr>
            <w:r>
              <w:rPr>
                <w:b/>
                <w:color w:val="0D0D0D"/>
                <w:spacing w:val="-2"/>
                <w:sz w:val="22"/>
              </w:rPr>
              <w:t>Chiquitin</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38.3</w:t>
            </w:r>
          </w:p>
        </w:tc>
        <w:tc>
          <w:tcPr>
            <w:tcW w:w="870" w:type="dxa"/>
          </w:tcPr>
          <w:p>
            <w:pPr>
              <w:pStyle w:val="TableParagraph"/>
              <w:ind w:left="131"/>
              <w:jc w:val="left"/>
              <w:rPr>
                <w:sz w:val="22"/>
              </w:rPr>
            </w:pPr>
            <w:r>
              <w:rPr>
                <w:color w:val="0D0D0D"/>
                <w:spacing w:val="-4"/>
                <w:sz w:val="22"/>
              </w:rPr>
              <w:t>38.3</w:t>
            </w:r>
          </w:p>
        </w:tc>
        <w:tc>
          <w:tcPr>
            <w:tcW w:w="626" w:type="dxa"/>
          </w:tcPr>
          <w:p>
            <w:pPr>
              <w:pStyle w:val="TableParagraph"/>
              <w:ind w:left="133"/>
              <w:jc w:val="left"/>
              <w:rPr>
                <w:sz w:val="22"/>
              </w:rPr>
            </w:pPr>
            <w:r>
              <w:rPr>
                <w:color w:val="0D0D0D"/>
                <w:spacing w:val="-5"/>
                <w:sz w:val="22"/>
              </w:rPr>
              <w:t>112</w:t>
            </w:r>
          </w:p>
        </w:tc>
        <w:tc>
          <w:tcPr>
            <w:tcW w:w="797" w:type="dxa"/>
          </w:tcPr>
          <w:p>
            <w:pPr>
              <w:pStyle w:val="TableParagraph"/>
              <w:ind w:left="155"/>
              <w:jc w:val="left"/>
              <w:rPr>
                <w:sz w:val="22"/>
              </w:rPr>
            </w:pPr>
            <w:r>
              <w:rPr>
                <w:color w:val="0D0D0D"/>
                <w:spacing w:val="-4"/>
                <w:sz w:val="22"/>
              </w:rPr>
              <w:t>102.6</w:t>
            </w:r>
          </w:p>
        </w:tc>
        <w:tc>
          <w:tcPr>
            <w:tcW w:w="660" w:type="dxa"/>
          </w:tcPr>
          <w:p>
            <w:pPr>
              <w:pStyle w:val="TableParagraph"/>
              <w:ind w:left="11"/>
              <w:rPr>
                <w:sz w:val="22"/>
              </w:rPr>
            </w:pPr>
            <w:r>
              <w:rPr>
                <w:color w:val="0D0D0D"/>
                <w:spacing w:val="-4"/>
                <w:sz w:val="22"/>
              </w:rPr>
              <w:t>14.0</w:t>
            </w:r>
          </w:p>
        </w:tc>
        <w:tc>
          <w:tcPr>
            <w:tcW w:w="718" w:type="dxa"/>
          </w:tcPr>
          <w:p>
            <w:pPr>
              <w:pStyle w:val="TableParagraph"/>
              <w:ind w:left="130"/>
              <w:jc w:val="left"/>
              <w:rPr>
                <w:sz w:val="22"/>
              </w:rPr>
            </w:pPr>
            <w:r>
              <w:rPr>
                <w:color w:val="0D0D0D"/>
                <w:spacing w:val="-4"/>
                <w:sz w:val="22"/>
              </w:rPr>
              <w:t>12.6</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97.4</w:t>
            </w:r>
          </w:p>
        </w:tc>
        <w:tc>
          <w:tcPr>
            <w:tcW w:w="762" w:type="dxa"/>
          </w:tcPr>
          <w:p>
            <w:pPr>
              <w:pStyle w:val="TableParagraph"/>
              <w:ind w:left="55"/>
              <w:rPr>
                <w:sz w:val="22"/>
              </w:rPr>
            </w:pPr>
            <w:r>
              <w:rPr>
                <w:color w:val="0D0D0D"/>
                <w:spacing w:val="-4"/>
                <w:sz w:val="22"/>
              </w:rPr>
              <w:t>146.0</w:t>
            </w:r>
          </w:p>
        </w:tc>
        <w:tc>
          <w:tcPr>
            <w:tcW w:w="748" w:type="dxa"/>
          </w:tcPr>
          <w:p>
            <w:pPr>
              <w:pStyle w:val="TableParagraph"/>
              <w:ind w:left="8" w:right="44"/>
              <w:rPr>
                <w:sz w:val="22"/>
              </w:rPr>
            </w:pPr>
            <w:r>
              <w:rPr>
                <w:color w:val="0D0D0D"/>
                <w:spacing w:val="-4"/>
                <w:sz w:val="22"/>
              </w:rPr>
              <w:t>139.0</w:t>
            </w:r>
          </w:p>
        </w:tc>
        <w:tc>
          <w:tcPr>
            <w:tcW w:w="694" w:type="dxa"/>
          </w:tcPr>
          <w:p>
            <w:pPr>
              <w:pStyle w:val="TableParagraph"/>
              <w:ind w:right="14"/>
              <w:rPr>
                <w:sz w:val="22"/>
              </w:rPr>
            </w:pPr>
            <w:r>
              <w:rPr>
                <w:color w:val="0D0D0D"/>
                <w:spacing w:val="-4"/>
                <w:sz w:val="22"/>
              </w:rPr>
              <w:t>99.0</w:t>
            </w:r>
          </w:p>
        </w:tc>
        <w:tc>
          <w:tcPr>
            <w:tcW w:w="722" w:type="dxa"/>
          </w:tcPr>
          <w:p>
            <w:pPr>
              <w:pStyle w:val="TableParagraph"/>
              <w:ind w:right="5"/>
              <w:rPr>
                <w:sz w:val="22"/>
              </w:rPr>
            </w:pPr>
            <w:r>
              <w:rPr>
                <w:color w:val="0D0D0D"/>
                <w:spacing w:val="-4"/>
                <w:sz w:val="22"/>
              </w:rPr>
              <w:t>91.2</w:t>
            </w:r>
          </w:p>
        </w:tc>
        <w:tc>
          <w:tcPr>
            <w:tcW w:w="778" w:type="dxa"/>
          </w:tcPr>
          <w:p>
            <w:pPr>
              <w:pStyle w:val="TableParagraph"/>
              <w:ind w:left="174"/>
              <w:jc w:val="left"/>
              <w:rPr>
                <w:sz w:val="22"/>
              </w:rPr>
            </w:pPr>
            <w:r>
              <w:rPr>
                <w:color w:val="0D0D0D"/>
                <w:spacing w:val="-4"/>
                <w:sz w:val="22"/>
              </w:rPr>
              <w:t>136.0</w:t>
            </w:r>
          </w:p>
        </w:tc>
        <w:tc>
          <w:tcPr>
            <w:tcW w:w="780" w:type="dxa"/>
          </w:tcPr>
          <w:p>
            <w:pPr>
              <w:pStyle w:val="TableParagraph"/>
              <w:ind w:left="20" w:right="83"/>
              <w:rPr>
                <w:sz w:val="22"/>
              </w:rPr>
            </w:pPr>
            <w:r>
              <w:rPr>
                <w:color w:val="0D0D0D"/>
                <w:spacing w:val="-4"/>
                <w:sz w:val="22"/>
              </w:rPr>
              <w:t>107.2</w:t>
            </w:r>
          </w:p>
        </w:tc>
      </w:tr>
      <w:tr>
        <w:trPr>
          <w:trHeight w:val="380" w:hRule="atLeast"/>
        </w:trPr>
        <w:tc>
          <w:tcPr>
            <w:tcW w:w="1262" w:type="dxa"/>
          </w:tcPr>
          <w:p>
            <w:pPr>
              <w:pStyle w:val="TableParagraph"/>
              <w:ind w:left="114"/>
              <w:jc w:val="left"/>
              <w:rPr>
                <w:b/>
                <w:sz w:val="22"/>
              </w:rPr>
            </w:pPr>
            <w:r>
              <w:rPr>
                <w:b/>
                <w:color w:val="0D0D0D"/>
                <w:spacing w:val="-2"/>
                <w:sz w:val="22"/>
              </w:rPr>
              <w:t>Tomas</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38.5</w:t>
            </w:r>
          </w:p>
        </w:tc>
        <w:tc>
          <w:tcPr>
            <w:tcW w:w="870" w:type="dxa"/>
          </w:tcPr>
          <w:p>
            <w:pPr>
              <w:pStyle w:val="TableParagraph"/>
              <w:ind w:left="131"/>
              <w:jc w:val="left"/>
              <w:rPr>
                <w:sz w:val="22"/>
              </w:rPr>
            </w:pPr>
            <w:r>
              <w:rPr>
                <w:color w:val="0D0D0D"/>
                <w:spacing w:val="-2"/>
                <w:sz w:val="22"/>
              </w:rPr>
              <w:t>38.36</w:t>
            </w:r>
          </w:p>
        </w:tc>
        <w:tc>
          <w:tcPr>
            <w:tcW w:w="626" w:type="dxa"/>
          </w:tcPr>
          <w:p>
            <w:pPr>
              <w:pStyle w:val="TableParagraph"/>
              <w:ind w:left="133"/>
              <w:jc w:val="left"/>
              <w:rPr>
                <w:sz w:val="22"/>
              </w:rPr>
            </w:pPr>
            <w:r>
              <w:rPr>
                <w:color w:val="0D0D0D"/>
                <w:spacing w:val="-5"/>
                <w:sz w:val="22"/>
              </w:rPr>
              <w:t>141</w:t>
            </w:r>
          </w:p>
        </w:tc>
        <w:tc>
          <w:tcPr>
            <w:tcW w:w="797" w:type="dxa"/>
          </w:tcPr>
          <w:p>
            <w:pPr>
              <w:pStyle w:val="TableParagraph"/>
              <w:ind w:left="155"/>
              <w:jc w:val="left"/>
              <w:rPr>
                <w:sz w:val="22"/>
              </w:rPr>
            </w:pPr>
            <w:r>
              <w:rPr>
                <w:color w:val="0D0D0D"/>
                <w:spacing w:val="-4"/>
                <w:sz w:val="22"/>
              </w:rPr>
              <w:t>142.0</w:t>
            </w:r>
          </w:p>
        </w:tc>
        <w:tc>
          <w:tcPr>
            <w:tcW w:w="660" w:type="dxa"/>
          </w:tcPr>
          <w:p>
            <w:pPr>
              <w:pStyle w:val="TableParagraph"/>
              <w:ind w:left="11"/>
              <w:rPr>
                <w:sz w:val="22"/>
              </w:rPr>
            </w:pPr>
            <w:r>
              <w:rPr>
                <w:color w:val="0D0D0D"/>
                <w:spacing w:val="-4"/>
                <w:sz w:val="22"/>
              </w:rPr>
              <w:t>17.0</w:t>
            </w:r>
          </w:p>
        </w:tc>
        <w:tc>
          <w:tcPr>
            <w:tcW w:w="718" w:type="dxa"/>
          </w:tcPr>
          <w:p>
            <w:pPr>
              <w:pStyle w:val="TableParagraph"/>
              <w:ind w:left="130"/>
              <w:jc w:val="left"/>
              <w:rPr>
                <w:sz w:val="22"/>
              </w:rPr>
            </w:pPr>
            <w:r>
              <w:rPr>
                <w:color w:val="0D0D0D"/>
                <w:spacing w:val="-4"/>
                <w:sz w:val="22"/>
              </w:rPr>
              <w:t>12.8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98.2</w:t>
            </w:r>
          </w:p>
        </w:tc>
        <w:tc>
          <w:tcPr>
            <w:tcW w:w="762" w:type="dxa"/>
          </w:tcPr>
          <w:p>
            <w:pPr>
              <w:pStyle w:val="TableParagraph"/>
              <w:ind w:left="55"/>
              <w:rPr>
                <w:sz w:val="22"/>
              </w:rPr>
            </w:pPr>
            <w:r>
              <w:rPr>
                <w:color w:val="0D0D0D"/>
                <w:spacing w:val="-4"/>
                <w:sz w:val="22"/>
              </w:rPr>
              <w:t>141.0</w:t>
            </w:r>
          </w:p>
        </w:tc>
        <w:tc>
          <w:tcPr>
            <w:tcW w:w="748" w:type="dxa"/>
          </w:tcPr>
          <w:p>
            <w:pPr>
              <w:pStyle w:val="TableParagraph"/>
              <w:ind w:right="44"/>
              <w:rPr>
                <w:sz w:val="22"/>
              </w:rPr>
            </w:pPr>
            <w:r>
              <w:rPr>
                <w:color w:val="0D0D0D"/>
                <w:spacing w:val="-4"/>
                <w:sz w:val="22"/>
              </w:rPr>
              <w:t>116.8</w:t>
            </w:r>
          </w:p>
        </w:tc>
        <w:tc>
          <w:tcPr>
            <w:tcW w:w="694" w:type="dxa"/>
          </w:tcPr>
          <w:p>
            <w:pPr>
              <w:pStyle w:val="TableParagraph"/>
              <w:ind w:right="14"/>
              <w:rPr>
                <w:sz w:val="22"/>
              </w:rPr>
            </w:pPr>
            <w:r>
              <w:rPr>
                <w:color w:val="0D0D0D"/>
                <w:spacing w:val="-4"/>
                <w:sz w:val="22"/>
              </w:rPr>
              <w:t>88.0</w:t>
            </w:r>
          </w:p>
        </w:tc>
        <w:tc>
          <w:tcPr>
            <w:tcW w:w="722" w:type="dxa"/>
          </w:tcPr>
          <w:p>
            <w:pPr>
              <w:pStyle w:val="TableParagraph"/>
              <w:ind w:right="5"/>
              <w:rPr>
                <w:sz w:val="22"/>
              </w:rPr>
            </w:pPr>
            <w:r>
              <w:rPr>
                <w:color w:val="0D0D0D"/>
                <w:spacing w:val="-4"/>
                <w:sz w:val="22"/>
              </w:rPr>
              <w:t>72.6</w:t>
            </w:r>
          </w:p>
        </w:tc>
        <w:tc>
          <w:tcPr>
            <w:tcW w:w="778" w:type="dxa"/>
          </w:tcPr>
          <w:p>
            <w:pPr>
              <w:pStyle w:val="TableParagraph"/>
              <w:ind w:left="174"/>
              <w:jc w:val="left"/>
              <w:rPr>
                <w:sz w:val="22"/>
              </w:rPr>
            </w:pPr>
            <w:r>
              <w:rPr>
                <w:color w:val="0D0D0D"/>
                <w:spacing w:val="-4"/>
                <w:sz w:val="22"/>
              </w:rPr>
              <w:t>106.0</w:t>
            </w:r>
          </w:p>
        </w:tc>
        <w:tc>
          <w:tcPr>
            <w:tcW w:w="780" w:type="dxa"/>
          </w:tcPr>
          <w:p>
            <w:pPr>
              <w:pStyle w:val="TableParagraph"/>
              <w:ind w:right="175"/>
              <w:rPr>
                <w:sz w:val="22"/>
              </w:rPr>
            </w:pPr>
            <w:r>
              <w:rPr>
                <w:color w:val="0D0D0D"/>
                <w:spacing w:val="-4"/>
                <w:sz w:val="22"/>
              </w:rPr>
              <w:t>99.4</w:t>
            </w:r>
          </w:p>
        </w:tc>
      </w:tr>
      <w:tr>
        <w:trPr>
          <w:trHeight w:val="380" w:hRule="atLeast"/>
        </w:trPr>
        <w:tc>
          <w:tcPr>
            <w:tcW w:w="1262" w:type="dxa"/>
          </w:tcPr>
          <w:p>
            <w:pPr>
              <w:pStyle w:val="TableParagraph"/>
              <w:ind w:left="114"/>
              <w:jc w:val="left"/>
              <w:rPr>
                <w:b/>
                <w:sz w:val="22"/>
              </w:rPr>
            </w:pPr>
            <w:r>
              <w:rPr>
                <w:b/>
                <w:color w:val="0D0D0D"/>
                <w:spacing w:val="-2"/>
                <w:sz w:val="22"/>
              </w:rPr>
              <w:t>Micky</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38.5</w:t>
            </w:r>
          </w:p>
        </w:tc>
        <w:tc>
          <w:tcPr>
            <w:tcW w:w="870" w:type="dxa"/>
          </w:tcPr>
          <w:p>
            <w:pPr>
              <w:pStyle w:val="TableParagraph"/>
              <w:ind w:left="131"/>
              <w:jc w:val="left"/>
              <w:rPr>
                <w:sz w:val="22"/>
              </w:rPr>
            </w:pPr>
            <w:r>
              <w:rPr>
                <w:color w:val="0D0D0D"/>
                <w:spacing w:val="-2"/>
                <w:sz w:val="22"/>
              </w:rPr>
              <w:t>38.15</w:t>
            </w:r>
          </w:p>
        </w:tc>
        <w:tc>
          <w:tcPr>
            <w:tcW w:w="626" w:type="dxa"/>
          </w:tcPr>
          <w:p>
            <w:pPr>
              <w:pStyle w:val="TableParagraph"/>
              <w:ind w:left="133"/>
              <w:jc w:val="left"/>
              <w:rPr>
                <w:sz w:val="22"/>
              </w:rPr>
            </w:pPr>
            <w:r>
              <w:rPr>
                <w:color w:val="0D0D0D"/>
                <w:spacing w:val="-5"/>
                <w:sz w:val="22"/>
              </w:rPr>
              <w:t>130</w:t>
            </w:r>
          </w:p>
        </w:tc>
        <w:tc>
          <w:tcPr>
            <w:tcW w:w="797" w:type="dxa"/>
          </w:tcPr>
          <w:p>
            <w:pPr>
              <w:pStyle w:val="TableParagraph"/>
              <w:ind w:left="155"/>
              <w:jc w:val="left"/>
              <w:rPr>
                <w:sz w:val="22"/>
              </w:rPr>
            </w:pPr>
            <w:r>
              <w:rPr>
                <w:color w:val="0D0D0D"/>
                <w:spacing w:val="-4"/>
                <w:sz w:val="22"/>
              </w:rPr>
              <w:t>117.8</w:t>
            </w:r>
          </w:p>
        </w:tc>
        <w:tc>
          <w:tcPr>
            <w:tcW w:w="660" w:type="dxa"/>
          </w:tcPr>
          <w:p>
            <w:pPr>
              <w:pStyle w:val="TableParagraph"/>
              <w:ind w:left="11"/>
              <w:rPr>
                <w:sz w:val="22"/>
              </w:rPr>
            </w:pPr>
            <w:r>
              <w:rPr>
                <w:color w:val="0D0D0D"/>
                <w:spacing w:val="-4"/>
                <w:sz w:val="22"/>
              </w:rPr>
              <w:t>15.0</w:t>
            </w:r>
          </w:p>
        </w:tc>
        <w:tc>
          <w:tcPr>
            <w:tcW w:w="718" w:type="dxa"/>
          </w:tcPr>
          <w:p>
            <w:pPr>
              <w:pStyle w:val="TableParagraph"/>
              <w:ind w:left="130"/>
              <w:jc w:val="left"/>
              <w:rPr>
                <w:sz w:val="22"/>
              </w:rPr>
            </w:pPr>
            <w:r>
              <w:rPr>
                <w:color w:val="0D0D0D"/>
                <w:spacing w:val="-4"/>
                <w:sz w:val="22"/>
              </w:rPr>
              <w:t>13.2</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97.0</w:t>
            </w:r>
          </w:p>
        </w:tc>
        <w:tc>
          <w:tcPr>
            <w:tcW w:w="708" w:type="dxa"/>
          </w:tcPr>
          <w:p>
            <w:pPr>
              <w:pStyle w:val="TableParagraph"/>
              <w:ind w:left="60" w:right="55"/>
              <w:rPr>
                <w:sz w:val="22"/>
              </w:rPr>
            </w:pPr>
            <w:r>
              <w:rPr>
                <w:color w:val="0D0D0D"/>
                <w:spacing w:val="-4"/>
                <w:sz w:val="22"/>
              </w:rPr>
              <w:t>98.0</w:t>
            </w:r>
          </w:p>
        </w:tc>
        <w:tc>
          <w:tcPr>
            <w:tcW w:w="762" w:type="dxa"/>
          </w:tcPr>
          <w:p>
            <w:pPr>
              <w:pStyle w:val="TableParagraph"/>
              <w:ind w:left="55"/>
              <w:rPr>
                <w:sz w:val="22"/>
              </w:rPr>
            </w:pPr>
            <w:r>
              <w:rPr>
                <w:color w:val="0D0D0D"/>
                <w:spacing w:val="-4"/>
                <w:sz w:val="22"/>
              </w:rPr>
              <w:t>125.0</w:t>
            </w:r>
          </w:p>
        </w:tc>
        <w:tc>
          <w:tcPr>
            <w:tcW w:w="748" w:type="dxa"/>
          </w:tcPr>
          <w:p>
            <w:pPr>
              <w:pStyle w:val="TableParagraph"/>
              <w:ind w:left="8" w:right="44"/>
              <w:rPr>
                <w:sz w:val="22"/>
              </w:rPr>
            </w:pPr>
            <w:r>
              <w:rPr>
                <w:color w:val="0D0D0D"/>
                <w:spacing w:val="-4"/>
                <w:sz w:val="22"/>
              </w:rPr>
              <w:t>136.3</w:t>
            </w:r>
          </w:p>
        </w:tc>
        <w:tc>
          <w:tcPr>
            <w:tcW w:w="694" w:type="dxa"/>
          </w:tcPr>
          <w:p>
            <w:pPr>
              <w:pStyle w:val="TableParagraph"/>
              <w:ind w:right="14"/>
              <w:rPr>
                <w:sz w:val="22"/>
              </w:rPr>
            </w:pPr>
            <w:r>
              <w:rPr>
                <w:color w:val="0D0D0D"/>
                <w:spacing w:val="-4"/>
                <w:sz w:val="22"/>
              </w:rPr>
              <w:t>76.0</w:t>
            </w:r>
          </w:p>
        </w:tc>
        <w:tc>
          <w:tcPr>
            <w:tcW w:w="722" w:type="dxa"/>
          </w:tcPr>
          <w:p>
            <w:pPr>
              <w:pStyle w:val="TableParagraph"/>
              <w:ind w:right="5"/>
              <w:rPr>
                <w:sz w:val="22"/>
              </w:rPr>
            </w:pPr>
            <w:r>
              <w:rPr>
                <w:color w:val="0D0D0D"/>
                <w:spacing w:val="-4"/>
                <w:sz w:val="22"/>
              </w:rPr>
              <w:t>83.7</w:t>
            </w:r>
          </w:p>
        </w:tc>
        <w:tc>
          <w:tcPr>
            <w:tcW w:w="778" w:type="dxa"/>
          </w:tcPr>
          <w:p>
            <w:pPr>
              <w:pStyle w:val="TableParagraph"/>
              <w:ind w:left="174"/>
              <w:jc w:val="left"/>
              <w:rPr>
                <w:sz w:val="22"/>
              </w:rPr>
            </w:pPr>
            <w:r>
              <w:rPr>
                <w:color w:val="0D0D0D"/>
                <w:spacing w:val="-4"/>
                <w:sz w:val="22"/>
              </w:rPr>
              <w:t>92.0</w:t>
            </w:r>
          </w:p>
        </w:tc>
        <w:tc>
          <w:tcPr>
            <w:tcW w:w="780" w:type="dxa"/>
          </w:tcPr>
          <w:p>
            <w:pPr>
              <w:pStyle w:val="TableParagraph"/>
              <w:ind w:left="20" w:right="83"/>
              <w:rPr>
                <w:sz w:val="22"/>
              </w:rPr>
            </w:pPr>
            <w:r>
              <w:rPr>
                <w:color w:val="0D0D0D"/>
                <w:spacing w:val="-4"/>
                <w:sz w:val="22"/>
              </w:rPr>
              <w:t>101.0</w:t>
            </w:r>
          </w:p>
        </w:tc>
      </w:tr>
      <w:tr>
        <w:trPr>
          <w:trHeight w:val="380" w:hRule="atLeast"/>
        </w:trPr>
        <w:tc>
          <w:tcPr>
            <w:tcW w:w="1262" w:type="dxa"/>
          </w:tcPr>
          <w:p>
            <w:pPr>
              <w:pStyle w:val="TableParagraph"/>
              <w:ind w:left="114"/>
              <w:jc w:val="left"/>
              <w:rPr>
                <w:b/>
                <w:sz w:val="22"/>
              </w:rPr>
            </w:pPr>
            <w:r>
              <w:rPr>
                <w:b/>
                <w:color w:val="0D0D0D"/>
                <w:spacing w:val="-2"/>
                <w:sz w:val="22"/>
              </w:rPr>
              <w:t>Sally</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38.6</w:t>
            </w:r>
          </w:p>
        </w:tc>
        <w:tc>
          <w:tcPr>
            <w:tcW w:w="870" w:type="dxa"/>
          </w:tcPr>
          <w:p>
            <w:pPr>
              <w:pStyle w:val="TableParagraph"/>
              <w:ind w:left="131"/>
              <w:jc w:val="left"/>
              <w:rPr>
                <w:sz w:val="22"/>
              </w:rPr>
            </w:pPr>
            <w:r>
              <w:rPr>
                <w:color w:val="0D0D0D"/>
                <w:spacing w:val="-2"/>
                <w:sz w:val="22"/>
              </w:rPr>
              <w:t>38.48</w:t>
            </w:r>
          </w:p>
        </w:tc>
        <w:tc>
          <w:tcPr>
            <w:tcW w:w="626" w:type="dxa"/>
          </w:tcPr>
          <w:p>
            <w:pPr>
              <w:pStyle w:val="TableParagraph"/>
              <w:ind w:left="133"/>
              <w:jc w:val="left"/>
              <w:rPr>
                <w:sz w:val="22"/>
              </w:rPr>
            </w:pPr>
            <w:r>
              <w:rPr>
                <w:color w:val="0D0D0D"/>
                <w:spacing w:val="-5"/>
                <w:sz w:val="22"/>
              </w:rPr>
              <w:t>144</w:t>
            </w:r>
          </w:p>
        </w:tc>
        <w:tc>
          <w:tcPr>
            <w:tcW w:w="797" w:type="dxa"/>
          </w:tcPr>
          <w:p>
            <w:pPr>
              <w:pStyle w:val="TableParagraph"/>
              <w:ind w:left="155"/>
              <w:jc w:val="left"/>
              <w:rPr>
                <w:sz w:val="22"/>
              </w:rPr>
            </w:pPr>
            <w:r>
              <w:rPr>
                <w:color w:val="0D0D0D"/>
                <w:spacing w:val="-4"/>
                <w:sz w:val="22"/>
              </w:rPr>
              <w:t>123.8</w:t>
            </w:r>
          </w:p>
        </w:tc>
        <w:tc>
          <w:tcPr>
            <w:tcW w:w="660" w:type="dxa"/>
          </w:tcPr>
          <w:p>
            <w:pPr>
              <w:pStyle w:val="TableParagraph"/>
              <w:ind w:left="11"/>
              <w:rPr>
                <w:sz w:val="22"/>
              </w:rPr>
            </w:pPr>
            <w:r>
              <w:rPr>
                <w:color w:val="0D0D0D"/>
                <w:spacing w:val="-4"/>
                <w:sz w:val="22"/>
              </w:rPr>
              <w:t>17.0</w:t>
            </w:r>
          </w:p>
        </w:tc>
        <w:tc>
          <w:tcPr>
            <w:tcW w:w="718" w:type="dxa"/>
          </w:tcPr>
          <w:p>
            <w:pPr>
              <w:pStyle w:val="TableParagraph"/>
              <w:ind w:left="130"/>
              <w:jc w:val="left"/>
              <w:rPr>
                <w:sz w:val="22"/>
              </w:rPr>
            </w:pPr>
            <w:r>
              <w:rPr>
                <w:color w:val="0D0D0D"/>
                <w:spacing w:val="-4"/>
                <w:sz w:val="22"/>
              </w:rPr>
              <w:t>14.7</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97.8</w:t>
            </w:r>
          </w:p>
        </w:tc>
        <w:tc>
          <w:tcPr>
            <w:tcW w:w="762" w:type="dxa"/>
          </w:tcPr>
          <w:p>
            <w:pPr>
              <w:pStyle w:val="TableParagraph"/>
              <w:ind w:left="55"/>
              <w:rPr>
                <w:sz w:val="22"/>
              </w:rPr>
            </w:pPr>
            <w:r>
              <w:rPr>
                <w:color w:val="0D0D0D"/>
                <w:spacing w:val="-4"/>
                <w:sz w:val="22"/>
              </w:rPr>
              <w:t>138.0</w:t>
            </w:r>
          </w:p>
        </w:tc>
        <w:tc>
          <w:tcPr>
            <w:tcW w:w="748" w:type="dxa"/>
          </w:tcPr>
          <w:p>
            <w:pPr>
              <w:pStyle w:val="TableParagraph"/>
              <w:ind w:left="8" w:right="44"/>
              <w:rPr>
                <w:sz w:val="22"/>
              </w:rPr>
            </w:pPr>
            <w:r>
              <w:rPr>
                <w:color w:val="0D0D0D"/>
                <w:spacing w:val="-4"/>
                <w:sz w:val="22"/>
              </w:rPr>
              <w:t>143.5</w:t>
            </w:r>
          </w:p>
        </w:tc>
        <w:tc>
          <w:tcPr>
            <w:tcW w:w="694" w:type="dxa"/>
          </w:tcPr>
          <w:p>
            <w:pPr>
              <w:pStyle w:val="TableParagraph"/>
              <w:ind w:right="14"/>
              <w:rPr>
                <w:sz w:val="22"/>
              </w:rPr>
            </w:pPr>
            <w:r>
              <w:rPr>
                <w:color w:val="0D0D0D"/>
                <w:spacing w:val="-4"/>
                <w:sz w:val="22"/>
              </w:rPr>
              <w:t>81.0</w:t>
            </w:r>
          </w:p>
        </w:tc>
        <w:tc>
          <w:tcPr>
            <w:tcW w:w="722" w:type="dxa"/>
          </w:tcPr>
          <w:p>
            <w:pPr>
              <w:pStyle w:val="TableParagraph"/>
              <w:ind w:right="5"/>
              <w:rPr>
                <w:sz w:val="22"/>
              </w:rPr>
            </w:pPr>
            <w:r>
              <w:rPr>
                <w:color w:val="0D0D0D"/>
                <w:spacing w:val="-4"/>
                <w:sz w:val="22"/>
              </w:rPr>
              <w:t>86.0</w:t>
            </w:r>
          </w:p>
        </w:tc>
        <w:tc>
          <w:tcPr>
            <w:tcW w:w="778" w:type="dxa"/>
          </w:tcPr>
          <w:p>
            <w:pPr>
              <w:pStyle w:val="TableParagraph"/>
              <w:ind w:left="174"/>
              <w:jc w:val="left"/>
              <w:rPr>
                <w:sz w:val="22"/>
              </w:rPr>
            </w:pPr>
            <w:r>
              <w:rPr>
                <w:color w:val="0D0D0D"/>
                <w:spacing w:val="-4"/>
                <w:sz w:val="22"/>
              </w:rPr>
              <w:t>100.0</w:t>
            </w:r>
          </w:p>
        </w:tc>
        <w:tc>
          <w:tcPr>
            <w:tcW w:w="780" w:type="dxa"/>
          </w:tcPr>
          <w:p>
            <w:pPr>
              <w:pStyle w:val="TableParagraph"/>
              <w:ind w:left="20" w:right="83"/>
              <w:rPr>
                <w:sz w:val="22"/>
              </w:rPr>
            </w:pPr>
            <w:r>
              <w:rPr>
                <w:color w:val="0D0D0D"/>
                <w:spacing w:val="-4"/>
                <w:sz w:val="22"/>
              </w:rPr>
              <w:t>105.2</w:t>
            </w:r>
          </w:p>
        </w:tc>
      </w:tr>
      <w:tr>
        <w:trPr>
          <w:trHeight w:val="380" w:hRule="atLeast"/>
        </w:trPr>
        <w:tc>
          <w:tcPr>
            <w:tcW w:w="1262" w:type="dxa"/>
          </w:tcPr>
          <w:p>
            <w:pPr>
              <w:pStyle w:val="TableParagraph"/>
              <w:ind w:left="114"/>
              <w:jc w:val="left"/>
              <w:rPr>
                <w:b/>
                <w:sz w:val="22"/>
              </w:rPr>
            </w:pPr>
            <w:r>
              <w:rPr>
                <w:b/>
                <w:color w:val="0D0D0D"/>
                <w:spacing w:val="-2"/>
                <w:sz w:val="22"/>
              </w:rPr>
              <w:t>Osito</w:t>
            </w:r>
          </w:p>
        </w:tc>
        <w:tc>
          <w:tcPr>
            <w:tcW w:w="565" w:type="dxa"/>
          </w:tcPr>
          <w:p>
            <w:pPr>
              <w:pStyle w:val="TableParagraph"/>
              <w:ind w:left="107"/>
              <w:jc w:val="left"/>
              <w:rPr>
                <w:sz w:val="22"/>
              </w:rPr>
            </w:pPr>
            <w:r>
              <w:rPr>
                <w:color w:val="0D0D0D"/>
                <w:spacing w:val="-5"/>
                <w:sz w:val="22"/>
              </w:rPr>
              <w:t>IV</w:t>
            </w:r>
          </w:p>
        </w:tc>
        <w:tc>
          <w:tcPr>
            <w:tcW w:w="708" w:type="dxa"/>
          </w:tcPr>
          <w:p>
            <w:pPr>
              <w:pStyle w:val="TableParagraph"/>
              <w:ind w:left="60"/>
              <w:rPr>
                <w:sz w:val="22"/>
              </w:rPr>
            </w:pPr>
            <w:r>
              <w:rPr>
                <w:color w:val="0D0D0D"/>
                <w:spacing w:val="-4"/>
                <w:sz w:val="22"/>
              </w:rPr>
              <w:t>38.8</w:t>
            </w:r>
          </w:p>
        </w:tc>
        <w:tc>
          <w:tcPr>
            <w:tcW w:w="870" w:type="dxa"/>
          </w:tcPr>
          <w:p>
            <w:pPr>
              <w:pStyle w:val="TableParagraph"/>
              <w:ind w:left="131"/>
              <w:jc w:val="left"/>
              <w:rPr>
                <w:sz w:val="22"/>
              </w:rPr>
            </w:pPr>
            <w:r>
              <w:rPr>
                <w:color w:val="0D0D0D"/>
                <w:spacing w:val="-2"/>
                <w:sz w:val="22"/>
              </w:rPr>
              <w:t>38.45</w:t>
            </w:r>
          </w:p>
        </w:tc>
        <w:tc>
          <w:tcPr>
            <w:tcW w:w="626" w:type="dxa"/>
          </w:tcPr>
          <w:p>
            <w:pPr>
              <w:pStyle w:val="TableParagraph"/>
              <w:ind w:left="133"/>
              <w:jc w:val="left"/>
              <w:rPr>
                <w:sz w:val="22"/>
              </w:rPr>
            </w:pPr>
            <w:r>
              <w:rPr>
                <w:color w:val="0D0D0D"/>
                <w:spacing w:val="-5"/>
                <w:sz w:val="22"/>
              </w:rPr>
              <w:t>137</w:t>
            </w:r>
          </w:p>
        </w:tc>
        <w:tc>
          <w:tcPr>
            <w:tcW w:w="797" w:type="dxa"/>
          </w:tcPr>
          <w:p>
            <w:pPr>
              <w:pStyle w:val="TableParagraph"/>
              <w:ind w:left="155"/>
              <w:jc w:val="left"/>
              <w:rPr>
                <w:sz w:val="22"/>
              </w:rPr>
            </w:pPr>
            <w:r>
              <w:rPr>
                <w:color w:val="0D0D0D"/>
                <w:spacing w:val="-4"/>
                <w:sz w:val="22"/>
              </w:rPr>
              <w:t>120.2</w:t>
            </w:r>
          </w:p>
        </w:tc>
        <w:tc>
          <w:tcPr>
            <w:tcW w:w="660" w:type="dxa"/>
          </w:tcPr>
          <w:p>
            <w:pPr>
              <w:pStyle w:val="TableParagraph"/>
              <w:ind w:left="11"/>
              <w:rPr>
                <w:sz w:val="22"/>
              </w:rPr>
            </w:pPr>
            <w:r>
              <w:rPr>
                <w:color w:val="0D0D0D"/>
                <w:spacing w:val="-4"/>
                <w:sz w:val="22"/>
              </w:rPr>
              <w:t>15.0</w:t>
            </w:r>
          </w:p>
        </w:tc>
        <w:tc>
          <w:tcPr>
            <w:tcW w:w="718" w:type="dxa"/>
          </w:tcPr>
          <w:p>
            <w:pPr>
              <w:pStyle w:val="TableParagraph"/>
              <w:ind w:left="130"/>
              <w:jc w:val="left"/>
              <w:rPr>
                <w:sz w:val="22"/>
              </w:rPr>
            </w:pPr>
            <w:r>
              <w:rPr>
                <w:color w:val="0D0D0D"/>
                <w:spacing w:val="-4"/>
                <w:sz w:val="22"/>
              </w:rPr>
              <w:t>13.8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98.2</w:t>
            </w:r>
          </w:p>
        </w:tc>
        <w:tc>
          <w:tcPr>
            <w:tcW w:w="762" w:type="dxa"/>
          </w:tcPr>
          <w:p>
            <w:pPr>
              <w:pStyle w:val="TableParagraph"/>
              <w:ind w:left="55"/>
              <w:rPr>
                <w:sz w:val="22"/>
              </w:rPr>
            </w:pPr>
            <w:r>
              <w:rPr>
                <w:color w:val="0D0D0D"/>
                <w:spacing w:val="-4"/>
                <w:sz w:val="22"/>
              </w:rPr>
              <w:t>123.0</w:t>
            </w:r>
          </w:p>
        </w:tc>
        <w:tc>
          <w:tcPr>
            <w:tcW w:w="748" w:type="dxa"/>
          </w:tcPr>
          <w:p>
            <w:pPr>
              <w:pStyle w:val="TableParagraph"/>
              <w:ind w:left="8" w:right="44"/>
              <w:rPr>
                <w:sz w:val="22"/>
              </w:rPr>
            </w:pPr>
            <w:r>
              <w:rPr>
                <w:color w:val="0D0D0D"/>
                <w:spacing w:val="-4"/>
                <w:sz w:val="22"/>
              </w:rPr>
              <w:t>137.7</w:t>
            </w:r>
          </w:p>
        </w:tc>
        <w:tc>
          <w:tcPr>
            <w:tcW w:w="694" w:type="dxa"/>
          </w:tcPr>
          <w:p>
            <w:pPr>
              <w:pStyle w:val="TableParagraph"/>
              <w:ind w:right="14"/>
              <w:rPr>
                <w:sz w:val="22"/>
              </w:rPr>
            </w:pPr>
            <w:r>
              <w:rPr>
                <w:color w:val="0D0D0D"/>
                <w:spacing w:val="-4"/>
                <w:sz w:val="22"/>
              </w:rPr>
              <w:t>76.0</w:t>
            </w:r>
          </w:p>
        </w:tc>
        <w:tc>
          <w:tcPr>
            <w:tcW w:w="722" w:type="dxa"/>
          </w:tcPr>
          <w:p>
            <w:pPr>
              <w:pStyle w:val="TableParagraph"/>
              <w:ind w:right="5"/>
              <w:rPr>
                <w:sz w:val="22"/>
              </w:rPr>
            </w:pPr>
            <w:r>
              <w:rPr>
                <w:color w:val="0D0D0D"/>
                <w:spacing w:val="-4"/>
                <w:sz w:val="22"/>
              </w:rPr>
              <w:t>83.7</w:t>
            </w:r>
          </w:p>
        </w:tc>
        <w:tc>
          <w:tcPr>
            <w:tcW w:w="778" w:type="dxa"/>
          </w:tcPr>
          <w:p>
            <w:pPr>
              <w:pStyle w:val="TableParagraph"/>
              <w:ind w:left="174"/>
              <w:jc w:val="left"/>
              <w:rPr>
                <w:sz w:val="22"/>
              </w:rPr>
            </w:pPr>
            <w:r>
              <w:rPr>
                <w:color w:val="0D0D0D"/>
                <w:spacing w:val="-4"/>
                <w:sz w:val="22"/>
              </w:rPr>
              <w:t>92.0</w:t>
            </w:r>
          </w:p>
        </w:tc>
        <w:tc>
          <w:tcPr>
            <w:tcW w:w="780" w:type="dxa"/>
          </w:tcPr>
          <w:p>
            <w:pPr>
              <w:pStyle w:val="TableParagraph"/>
              <w:ind w:left="20" w:right="83"/>
              <w:rPr>
                <w:sz w:val="22"/>
              </w:rPr>
            </w:pPr>
            <w:r>
              <w:rPr>
                <w:color w:val="0D0D0D"/>
                <w:spacing w:val="-4"/>
                <w:sz w:val="22"/>
              </w:rPr>
              <w:t>101.8</w:t>
            </w:r>
          </w:p>
        </w:tc>
      </w:tr>
      <w:tr>
        <w:trPr>
          <w:trHeight w:val="377" w:hRule="atLeast"/>
        </w:trPr>
        <w:tc>
          <w:tcPr>
            <w:tcW w:w="1262" w:type="dxa"/>
          </w:tcPr>
          <w:p>
            <w:pPr>
              <w:pStyle w:val="TableParagraph"/>
              <w:ind w:left="114"/>
              <w:jc w:val="left"/>
              <w:rPr>
                <w:b/>
                <w:sz w:val="22"/>
              </w:rPr>
            </w:pPr>
            <w:r>
              <w:rPr>
                <w:b/>
                <w:color w:val="0D0D0D"/>
                <w:spacing w:val="-2"/>
                <w:sz w:val="22"/>
              </w:rPr>
              <w:t>Flunke</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38.6</w:t>
            </w:r>
          </w:p>
        </w:tc>
        <w:tc>
          <w:tcPr>
            <w:tcW w:w="870" w:type="dxa"/>
          </w:tcPr>
          <w:p>
            <w:pPr>
              <w:pStyle w:val="TableParagraph"/>
              <w:ind w:left="131"/>
              <w:jc w:val="left"/>
              <w:rPr>
                <w:sz w:val="22"/>
              </w:rPr>
            </w:pPr>
            <w:r>
              <w:rPr>
                <w:color w:val="0D0D0D"/>
                <w:spacing w:val="-2"/>
                <w:sz w:val="22"/>
              </w:rPr>
              <w:t>38.48</w:t>
            </w:r>
          </w:p>
        </w:tc>
        <w:tc>
          <w:tcPr>
            <w:tcW w:w="626" w:type="dxa"/>
          </w:tcPr>
          <w:p>
            <w:pPr>
              <w:pStyle w:val="TableParagraph"/>
              <w:ind w:left="133"/>
              <w:jc w:val="left"/>
              <w:rPr>
                <w:sz w:val="22"/>
              </w:rPr>
            </w:pPr>
            <w:r>
              <w:rPr>
                <w:color w:val="0D0D0D"/>
                <w:spacing w:val="-5"/>
                <w:sz w:val="22"/>
              </w:rPr>
              <w:t>137</w:t>
            </w:r>
          </w:p>
        </w:tc>
        <w:tc>
          <w:tcPr>
            <w:tcW w:w="797" w:type="dxa"/>
          </w:tcPr>
          <w:p>
            <w:pPr>
              <w:pStyle w:val="TableParagraph"/>
              <w:ind w:left="155"/>
              <w:jc w:val="left"/>
              <w:rPr>
                <w:sz w:val="22"/>
              </w:rPr>
            </w:pPr>
            <w:r>
              <w:rPr>
                <w:color w:val="0D0D0D"/>
                <w:spacing w:val="-4"/>
                <w:sz w:val="22"/>
              </w:rPr>
              <w:t>124.5</w:t>
            </w:r>
          </w:p>
        </w:tc>
        <w:tc>
          <w:tcPr>
            <w:tcW w:w="660" w:type="dxa"/>
          </w:tcPr>
          <w:p>
            <w:pPr>
              <w:pStyle w:val="TableParagraph"/>
              <w:ind w:left="11"/>
              <w:rPr>
                <w:sz w:val="22"/>
              </w:rPr>
            </w:pPr>
            <w:r>
              <w:rPr>
                <w:color w:val="0D0D0D"/>
                <w:spacing w:val="-4"/>
                <w:sz w:val="22"/>
              </w:rPr>
              <w:t>19.0</w:t>
            </w:r>
          </w:p>
        </w:tc>
        <w:tc>
          <w:tcPr>
            <w:tcW w:w="718" w:type="dxa"/>
          </w:tcPr>
          <w:p>
            <w:pPr>
              <w:pStyle w:val="TableParagraph"/>
              <w:ind w:left="130"/>
              <w:jc w:val="left"/>
              <w:rPr>
                <w:sz w:val="22"/>
              </w:rPr>
            </w:pPr>
            <w:r>
              <w:rPr>
                <w:color w:val="0D0D0D"/>
                <w:spacing w:val="-4"/>
                <w:sz w:val="22"/>
              </w:rPr>
              <w:t>15.5</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97.7</w:t>
            </w:r>
          </w:p>
        </w:tc>
        <w:tc>
          <w:tcPr>
            <w:tcW w:w="762" w:type="dxa"/>
          </w:tcPr>
          <w:p>
            <w:pPr>
              <w:pStyle w:val="TableParagraph"/>
              <w:ind w:left="55"/>
              <w:rPr>
                <w:sz w:val="22"/>
              </w:rPr>
            </w:pPr>
            <w:r>
              <w:rPr>
                <w:color w:val="0D0D0D"/>
                <w:spacing w:val="-4"/>
                <w:sz w:val="22"/>
              </w:rPr>
              <w:t>137.0</w:t>
            </w:r>
          </w:p>
        </w:tc>
        <w:tc>
          <w:tcPr>
            <w:tcW w:w="748" w:type="dxa"/>
          </w:tcPr>
          <w:p>
            <w:pPr>
              <w:pStyle w:val="TableParagraph"/>
              <w:ind w:left="8" w:right="44"/>
              <w:rPr>
                <w:sz w:val="22"/>
              </w:rPr>
            </w:pPr>
            <w:r>
              <w:rPr>
                <w:color w:val="0D0D0D"/>
                <w:spacing w:val="-4"/>
                <w:sz w:val="22"/>
              </w:rPr>
              <w:t>143.5</w:t>
            </w:r>
          </w:p>
        </w:tc>
        <w:tc>
          <w:tcPr>
            <w:tcW w:w="694" w:type="dxa"/>
          </w:tcPr>
          <w:p>
            <w:pPr>
              <w:pStyle w:val="TableParagraph"/>
              <w:ind w:right="14"/>
              <w:rPr>
                <w:sz w:val="22"/>
              </w:rPr>
            </w:pPr>
            <w:r>
              <w:rPr>
                <w:color w:val="0D0D0D"/>
                <w:spacing w:val="-4"/>
                <w:sz w:val="22"/>
              </w:rPr>
              <w:t>89.0</w:t>
            </w:r>
          </w:p>
        </w:tc>
        <w:tc>
          <w:tcPr>
            <w:tcW w:w="722" w:type="dxa"/>
          </w:tcPr>
          <w:p>
            <w:pPr>
              <w:pStyle w:val="TableParagraph"/>
              <w:ind w:right="5"/>
              <w:rPr>
                <w:sz w:val="22"/>
              </w:rPr>
            </w:pPr>
            <w:r>
              <w:rPr>
                <w:color w:val="0D0D0D"/>
                <w:spacing w:val="-4"/>
                <w:sz w:val="22"/>
              </w:rPr>
              <w:t>93.5</w:t>
            </w:r>
          </w:p>
        </w:tc>
        <w:tc>
          <w:tcPr>
            <w:tcW w:w="778" w:type="dxa"/>
          </w:tcPr>
          <w:p>
            <w:pPr>
              <w:pStyle w:val="TableParagraph"/>
              <w:ind w:left="174"/>
              <w:jc w:val="left"/>
              <w:rPr>
                <w:sz w:val="22"/>
              </w:rPr>
            </w:pPr>
            <w:r>
              <w:rPr>
                <w:color w:val="0D0D0D"/>
                <w:spacing w:val="-4"/>
                <w:sz w:val="22"/>
              </w:rPr>
              <w:t>105.0</w:t>
            </w:r>
          </w:p>
        </w:tc>
        <w:tc>
          <w:tcPr>
            <w:tcW w:w="780" w:type="dxa"/>
          </w:tcPr>
          <w:p>
            <w:pPr>
              <w:pStyle w:val="TableParagraph"/>
              <w:ind w:left="12" w:right="83"/>
              <w:rPr>
                <w:sz w:val="22"/>
              </w:rPr>
            </w:pPr>
            <w:r>
              <w:rPr>
                <w:color w:val="0D0D0D"/>
                <w:spacing w:val="-4"/>
                <w:sz w:val="22"/>
              </w:rPr>
              <w:t>110.2</w:t>
            </w:r>
          </w:p>
        </w:tc>
      </w:tr>
      <w:tr>
        <w:trPr>
          <w:trHeight w:val="378" w:hRule="atLeast"/>
        </w:trPr>
        <w:tc>
          <w:tcPr>
            <w:tcW w:w="1262" w:type="dxa"/>
          </w:tcPr>
          <w:p>
            <w:pPr>
              <w:pStyle w:val="TableParagraph"/>
              <w:spacing w:before="57"/>
              <w:ind w:left="114"/>
              <w:jc w:val="left"/>
              <w:rPr>
                <w:b/>
                <w:sz w:val="22"/>
              </w:rPr>
            </w:pPr>
            <w:r>
              <w:rPr>
                <w:b/>
                <w:color w:val="0D0D0D"/>
                <w:spacing w:val="-5"/>
                <w:sz w:val="22"/>
              </w:rPr>
              <w:t>Mia</w:t>
            </w:r>
          </w:p>
        </w:tc>
        <w:tc>
          <w:tcPr>
            <w:tcW w:w="565" w:type="dxa"/>
          </w:tcPr>
          <w:p>
            <w:pPr>
              <w:pStyle w:val="TableParagraph"/>
              <w:spacing w:before="57"/>
              <w:ind w:left="107"/>
              <w:jc w:val="left"/>
              <w:rPr>
                <w:sz w:val="22"/>
              </w:rPr>
            </w:pPr>
            <w:r>
              <w:rPr>
                <w:color w:val="0D0D0D"/>
                <w:spacing w:val="-5"/>
                <w:sz w:val="22"/>
              </w:rPr>
              <w:t>IV</w:t>
            </w:r>
          </w:p>
        </w:tc>
        <w:tc>
          <w:tcPr>
            <w:tcW w:w="708" w:type="dxa"/>
          </w:tcPr>
          <w:p>
            <w:pPr>
              <w:pStyle w:val="TableParagraph"/>
              <w:spacing w:before="57"/>
              <w:ind w:left="60"/>
              <w:rPr>
                <w:sz w:val="22"/>
              </w:rPr>
            </w:pPr>
            <w:r>
              <w:rPr>
                <w:color w:val="0D0D0D"/>
                <w:spacing w:val="-4"/>
                <w:sz w:val="22"/>
              </w:rPr>
              <w:t>38.5</w:t>
            </w:r>
          </w:p>
        </w:tc>
        <w:tc>
          <w:tcPr>
            <w:tcW w:w="870" w:type="dxa"/>
          </w:tcPr>
          <w:p>
            <w:pPr>
              <w:pStyle w:val="TableParagraph"/>
              <w:spacing w:before="57"/>
              <w:ind w:left="131"/>
              <w:jc w:val="left"/>
              <w:rPr>
                <w:sz w:val="22"/>
              </w:rPr>
            </w:pPr>
            <w:r>
              <w:rPr>
                <w:color w:val="0D0D0D"/>
                <w:spacing w:val="-2"/>
                <w:sz w:val="22"/>
              </w:rPr>
              <w:t>38.26</w:t>
            </w:r>
          </w:p>
        </w:tc>
        <w:tc>
          <w:tcPr>
            <w:tcW w:w="626" w:type="dxa"/>
          </w:tcPr>
          <w:p>
            <w:pPr>
              <w:pStyle w:val="TableParagraph"/>
              <w:spacing w:before="57"/>
              <w:ind w:left="133"/>
              <w:jc w:val="left"/>
              <w:rPr>
                <w:sz w:val="22"/>
              </w:rPr>
            </w:pPr>
            <w:r>
              <w:rPr>
                <w:color w:val="0D0D0D"/>
                <w:spacing w:val="-5"/>
                <w:sz w:val="22"/>
              </w:rPr>
              <w:t>128</w:t>
            </w:r>
          </w:p>
        </w:tc>
        <w:tc>
          <w:tcPr>
            <w:tcW w:w="797" w:type="dxa"/>
          </w:tcPr>
          <w:p>
            <w:pPr>
              <w:pStyle w:val="TableParagraph"/>
              <w:spacing w:before="57"/>
              <w:ind w:left="155"/>
              <w:jc w:val="left"/>
              <w:rPr>
                <w:sz w:val="22"/>
              </w:rPr>
            </w:pPr>
            <w:r>
              <w:rPr>
                <w:color w:val="0D0D0D"/>
                <w:spacing w:val="-4"/>
                <w:sz w:val="22"/>
              </w:rPr>
              <w:t>103.0</w:t>
            </w:r>
          </w:p>
        </w:tc>
        <w:tc>
          <w:tcPr>
            <w:tcW w:w="660" w:type="dxa"/>
          </w:tcPr>
          <w:p>
            <w:pPr>
              <w:pStyle w:val="TableParagraph"/>
              <w:spacing w:before="57"/>
              <w:ind w:left="11"/>
              <w:rPr>
                <w:sz w:val="22"/>
              </w:rPr>
            </w:pPr>
            <w:r>
              <w:rPr>
                <w:color w:val="0D0D0D"/>
                <w:spacing w:val="-4"/>
                <w:sz w:val="22"/>
              </w:rPr>
              <w:t>14.0</w:t>
            </w:r>
          </w:p>
        </w:tc>
        <w:tc>
          <w:tcPr>
            <w:tcW w:w="718" w:type="dxa"/>
          </w:tcPr>
          <w:p>
            <w:pPr>
              <w:pStyle w:val="TableParagraph"/>
              <w:spacing w:before="57"/>
              <w:ind w:left="130"/>
              <w:jc w:val="left"/>
              <w:rPr>
                <w:sz w:val="22"/>
              </w:rPr>
            </w:pPr>
            <w:r>
              <w:rPr>
                <w:color w:val="0D0D0D"/>
                <w:spacing w:val="-4"/>
                <w:sz w:val="22"/>
              </w:rPr>
              <w:t>13.5</w:t>
            </w:r>
          </w:p>
        </w:tc>
        <w:tc>
          <w:tcPr>
            <w:tcW w:w="664" w:type="dxa"/>
          </w:tcPr>
          <w:p>
            <w:pPr>
              <w:pStyle w:val="TableParagraph"/>
              <w:spacing w:before="57"/>
              <w:ind w:left="16"/>
              <w:rPr>
                <w:sz w:val="22"/>
              </w:rPr>
            </w:pPr>
            <w:r>
              <w:rPr>
                <w:color w:val="0D0D0D"/>
                <w:spacing w:val="-5"/>
                <w:sz w:val="22"/>
              </w:rPr>
              <w:t>2.0</w:t>
            </w:r>
          </w:p>
        </w:tc>
        <w:tc>
          <w:tcPr>
            <w:tcW w:w="648" w:type="dxa"/>
          </w:tcPr>
          <w:p>
            <w:pPr>
              <w:pStyle w:val="TableParagraph"/>
              <w:spacing w:before="57"/>
              <w:rPr>
                <w:sz w:val="22"/>
              </w:rPr>
            </w:pPr>
            <w:r>
              <w:rPr>
                <w:color w:val="0D0D0D"/>
                <w:spacing w:val="-5"/>
                <w:sz w:val="22"/>
              </w:rPr>
              <w:t>2.0</w:t>
            </w:r>
          </w:p>
        </w:tc>
        <w:tc>
          <w:tcPr>
            <w:tcW w:w="734" w:type="dxa"/>
          </w:tcPr>
          <w:p>
            <w:pPr>
              <w:pStyle w:val="TableParagraph"/>
              <w:spacing w:before="57"/>
              <w:ind w:left="22"/>
              <w:rPr>
                <w:sz w:val="22"/>
              </w:rPr>
            </w:pPr>
            <w:r>
              <w:rPr>
                <w:color w:val="0D0D0D"/>
                <w:spacing w:val="-4"/>
                <w:sz w:val="22"/>
              </w:rPr>
              <w:t>98.0</w:t>
            </w:r>
          </w:p>
        </w:tc>
        <w:tc>
          <w:tcPr>
            <w:tcW w:w="708" w:type="dxa"/>
          </w:tcPr>
          <w:p>
            <w:pPr>
              <w:pStyle w:val="TableParagraph"/>
              <w:spacing w:before="57"/>
              <w:ind w:left="60" w:right="55"/>
              <w:rPr>
                <w:sz w:val="22"/>
              </w:rPr>
            </w:pPr>
            <w:r>
              <w:rPr>
                <w:color w:val="0D0D0D"/>
                <w:spacing w:val="-4"/>
                <w:sz w:val="22"/>
              </w:rPr>
              <w:t>98.3</w:t>
            </w:r>
          </w:p>
        </w:tc>
        <w:tc>
          <w:tcPr>
            <w:tcW w:w="762" w:type="dxa"/>
          </w:tcPr>
          <w:p>
            <w:pPr>
              <w:pStyle w:val="TableParagraph"/>
              <w:spacing w:before="57"/>
              <w:ind w:left="55"/>
              <w:rPr>
                <w:sz w:val="22"/>
              </w:rPr>
            </w:pPr>
            <w:r>
              <w:rPr>
                <w:color w:val="0D0D0D"/>
                <w:spacing w:val="-4"/>
                <w:sz w:val="22"/>
              </w:rPr>
              <w:t>128.0</w:t>
            </w:r>
          </w:p>
        </w:tc>
        <w:tc>
          <w:tcPr>
            <w:tcW w:w="748" w:type="dxa"/>
          </w:tcPr>
          <w:p>
            <w:pPr>
              <w:pStyle w:val="TableParagraph"/>
              <w:spacing w:before="57"/>
              <w:ind w:left="8" w:right="44"/>
              <w:rPr>
                <w:sz w:val="22"/>
              </w:rPr>
            </w:pPr>
            <w:r>
              <w:rPr>
                <w:color w:val="0D0D0D"/>
                <w:spacing w:val="-4"/>
                <w:sz w:val="22"/>
              </w:rPr>
              <w:t>138.0</w:t>
            </w:r>
          </w:p>
        </w:tc>
        <w:tc>
          <w:tcPr>
            <w:tcW w:w="694" w:type="dxa"/>
          </w:tcPr>
          <w:p>
            <w:pPr>
              <w:pStyle w:val="TableParagraph"/>
              <w:spacing w:before="57"/>
              <w:ind w:right="14"/>
              <w:rPr>
                <w:sz w:val="22"/>
              </w:rPr>
            </w:pPr>
            <w:r>
              <w:rPr>
                <w:color w:val="0D0D0D"/>
                <w:spacing w:val="-4"/>
                <w:sz w:val="22"/>
              </w:rPr>
              <w:t>86.0</w:t>
            </w:r>
          </w:p>
        </w:tc>
        <w:tc>
          <w:tcPr>
            <w:tcW w:w="722" w:type="dxa"/>
          </w:tcPr>
          <w:p>
            <w:pPr>
              <w:pStyle w:val="TableParagraph"/>
              <w:spacing w:before="57"/>
              <w:ind w:right="5"/>
              <w:rPr>
                <w:sz w:val="22"/>
              </w:rPr>
            </w:pPr>
            <w:r>
              <w:rPr>
                <w:color w:val="0D0D0D"/>
                <w:spacing w:val="-4"/>
                <w:sz w:val="22"/>
              </w:rPr>
              <w:t>92.8</w:t>
            </w:r>
          </w:p>
        </w:tc>
        <w:tc>
          <w:tcPr>
            <w:tcW w:w="778" w:type="dxa"/>
          </w:tcPr>
          <w:p>
            <w:pPr>
              <w:pStyle w:val="TableParagraph"/>
              <w:spacing w:before="57"/>
              <w:ind w:left="174"/>
              <w:jc w:val="left"/>
              <w:rPr>
                <w:sz w:val="22"/>
              </w:rPr>
            </w:pPr>
            <w:r>
              <w:rPr>
                <w:color w:val="0D0D0D"/>
                <w:spacing w:val="-4"/>
                <w:sz w:val="22"/>
              </w:rPr>
              <w:t>100.0</w:t>
            </w:r>
          </w:p>
        </w:tc>
        <w:tc>
          <w:tcPr>
            <w:tcW w:w="780" w:type="dxa"/>
          </w:tcPr>
          <w:p>
            <w:pPr>
              <w:pStyle w:val="TableParagraph"/>
              <w:spacing w:before="57"/>
              <w:ind w:left="20" w:right="83"/>
              <w:rPr>
                <w:sz w:val="22"/>
              </w:rPr>
            </w:pPr>
            <w:r>
              <w:rPr>
                <w:color w:val="0D0D0D"/>
                <w:spacing w:val="-4"/>
                <w:sz w:val="22"/>
              </w:rPr>
              <w:t>108.0</w:t>
            </w:r>
          </w:p>
        </w:tc>
      </w:tr>
      <w:tr>
        <w:trPr>
          <w:trHeight w:val="380" w:hRule="atLeast"/>
        </w:trPr>
        <w:tc>
          <w:tcPr>
            <w:tcW w:w="1262" w:type="dxa"/>
          </w:tcPr>
          <w:p>
            <w:pPr>
              <w:pStyle w:val="TableParagraph"/>
              <w:ind w:left="114"/>
              <w:jc w:val="left"/>
              <w:rPr>
                <w:b/>
                <w:sz w:val="22"/>
              </w:rPr>
            </w:pPr>
            <w:r>
              <w:rPr>
                <w:b/>
                <w:color w:val="0D0D0D"/>
                <w:spacing w:val="-4"/>
                <w:sz w:val="22"/>
              </w:rPr>
              <w:t>Aris</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38.5</w:t>
            </w:r>
          </w:p>
        </w:tc>
        <w:tc>
          <w:tcPr>
            <w:tcW w:w="870" w:type="dxa"/>
          </w:tcPr>
          <w:p>
            <w:pPr>
              <w:pStyle w:val="TableParagraph"/>
              <w:ind w:left="131"/>
              <w:jc w:val="left"/>
              <w:rPr>
                <w:sz w:val="22"/>
              </w:rPr>
            </w:pPr>
            <w:r>
              <w:rPr>
                <w:color w:val="0D0D0D"/>
                <w:spacing w:val="-2"/>
                <w:sz w:val="22"/>
              </w:rPr>
              <w:t>38.37</w:t>
            </w:r>
          </w:p>
        </w:tc>
        <w:tc>
          <w:tcPr>
            <w:tcW w:w="626" w:type="dxa"/>
          </w:tcPr>
          <w:p>
            <w:pPr>
              <w:pStyle w:val="TableParagraph"/>
              <w:ind w:left="133"/>
              <w:jc w:val="left"/>
              <w:rPr>
                <w:sz w:val="22"/>
              </w:rPr>
            </w:pPr>
            <w:r>
              <w:rPr>
                <w:color w:val="0D0D0D"/>
                <w:spacing w:val="-5"/>
                <w:sz w:val="22"/>
              </w:rPr>
              <w:t>142</w:t>
            </w:r>
          </w:p>
        </w:tc>
        <w:tc>
          <w:tcPr>
            <w:tcW w:w="797" w:type="dxa"/>
          </w:tcPr>
          <w:p>
            <w:pPr>
              <w:pStyle w:val="TableParagraph"/>
              <w:ind w:left="155"/>
              <w:jc w:val="left"/>
              <w:rPr>
                <w:sz w:val="22"/>
              </w:rPr>
            </w:pPr>
            <w:r>
              <w:rPr>
                <w:color w:val="0D0D0D"/>
                <w:spacing w:val="-4"/>
                <w:sz w:val="22"/>
              </w:rPr>
              <w:t>131.0</w:t>
            </w:r>
          </w:p>
        </w:tc>
        <w:tc>
          <w:tcPr>
            <w:tcW w:w="660" w:type="dxa"/>
          </w:tcPr>
          <w:p>
            <w:pPr>
              <w:pStyle w:val="TableParagraph"/>
              <w:ind w:left="11"/>
              <w:rPr>
                <w:sz w:val="22"/>
              </w:rPr>
            </w:pPr>
            <w:r>
              <w:rPr>
                <w:color w:val="0D0D0D"/>
                <w:spacing w:val="-4"/>
                <w:sz w:val="22"/>
              </w:rPr>
              <w:t>19.0</w:t>
            </w:r>
          </w:p>
        </w:tc>
        <w:tc>
          <w:tcPr>
            <w:tcW w:w="718" w:type="dxa"/>
          </w:tcPr>
          <w:p>
            <w:pPr>
              <w:pStyle w:val="TableParagraph"/>
              <w:ind w:left="130"/>
              <w:jc w:val="left"/>
              <w:rPr>
                <w:sz w:val="22"/>
              </w:rPr>
            </w:pPr>
            <w:r>
              <w:rPr>
                <w:color w:val="0D0D0D"/>
                <w:spacing w:val="-4"/>
                <w:sz w:val="22"/>
              </w:rPr>
              <w:t>15.0</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98.7</w:t>
            </w:r>
          </w:p>
        </w:tc>
        <w:tc>
          <w:tcPr>
            <w:tcW w:w="762" w:type="dxa"/>
          </w:tcPr>
          <w:p>
            <w:pPr>
              <w:pStyle w:val="TableParagraph"/>
              <w:ind w:left="55"/>
              <w:rPr>
                <w:sz w:val="22"/>
              </w:rPr>
            </w:pPr>
            <w:r>
              <w:rPr>
                <w:color w:val="0D0D0D"/>
                <w:spacing w:val="-4"/>
                <w:sz w:val="22"/>
              </w:rPr>
              <w:t>128.0</w:t>
            </w:r>
          </w:p>
        </w:tc>
        <w:tc>
          <w:tcPr>
            <w:tcW w:w="748" w:type="dxa"/>
          </w:tcPr>
          <w:p>
            <w:pPr>
              <w:pStyle w:val="TableParagraph"/>
              <w:ind w:left="8" w:right="44"/>
              <w:rPr>
                <w:sz w:val="22"/>
              </w:rPr>
            </w:pPr>
            <w:r>
              <w:rPr>
                <w:color w:val="0D0D0D"/>
                <w:spacing w:val="-4"/>
                <w:sz w:val="22"/>
              </w:rPr>
              <w:t>143.3</w:t>
            </w:r>
          </w:p>
        </w:tc>
        <w:tc>
          <w:tcPr>
            <w:tcW w:w="694" w:type="dxa"/>
          </w:tcPr>
          <w:p>
            <w:pPr>
              <w:pStyle w:val="TableParagraph"/>
              <w:ind w:right="14"/>
              <w:rPr>
                <w:sz w:val="22"/>
              </w:rPr>
            </w:pPr>
            <w:r>
              <w:rPr>
                <w:color w:val="0D0D0D"/>
                <w:spacing w:val="-4"/>
                <w:sz w:val="22"/>
              </w:rPr>
              <w:t>89.0</w:t>
            </w:r>
          </w:p>
        </w:tc>
        <w:tc>
          <w:tcPr>
            <w:tcW w:w="722" w:type="dxa"/>
          </w:tcPr>
          <w:p>
            <w:pPr>
              <w:pStyle w:val="TableParagraph"/>
              <w:ind w:right="5"/>
              <w:rPr>
                <w:sz w:val="22"/>
              </w:rPr>
            </w:pPr>
            <w:r>
              <w:rPr>
                <w:color w:val="0D0D0D"/>
                <w:spacing w:val="-4"/>
                <w:sz w:val="22"/>
              </w:rPr>
              <w:t>95.8</w:t>
            </w:r>
          </w:p>
        </w:tc>
        <w:tc>
          <w:tcPr>
            <w:tcW w:w="778" w:type="dxa"/>
          </w:tcPr>
          <w:p>
            <w:pPr>
              <w:pStyle w:val="TableParagraph"/>
              <w:ind w:left="174"/>
              <w:jc w:val="left"/>
              <w:rPr>
                <w:sz w:val="22"/>
              </w:rPr>
            </w:pPr>
            <w:r>
              <w:rPr>
                <w:color w:val="0D0D0D"/>
                <w:spacing w:val="-4"/>
                <w:sz w:val="22"/>
              </w:rPr>
              <w:t>102.0</w:t>
            </w:r>
          </w:p>
        </w:tc>
        <w:tc>
          <w:tcPr>
            <w:tcW w:w="780" w:type="dxa"/>
          </w:tcPr>
          <w:p>
            <w:pPr>
              <w:pStyle w:val="TableParagraph"/>
              <w:ind w:right="83"/>
              <w:rPr>
                <w:sz w:val="22"/>
              </w:rPr>
            </w:pPr>
            <w:r>
              <w:rPr>
                <w:color w:val="0D0D0D"/>
                <w:spacing w:val="-4"/>
                <w:sz w:val="22"/>
              </w:rPr>
              <w:t>111.7</w:t>
            </w:r>
          </w:p>
        </w:tc>
      </w:tr>
      <w:tr>
        <w:trPr>
          <w:trHeight w:val="380" w:hRule="atLeast"/>
        </w:trPr>
        <w:tc>
          <w:tcPr>
            <w:tcW w:w="1262" w:type="dxa"/>
          </w:tcPr>
          <w:p>
            <w:pPr>
              <w:pStyle w:val="TableParagraph"/>
              <w:ind w:left="114"/>
              <w:jc w:val="left"/>
              <w:rPr>
                <w:b/>
                <w:sz w:val="22"/>
              </w:rPr>
            </w:pPr>
            <w:r>
              <w:rPr>
                <w:b/>
                <w:color w:val="0D0D0D"/>
                <w:spacing w:val="-2"/>
                <w:sz w:val="22"/>
              </w:rPr>
              <w:t>Dominique</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38.4</w:t>
            </w:r>
          </w:p>
        </w:tc>
        <w:tc>
          <w:tcPr>
            <w:tcW w:w="870" w:type="dxa"/>
          </w:tcPr>
          <w:p>
            <w:pPr>
              <w:pStyle w:val="TableParagraph"/>
              <w:ind w:left="131"/>
              <w:jc w:val="left"/>
              <w:rPr>
                <w:sz w:val="22"/>
              </w:rPr>
            </w:pPr>
            <w:r>
              <w:rPr>
                <w:color w:val="0D0D0D"/>
                <w:spacing w:val="-2"/>
                <w:sz w:val="22"/>
              </w:rPr>
              <w:t>38.28</w:t>
            </w:r>
          </w:p>
        </w:tc>
        <w:tc>
          <w:tcPr>
            <w:tcW w:w="626" w:type="dxa"/>
          </w:tcPr>
          <w:p>
            <w:pPr>
              <w:pStyle w:val="TableParagraph"/>
              <w:ind w:left="133"/>
              <w:jc w:val="left"/>
              <w:rPr>
                <w:sz w:val="22"/>
              </w:rPr>
            </w:pPr>
            <w:r>
              <w:rPr>
                <w:color w:val="0D0D0D"/>
                <w:spacing w:val="-5"/>
                <w:sz w:val="22"/>
              </w:rPr>
              <w:t>126</w:t>
            </w:r>
          </w:p>
        </w:tc>
        <w:tc>
          <w:tcPr>
            <w:tcW w:w="797" w:type="dxa"/>
          </w:tcPr>
          <w:p>
            <w:pPr>
              <w:pStyle w:val="TableParagraph"/>
              <w:ind w:left="155"/>
              <w:jc w:val="left"/>
              <w:rPr>
                <w:sz w:val="22"/>
              </w:rPr>
            </w:pPr>
            <w:r>
              <w:rPr>
                <w:color w:val="0D0D0D"/>
                <w:spacing w:val="-4"/>
                <w:sz w:val="22"/>
              </w:rPr>
              <w:t>103.8</w:t>
            </w:r>
          </w:p>
        </w:tc>
        <w:tc>
          <w:tcPr>
            <w:tcW w:w="660" w:type="dxa"/>
          </w:tcPr>
          <w:p>
            <w:pPr>
              <w:pStyle w:val="TableParagraph"/>
              <w:ind w:left="11"/>
              <w:rPr>
                <w:sz w:val="22"/>
              </w:rPr>
            </w:pPr>
            <w:r>
              <w:rPr>
                <w:color w:val="0D0D0D"/>
                <w:spacing w:val="-4"/>
                <w:sz w:val="22"/>
              </w:rPr>
              <w:t>19.0</w:t>
            </w:r>
          </w:p>
        </w:tc>
        <w:tc>
          <w:tcPr>
            <w:tcW w:w="718" w:type="dxa"/>
          </w:tcPr>
          <w:p>
            <w:pPr>
              <w:pStyle w:val="TableParagraph"/>
              <w:ind w:left="130"/>
              <w:jc w:val="left"/>
              <w:rPr>
                <w:sz w:val="22"/>
              </w:rPr>
            </w:pPr>
            <w:r>
              <w:rPr>
                <w:color w:val="0D0D0D"/>
                <w:spacing w:val="-4"/>
                <w:sz w:val="22"/>
              </w:rPr>
              <w:t>13.8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97.8</w:t>
            </w:r>
          </w:p>
        </w:tc>
        <w:tc>
          <w:tcPr>
            <w:tcW w:w="762" w:type="dxa"/>
          </w:tcPr>
          <w:p>
            <w:pPr>
              <w:pStyle w:val="TableParagraph"/>
              <w:ind w:left="55"/>
              <w:rPr>
                <w:sz w:val="22"/>
              </w:rPr>
            </w:pPr>
            <w:r>
              <w:rPr>
                <w:color w:val="0D0D0D"/>
                <w:spacing w:val="-4"/>
                <w:sz w:val="22"/>
              </w:rPr>
              <w:t>121.0</w:t>
            </w:r>
          </w:p>
        </w:tc>
        <w:tc>
          <w:tcPr>
            <w:tcW w:w="748" w:type="dxa"/>
          </w:tcPr>
          <w:p>
            <w:pPr>
              <w:pStyle w:val="TableParagraph"/>
              <w:ind w:left="8" w:right="44"/>
              <w:rPr>
                <w:sz w:val="22"/>
              </w:rPr>
            </w:pPr>
            <w:r>
              <w:rPr>
                <w:color w:val="0D0D0D"/>
                <w:spacing w:val="-4"/>
                <w:sz w:val="22"/>
              </w:rPr>
              <w:t>135.3</w:t>
            </w:r>
          </w:p>
        </w:tc>
        <w:tc>
          <w:tcPr>
            <w:tcW w:w="694" w:type="dxa"/>
          </w:tcPr>
          <w:p>
            <w:pPr>
              <w:pStyle w:val="TableParagraph"/>
              <w:ind w:right="14"/>
              <w:rPr>
                <w:sz w:val="22"/>
              </w:rPr>
            </w:pPr>
            <w:r>
              <w:rPr>
                <w:color w:val="0D0D0D"/>
                <w:spacing w:val="-4"/>
                <w:sz w:val="22"/>
              </w:rPr>
              <w:t>84.0</w:t>
            </w:r>
          </w:p>
        </w:tc>
        <w:tc>
          <w:tcPr>
            <w:tcW w:w="722" w:type="dxa"/>
          </w:tcPr>
          <w:p>
            <w:pPr>
              <w:pStyle w:val="TableParagraph"/>
              <w:ind w:right="5"/>
              <w:rPr>
                <w:sz w:val="22"/>
              </w:rPr>
            </w:pPr>
            <w:r>
              <w:rPr>
                <w:color w:val="0D0D0D"/>
                <w:spacing w:val="-4"/>
                <w:sz w:val="22"/>
              </w:rPr>
              <w:t>89.7</w:t>
            </w:r>
          </w:p>
        </w:tc>
        <w:tc>
          <w:tcPr>
            <w:tcW w:w="778" w:type="dxa"/>
          </w:tcPr>
          <w:p>
            <w:pPr>
              <w:pStyle w:val="TableParagraph"/>
              <w:ind w:left="174"/>
              <w:jc w:val="left"/>
              <w:rPr>
                <w:sz w:val="22"/>
              </w:rPr>
            </w:pPr>
            <w:r>
              <w:rPr>
                <w:color w:val="0D0D0D"/>
                <w:spacing w:val="-4"/>
                <w:sz w:val="22"/>
              </w:rPr>
              <w:t>96.0</w:t>
            </w:r>
          </w:p>
        </w:tc>
        <w:tc>
          <w:tcPr>
            <w:tcW w:w="780" w:type="dxa"/>
          </w:tcPr>
          <w:p>
            <w:pPr>
              <w:pStyle w:val="TableParagraph"/>
              <w:ind w:left="20" w:right="83"/>
              <w:rPr>
                <w:sz w:val="22"/>
              </w:rPr>
            </w:pPr>
            <w:r>
              <w:rPr>
                <w:color w:val="0D0D0D"/>
                <w:spacing w:val="-4"/>
                <w:sz w:val="22"/>
              </w:rPr>
              <w:t>105.0</w:t>
            </w:r>
          </w:p>
        </w:tc>
      </w:tr>
      <w:tr>
        <w:trPr>
          <w:trHeight w:val="380" w:hRule="atLeast"/>
        </w:trPr>
        <w:tc>
          <w:tcPr>
            <w:tcW w:w="1262" w:type="dxa"/>
          </w:tcPr>
          <w:p>
            <w:pPr>
              <w:pStyle w:val="TableParagraph"/>
              <w:ind w:left="114"/>
              <w:jc w:val="left"/>
              <w:rPr>
                <w:b/>
                <w:sz w:val="22"/>
              </w:rPr>
            </w:pPr>
            <w:r>
              <w:rPr>
                <w:b/>
                <w:color w:val="0D0D0D"/>
                <w:spacing w:val="-5"/>
                <w:sz w:val="22"/>
              </w:rPr>
              <w:t>Eco</w:t>
            </w:r>
          </w:p>
        </w:tc>
        <w:tc>
          <w:tcPr>
            <w:tcW w:w="565" w:type="dxa"/>
          </w:tcPr>
          <w:p>
            <w:pPr>
              <w:pStyle w:val="TableParagraph"/>
              <w:ind w:left="107"/>
              <w:jc w:val="left"/>
              <w:rPr>
                <w:sz w:val="22"/>
              </w:rPr>
            </w:pPr>
            <w:r>
              <w:rPr>
                <w:color w:val="0D0D0D"/>
                <w:spacing w:val="-5"/>
                <w:sz w:val="22"/>
              </w:rPr>
              <w:t>IV</w:t>
            </w:r>
          </w:p>
        </w:tc>
        <w:tc>
          <w:tcPr>
            <w:tcW w:w="708" w:type="dxa"/>
          </w:tcPr>
          <w:p>
            <w:pPr>
              <w:pStyle w:val="TableParagraph"/>
              <w:ind w:left="60"/>
              <w:rPr>
                <w:sz w:val="22"/>
              </w:rPr>
            </w:pPr>
            <w:r>
              <w:rPr>
                <w:color w:val="0D0D0D"/>
                <w:spacing w:val="-4"/>
                <w:sz w:val="22"/>
              </w:rPr>
              <w:t>38.6</w:t>
            </w:r>
          </w:p>
        </w:tc>
        <w:tc>
          <w:tcPr>
            <w:tcW w:w="870" w:type="dxa"/>
          </w:tcPr>
          <w:p>
            <w:pPr>
              <w:pStyle w:val="TableParagraph"/>
              <w:ind w:left="131"/>
              <w:jc w:val="left"/>
              <w:rPr>
                <w:sz w:val="22"/>
              </w:rPr>
            </w:pPr>
            <w:r>
              <w:rPr>
                <w:color w:val="0D0D0D"/>
                <w:spacing w:val="-2"/>
                <w:sz w:val="22"/>
              </w:rPr>
              <w:t>38.45</w:t>
            </w:r>
          </w:p>
        </w:tc>
        <w:tc>
          <w:tcPr>
            <w:tcW w:w="626" w:type="dxa"/>
          </w:tcPr>
          <w:p>
            <w:pPr>
              <w:pStyle w:val="TableParagraph"/>
              <w:ind w:left="133"/>
              <w:jc w:val="left"/>
              <w:rPr>
                <w:sz w:val="22"/>
              </w:rPr>
            </w:pPr>
            <w:r>
              <w:rPr>
                <w:color w:val="0D0D0D"/>
                <w:spacing w:val="-5"/>
                <w:sz w:val="22"/>
              </w:rPr>
              <w:t>139</w:t>
            </w:r>
          </w:p>
        </w:tc>
        <w:tc>
          <w:tcPr>
            <w:tcW w:w="797" w:type="dxa"/>
          </w:tcPr>
          <w:p>
            <w:pPr>
              <w:pStyle w:val="TableParagraph"/>
              <w:ind w:left="155"/>
              <w:jc w:val="left"/>
              <w:rPr>
                <w:sz w:val="22"/>
              </w:rPr>
            </w:pPr>
            <w:r>
              <w:rPr>
                <w:color w:val="0D0D0D"/>
                <w:spacing w:val="-4"/>
                <w:sz w:val="22"/>
              </w:rPr>
              <w:t>121.0</w:t>
            </w:r>
          </w:p>
        </w:tc>
        <w:tc>
          <w:tcPr>
            <w:tcW w:w="660" w:type="dxa"/>
          </w:tcPr>
          <w:p>
            <w:pPr>
              <w:pStyle w:val="TableParagraph"/>
              <w:ind w:left="11"/>
              <w:rPr>
                <w:sz w:val="22"/>
              </w:rPr>
            </w:pPr>
            <w:r>
              <w:rPr>
                <w:color w:val="0D0D0D"/>
                <w:spacing w:val="-4"/>
                <w:sz w:val="22"/>
              </w:rPr>
              <w:t>19.0</w:t>
            </w:r>
          </w:p>
        </w:tc>
        <w:tc>
          <w:tcPr>
            <w:tcW w:w="718" w:type="dxa"/>
          </w:tcPr>
          <w:p>
            <w:pPr>
              <w:pStyle w:val="TableParagraph"/>
              <w:ind w:left="130"/>
              <w:jc w:val="left"/>
              <w:rPr>
                <w:sz w:val="22"/>
              </w:rPr>
            </w:pPr>
            <w:r>
              <w:rPr>
                <w:color w:val="0D0D0D"/>
                <w:spacing w:val="-4"/>
                <w:sz w:val="22"/>
              </w:rPr>
              <w:t>13.8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97.8</w:t>
            </w:r>
          </w:p>
        </w:tc>
        <w:tc>
          <w:tcPr>
            <w:tcW w:w="762" w:type="dxa"/>
          </w:tcPr>
          <w:p>
            <w:pPr>
              <w:pStyle w:val="TableParagraph"/>
              <w:ind w:left="55"/>
              <w:rPr>
                <w:sz w:val="22"/>
              </w:rPr>
            </w:pPr>
            <w:r>
              <w:rPr>
                <w:color w:val="0D0D0D"/>
                <w:spacing w:val="-4"/>
                <w:sz w:val="22"/>
              </w:rPr>
              <w:t>124.0</w:t>
            </w:r>
          </w:p>
        </w:tc>
        <w:tc>
          <w:tcPr>
            <w:tcW w:w="748" w:type="dxa"/>
          </w:tcPr>
          <w:p>
            <w:pPr>
              <w:pStyle w:val="TableParagraph"/>
              <w:ind w:left="8" w:right="44"/>
              <w:rPr>
                <w:sz w:val="22"/>
              </w:rPr>
            </w:pPr>
            <w:r>
              <w:rPr>
                <w:color w:val="0D0D0D"/>
                <w:spacing w:val="-4"/>
                <w:sz w:val="22"/>
              </w:rPr>
              <w:t>134.2</w:t>
            </w:r>
          </w:p>
        </w:tc>
        <w:tc>
          <w:tcPr>
            <w:tcW w:w="694" w:type="dxa"/>
          </w:tcPr>
          <w:p>
            <w:pPr>
              <w:pStyle w:val="TableParagraph"/>
              <w:ind w:right="14"/>
              <w:rPr>
                <w:sz w:val="22"/>
              </w:rPr>
            </w:pPr>
            <w:r>
              <w:rPr>
                <w:color w:val="0D0D0D"/>
                <w:spacing w:val="-4"/>
                <w:sz w:val="22"/>
              </w:rPr>
              <w:t>75.0</w:t>
            </w:r>
          </w:p>
        </w:tc>
        <w:tc>
          <w:tcPr>
            <w:tcW w:w="722" w:type="dxa"/>
          </w:tcPr>
          <w:p>
            <w:pPr>
              <w:pStyle w:val="TableParagraph"/>
              <w:ind w:right="5"/>
              <w:rPr>
                <w:sz w:val="22"/>
              </w:rPr>
            </w:pPr>
            <w:r>
              <w:rPr>
                <w:color w:val="0D0D0D"/>
                <w:spacing w:val="-4"/>
                <w:sz w:val="22"/>
              </w:rPr>
              <w:t>84.5</w:t>
            </w:r>
          </w:p>
        </w:tc>
        <w:tc>
          <w:tcPr>
            <w:tcW w:w="778" w:type="dxa"/>
          </w:tcPr>
          <w:p>
            <w:pPr>
              <w:pStyle w:val="TableParagraph"/>
              <w:ind w:left="174"/>
              <w:jc w:val="left"/>
              <w:rPr>
                <w:sz w:val="22"/>
              </w:rPr>
            </w:pPr>
            <w:r>
              <w:rPr>
                <w:color w:val="0D0D0D"/>
                <w:spacing w:val="-4"/>
                <w:sz w:val="22"/>
              </w:rPr>
              <w:t>91.0</w:t>
            </w:r>
          </w:p>
        </w:tc>
        <w:tc>
          <w:tcPr>
            <w:tcW w:w="780" w:type="dxa"/>
          </w:tcPr>
          <w:p>
            <w:pPr>
              <w:pStyle w:val="TableParagraph"/>
              <w:ind w:left="20" w:right="83"/>
              <w:rPr>
                <w:sz w:val="22"/>
              </w:rPr>
            </w:pPr>
            <w:r>
              <w:rPr>
                <w:color w:val="0D0D0D"/>
                <w:spacing w:val="-4"/>
                <w:sz w:val="22"/>
              </w:rPr>
              <w:t>101.0</w:t>
            </w:r>
          </w:p>
        </w:tc>
      </w:tr>
      <w:tr>
        <w:trPr>
          <w:trHeight w:val="380" w:hRule="atLeast"/>
        </w:trPr>
        <w:tc>
          <w:tcPr>
            <w:tcW w:w="1262" w:type="dxa"/>
          </w:tcPr>
          <w:p>
            <w:pPr>
              <w:pStyle w:val="TableParagraph"/>
              <w:ind w:left="114"/>
              <w:jc w:val="left"/>
              <w:rPr>
                <w:b/>
                <w:sz w:val="22"/>
              </w:rPr>
            </w:pPr>
            <w:r>
              <w:rPr>
                <w:b/>
                <w:color w:val="0D0D0D"/>
                <w:spacing w:val="-2"/>
                <w:sz w:val="22"/>
              </w:rPr>
              <w:t>Henchi</w:t>
            </w:r>
          </w:p>
        </w:tc>
        <w:tc>
          <w:tcPr>
            <w:tcW w:w="565" w:type="dxa"/>
          </w:tcPr>
          <w:p>
            <w:pPr>
              <w:pStyle w:val="TableParagraph"/>
              <w:ind w:left="107"/>
              <w:jc w:val="left"/>
              <w:rPr>
                <w:sz w:val="22"/>
              </w:rPr>
            </w:pPr>
            <w:r>
              <w:rPr>
                <w:color w:val="0D0D0D"/>
                <w:spacing w:val="-5"/>
                <w:sz w:val="22"/>
              </w:rPr>
              <w:t>IV</w:t>
            </w:r>
          </w:p>
        </w:tc>
        <w:tc>
          <w:tcPr>
            <w:tcW w:w="708" w:type="dxa"/>
          </w:tcPr>
          <w:p>
            <w:pPr>
              <w:pStyle w:val="TableParagraph"/>
              <w:ind w:left="60"/>
              <w:rPr>
                <w:sz w:val="22"/>
              </w:rPr>
            </w:pPr>
            <w:r>
              <w:rPr>
                <w:color w:val="0D0D0D"/>
                <w:spacing w:val="-4"/>
                <w:sz w:val="22"/>
              </w:rPr>
              <w:t>38.8</w:t>
            </w:r>
          </w:p>
        </w:tc>
        <w:tc>
          <w:tcPr>
            <w:tcW w:w="870" w:type="dxa"/>
          </w:tcPr>
          <w:p>
            <w:pPr>
              <w:pStyle w:val="TableParagraph"/>
              <w:ind w:left="131"/>
              <w:jc w:val="left"/>
              <w:rPr>
                <w:sz w:val="22"/>
              </w:rPr>
            </w:pPr>
            <w:r>
              <w:rPr>
                <w:color w:val="0D0D0D"/>
                <w:spacing w:val="-4"/>
                <w:sz w:val="22"/>
              </w:rPr>
              <w:t>38.6</w:t>
            </w:r>
          </w:p>
        </w:tc>
        <w:tc>
          <w:tcPr>
            <w:tcW w:w="626" w:type="dxa"/>
          </w:tcPr>
          <w:p>
            <w:pPr>
              <w:pStyle w:val="TableParagraph"/>
              <w:ind w:left="133"/>
              <w:jc w:val="left"/>
              <w:rPr>
                <w:sz w:val="22"/>
              </w:rPr>
            </w:pPr>
            <w:r>
              <w:rPr>
                <w:color w:val="0D0D0D"/>
                <w:spacing w:val="-5"/>
                <w:sz w:val="22"/>
              </w:rPr>
              <w:t>143</w:t>
            </w:r>
          </w:p>
        </w:tc>
        <w:tc>
          <w:tcPr>
            <w:tcW w:w="797" w:type="dxa"/>
          </w:tcPr>
          <w:p>
            <w:pPr>
              <w:pStyle w:val="TableParagraph"/>
              <w:ind w:left="155"/>
              <w:jc w:val="left"/>
              <w:rPr>
                <w:sz w:val="22"/>
              </w:rPr>
            </w:pPr>
            <w:r>
              <w:rPr>
                <w:color w:val="0D0D0D"/>
                <w:spacing w:val="-4"/>
                <w:sz w:val="22"/>
              </w:rPr>
              <w:t>124.5</w:t>
            </w:r>
          </w:p>
        </w:tc>
        <w:tc>
          <w:tcPr>
            <w:tcW w:w="660" w:type="dxa"/>
          </w:tcPr>
          <w:p>
            <w:pPr>
              <w:pStyle w:val="TableParagraph"/>
              <w:ind w:left="11"/>
              <w:rPr>
                <w:sz w:val="22"/>
              </w:rPr>
            </w:pPr>
            <w:r>
              <w:rPr>
                <w:color w:val="0D0D0D"/>
                <w:spacing w:val="-4"/>
                <w:sz w:val="22"/>
              </w:rPr>
              <w:t>15.0</w:t>
            </w:r>
          </w:p>
        </w:tc>
        <w:tc>
          <w:tcPr>
            <w:tcW w:w="718" w:type="dxa"/>
          </w:tcPr>
          <w:p>
            <w:pPr>
              <w:pStyle w:val="TableParagraph"/>
              <w:ind w:left="130"/>
              <w:jc w:val="left"/>
              <w:rPr>
                <w:sz w:val="22"/>
              </w:rPr>
            </w:pPr>
            <w:r>
              <w:rPr>
                <w:color w:val="0D0D0D"/>
                <w:spacing w:val="-4"/>
                <w:sz w:val="22"/>
              </w:rPr>
              <w:t>13.8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98.8</w:t>
            </w:r>
          </w:p>
        </w:tc>
        <w:tc>
          <w:tcPr>
            <w:tcW w:w="762" w:type="dxa"/>
          </w:tcPr>
          <w:p>
            <w:pPr>
              <w:pStyle w:val="TableParagraph"/>
              <w:ind w:left="55"/>
              <w:rPr>
                <w:sz w:val="22"/>
              </w:rPr>
            </w:pPr>
            <w:r>
              <w:rPr>
                <w:color w:val="0D0D0D"/>
                <w:spacing w:val="-4"/>
                <w:sz w:val="22"/>
              </w:rPr>
              <w:t>124.0</w:t>
            </w:r>
          </w:p>
        </w:tc>
        <w:tc>
          <w:tcPr>
            <w:tcW w:w="748" w:type="dxa"/>
          </w:tcPr>
          <w:p>
            <w:pPr>
              <w:pStyle w:val="TableParagraph"/>
              <w:ind w:left="8" w:right="44"/>
              <w:rPr>
                <w:sz w:val="22"/>
              </w:rPr>
            </w:pPr>
            <w:r>
              <w:rPr>
                <w:color w:val="0D0D0D"/>
                <w:spacing w:val="-4"/>
                <w:sz w:val="22"/>
              </w:rPr>
              <w:t>133.5</w:t>
            </w:r>
          </w:p>
        </w:tc>
        <w:tc>
          <w:tcPr>
            <w:tcW w:w="694" w:type="dxa"/>
          </w:tcPr>
          <w:p>
            <w:pPr>
              <w:pStyle w:val="TableParagraph"/>
              <w:ind w:right="14"/>
              <w:rPr>
                <w:sz w:val="22"/>
              </w:rPr>
            </w:pPr>
            <w:r>
              <w:rPr>
                <w:color w:val="0D0D0D"/>
                <w:spacing w:val="-4"/>
                <w:sz w:val="22"/>
              </w:rPr>
              <w:t>75.0</w:t>
            </w:r>
          </w:p>
        </w:tc>
        <w:tc>
          <w:tcPr>
            <w:tcW w:w="722" w:type="dxa"/>
          </w:tcPr>
          <w:p>
            <w:pPr>
              <w:pStyle w:val="TableParagraph"/>
              <w:ind w:right="5"/>
              <w:rPr>
                <w:sz w:val="22"/>
              </w:rPr>
            </w:pPr>
            <w:r>
              <w:rPr>
                <w:color w:val="0D0D0D"/>
                <w:spacing w:val="-4"/>
                <w:sz w:val="22"/>
              </w:rPr>
              <w:t>78.3</w:t>
            </w:r>
          </w:p>
        </w:tc>
        <w:tc>
          <w:tcPr>
            <w:tcW w:w="778" w:type="dxa"/>
          </w:tcPr>
          <w:p>
            <w:pPr>
              <w:pStyle w:val="TableParagraph"/>
              <w:ind w:left="174"/>
              <w:jc w:val="left"/>
              <w:rPr>
                <w:sz w:val="22"/>
              </w:rPr>
            </w:pPr>
            <w:r>
              <w:rPr>
                <w:color w:val="0D0D0D"/>
                <w:spacing w:val="-4"/>
                <w:sz w:val="22"/>
              </w:rPr>
              <w:t>91.0</w:t>
            </w:r>
          </w:p>
        </w:tc>
        <w:tc>
          <w:tcPr>
            <w:tcW w:w="780" w:type="dxa"/>
          </w:tcPr>
          <w:p>
            <w:pPr>
              <w:pStyle w:val="TableParagraph"/>
              <w:ind w:right="175"/>
              <w:rPr>
                <w:sz w:val="22"/>
              </w:rPr>
            </w:pPr>
            <w:r>
              <w:rPr>
                <w:color w:val="0D0D0D"/>
                <w:spacing w:val="-4"/>
                <w:sz w:val="22"/>
              </w:rPr>
              <w:t>96.7</w:t>
            </w:r>
          </w:p>
        </w:tc>
      </w:tr>
      <w:tr>
        <w:trPr>
          <w:trHeight w:val="380" w:hRule="atLeast"/>
        </w:trPr>
        <w:tc>
          <w:tcPr>
            <w:tcW w:w="1262" w:type="dxa"/>
          </w:tcPr>
          <w:p>
            <w:pPr>
              <w:pStyle w:val="TableParagraph"/>
              <w:ind w:left="114"/>
              <w:jc w:val="left"/>
              <w:rPr>
                <w:b/>
                <w:sz w:val="22"/>
              </w:rPr>
            </w:pPr>
            <w:r>
              <w:rPr>
                <w:b/>
                <w:color w:val="0D0D0D"/>
                <w:spacing w:val="-2"/>
                <w:sz w:val="22"/>
              </w:rPr>
              <w:t>Cooper</w:t>
            </w:r>
          </w:p>
        </w:tc>
        <w:tc>
          <w:tcPr>
            <w:tcW w:w="565" w:type="dxa"/>
          </w:tcPr>
          <w:p>
            <w:pPr>
              <w:pStyle w:val="TableParagraph"/>
              <w:ind w:left="107"/>
              <w:jc w:val="left"/>
              <w:rPr>
                <w:sz w:val="22"/>
              </w:rPr>
            </w:pPr>
            <w:r>
              <w:rPr>
                <w:color w:val="0D0D0D"/>
                <w:spacing w:val="-5"/>
                <w:sz w:val="22"/>
              </w:rPr>
              <w:t>IV</w:t>
            </w:r>
          </w:p>
        </w:tc>
        <w:tc>
          <w:tcPr>
            <w:tcW w:w="708" w:type="dxa"/>
          </w:tcPr>
          <w:p>
            <w:pPr>
              <w:pStyle w:val="TableParagraph"/>
              <w:ind w:left="60"/>
              <w:rPr>
                <w:sz w:val="22"/>
              </w:rPr>
            </w:pPr>
            <w:r>
              <w:rPr>
                <w:color w:val="0D0D0D"/>
                <w:spacing w:val="-4"/>
                <w:sz w:val="22"/>
              </w:rPr>
              <w:t>38.6</w:t>
            </w:r>
          </w:p>
        </w:tc>
        <w:tc>
          <w:tcPr>
            <w:tcW w:w="870" w:type="dxa"/>
          </w:tcPr>
          <w:p>
            <w:pPr>
              <w:pStyle w:val="TableParagraph"/>
              <w:ind w:left="131"/>
              <w:jc w:val="left"/>
              <w:rPr>
                <w:sz w:val="22"/>
              </w:rPr>
            </w:pPr>
            <w:r>
              <w:rPr>
                <w:color w:val="0D0D0D"/>
                <w:spacing w:val="-2"/>
                <w:sz w:val="22"/>
              </w:rPr>
              <w:t>38.37</w:t>
            </w:r>
          </w:p>
        </w:tc>
        <w:tc>
          <w:tcPr>
            <w:tcW w:w="626" w:type="dxa"/>
          </w:tcPr>
          <w:p>
            <w:pPr>
              <w:pStyle w:val="TableParagraph"/>
              <w:ind w:left="133"/>
              <w:jc w:val="left"/>
              <w:rPr>
                <w:sz w:val="22"/>
              </w:rPr>
            </w:pPr>
            <w:r>
              <w:rPr>
                <w:color w:val="0D0D0D"/>
                <w:spacing w:val="-5"/>
                <w:sz w:val="22"/>
              </w:rPr>
              <w:t>125</w:t>
            </w:r>
          </w:p>
        </w:tc>
        <w:tc>
          <w:tcPr>
            <w:tcW w:w="797" w:type="dxa"/>
          </w:tcPr>
          <w:p>
            <w:pPr>
              <w:pStyle w:val="TableParagraph"/>
              <w:ind w:left="155"/>
              <w:jc w:val="left"/>
              <w:rPr>
                <w:sz w:val="22"/>
              </w:rPr>
            </w:pPr>
            <w:r>
              <w:rPr>
                <w:color w:val="0D0D0D"/>
                <w:spacing w:val="-4"/>
                <w:sz w:val="22"/>
              </w:rPr>
              <w:t>114.5</w:t>
            </w:r>
          </w:p>
        </w:tc>
        <w:tc>
          <w:tcPr>
            <w:tcW w:w="660" w:type="dxa"/>
          </w:tcPr>
          <w:p>
            <w:pPr>
              <w:pStyle w:val="TableParagraph"/>
              <w:ind w:left="11"/>
              <w:rPr>
                <w:sz w:val="22"/>
              </w:rPr>
            </w:pPr>
            <w:r>
              <w:rPr>
                <w:color w:val="0D0D0D"/>
                <w:spacing w:val="-4"/>
                <w:sz w:val="22"/>
              </w:rPr>
              <w:t>16.0</w:t>
            </w:r>
          </w:p>
        </w:tc>
        <w:tc>
          <w:tcPr>
            <w:tcW w:w="718" w:type="dxa"/>
          </w:tcPr>
          <w:p>
            <w:pPr>
              <w:pStyle w:val="TableParagraph"/>
              <w:ind w:left="130"/>
              <w:jc w:val="left"/>
              <w:rPr>
                <w:sz w:val="22"/>
              </w:rPr>
            </w:pPr>
            <w:r>
              <w:rPr>
                <w:color w:val="0D0D0D"/>
                <w:spacing w:val="-4"/>
                <w:sz w:val="22"/>
              </w:rPr>
              <w:t>12.5</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99.0</w:t>
            </w:r>
          </w:p>
        </w:tc>
        <w:tc>
          <w:tcPr>
            <w:tcW w:w="708" w:type="dxa"/>
          </w:tcPr>
          <w:p>
            <w:pPr>
              <w:pStyle w:val="TableParagraph"/>
              <w:ind w:left="60" w:right="55"/>
              <w:rPr>
                <w:sz w:val="22"/>
              </w:rPr>
            </w:pPr>
            <w:r>
              <w:rPr>
                <w:color w:val="0D0D0D"/>
                <w:spacing w:val="-4"/>
                <w:sz w:val="22"/>
              </w:rPr>
              <w:t>98.3</w:t>
            </w:r>
          </w:p>
        </w:tc>
        <w:tc>
          <w:tcPr>
            <w:tcW w:w="762" w:type="dxa"/>
          </w:tcPr>
          <w:p>
            <w:pPr>
              <w:pStyle w:val="TableParagraph"/>
              <w:ind w:left="55"/>
              <w:rPr>
                <w:sz w:val="22"/>
              </w:rPr>
            </w:pPr>
            <w:r>
              <w:rPr>
                <w:color w:val="0D0D0D"/>
                <w:spacing w:val="-4"/>
                <w:sz w:val="22"/>
              </w:rPr>
              <w:t>125.0</w:t>
            </w:r>
          </w:p>
        </w:tc>
        <w:tc>
          <w:tcPr>
            <w:tcW w:w="748" w:type="dxa"/>
          </w:tcPr>
          <w:p>
            <w:pPr>
              <w:pStyle w:val="TableParagraph"/>
              <w:ind w:left="8" w:right="44"/>
              <w:rPr>
                <w:sz w:val="22"/>
              </w:rPr>
            </w:pPr>
            <w:r>
              <w:rPr>
                <w:color w:val="0D0D0D"/>
                <w:spacing w:val="-4"/>
                <w:sz w:val="22"/>
              </w:rPr>
              <w:t>134.7</w:t>
            </w:r>
          </w:p>
        </w:tc>
        <w:tc>
          <w:tcPr>
            <w:tcW w:w="694" w:type="dxa"/>
          </w:tcPr>
          <w:p>
            <w:pPr>
              <w:pStyle w:val="TableParagraph"/>
              <w:ind w:right="14"/>
              <w:rPr>
                <w:sz w:val="22"/>
              </w:rPr>
            </w:pPr>
            <w:r>
              <w:rPr>
                <w:color w:val="0D0D0D"/>
                <w:spacing w:val="-4"/>
                <w:sz w:val="22"/>
              </w:rPr>
              <w:t>87.0</w:t>
            </w:r>
          </w:p>
        </w:tc>
        <w:tc>
          <w:tcPr>
            <w:tcW w:w="722" w:type="dxa"/>
          </w:tcPr>
          <w:p>
            <w:pPr>
              <w:pStyle w:val="TableParagraph"/>
              <w:ind w:right="5"/>
              <w:rPr>
                <w:sz w:val="22"/>
              </w:rPr>
            </w:pPr>
            <w:r>
              <w:rPr>
                <w:color w:val="0D0D0D"/>
                <w:spacing w:val="-4"/>
                <w:sz w:val="22"/>
              </w:rPr>
              <w:t>90.3</w:t>
            </w:r>
          </w:p>
        </w:tc>
        <w:tc>
          <w:tcPr>
            <w:tcW w:w="778" w:type="dxa"/>
          </w:tcPr>
          <w:p>
            <w:pPr>
              <w:pStyle w:val="TableParagraph"/>
              <w:ind w:left="174"/>
              <w:jc w:val="left"/>
              <w:rPr>
                <w:sz w:val="22"/>
              </w:rPr>
            </w:pPr>
            <w:r>
              <w:rPr>
                <w:color w:val="0D0D0D"/>
                <w:spacing w:val="-4"/>
                <w:sz w:val="22"/>
              </w:rPr>
              <w:t>100.0</w:t>
            </w:r>
          </w:p>
        </w:tc>
        <w:tc>
          <w:tcPr>
            <w:tcW w:w="780" w:type="dxa"/>
          </w:tcPr>
          <w:p>
            <w:pPr>
              <w:pStyle w:val="TableParagraph"/>
              <w:ind w:left="20" w:right="83"/>
              <w:rPr>
                <w:sz w:val="22"/>
              </w:rPr>
            </w:pPr>
            <w:r>
              <w:rPr>
                <w:color w:val="0D0D0D"/>
                <w:spacing w:val="-4"/>
                <w:sz w:val="22"/>
              </w:rPr>
              <w:t>105.0</w:t>
            </w:r>
          </w:p>
        </w:tc>
      </w:tr>
      <w:tr>
        <w:trPr>
          <w:trHeight w:val="380" w:hRule="atLeast"/>
        </w:trPr>
        <w:tc>
          <w:tcPr>
            <w:tcW w:w="1262" w:type="dxa"/>
          </w:tcPr>
          <w:p>
            <w:pPr>
              <w:pStyle w:val="TableParagraph"/>
              <w:ind w:left="114"/>
              <w:jc w:val="left"/>
              <w:rPr>
                <w:b/>
                <w:sz w:val="22"/>
              </w:rPr>
            </w:pPr>
            <w:r>
              <w:rPr>
                <w:b/>
                <w:color w:val="0D0D0D"/>
                <w:spacing w:val="-2"/>
                <w:sz w:val="22"/>
              </w:rPr>
              <w:t>Milla</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38.5</w:t>
            </w:r>
          </w:p>
        </w:tc>
        <w:tc>
          <w:tcPr>
            <w:tcW w:w="870" w:type="dxa"/>
          </w:tcPr>
          <w:p>
            <w:pPr>
              <w:pStyle w:val="TableParagraph"/>
              <w:ind w:left="131"/>
              <w:jc w:val="left"/>
              <w:rPr>
                <w:sz w:val="22"/>
              </w:rPr>
            </w:pPr>
            <w:r>
              <w:rPr>
                <w:color w:val="0D0D0D"/>
                <w:spacing w:val="-2"/>
                <w:sz w:val="22"/>
              </w:rPr>
              <w:t>38.217</w:t>
            </w:r>
          </w:p>
        </w:tc>
        <w:tc>
          <w:tcPr>
            <w:tcW w:w="626" w:type="dxa"/>
          </w:tcPr>
          <w:p>
            <w:pPr>
              <w:pStyle w:val="TableParagraph"/>
              <w:ind w:left="133"/>
              <w:jc w:val="left"/>
              <w:rPr>
                <w:sz w:val="22"/>
              </w:rPr>
            </w:pPr>
            <w:r>
              <w:rPr>
                <w:color w:val="0D0D0D"/>
                <w:spacing w:val="-5"/>
                <w:sz w:val="22"/>
              </w:rPr>
              <w:t>138</w:t>
            </w:r>
          </w:p>
        </w:tc>
        <w:tc>
          <w:tcPr>
            <w:tcW w:w="797" w:type="dxa"/>
          </w:tcPr>
          <w:p>
            <w:pPr>
              <w:pStyle w:val="TableParagraph"/>
              <w:ind w:left="155"/>
              <w:jc w:val="left"/>
              <w:rPr>
                <w:sz w:val="22"/>
              </w:rPr>
            </w:pPr>
            <w:r>
              <w:rPr>
                <w:color w:val="0D0D0D"/>
                <w:spacing w:val="-4"/>
                <w:sz w:val="22"/>
              </w:rPr>
              <w:t>120.8</w:t>
            </w:r>
          </w:p>
        </w:tc>
        <w:tc>
          <w:tcPr>
            <w:tcW w:w="660" w:type="dxa"/>
          </w:tcPr>
          <w:p>
            <w:pPr>
              <w:pStyle w:val="TableParagraph"/>
              <w:ind w:left="11"/>
              <w:rPr>
                <w:sz w:val="22"/>
              </w:rPr>
            </w:pPr>
            <w:r>
              <w:rPr>
                <w:color w:val="0D0D0D"/>
                <w:spacing w:val="-4"/>
                <w:sz w:val="22"/>
              </w:rPr>
              <w:t>14.0</w:t>
            </w:r>
          </w:p>
        </w:tc>
        <w:tc>
          <w:tcPr>
            <w:tcW w:w="718" w:type="dxa"/>
          </w:tcPr>
          <w:p>
            <w:pPr>
              <w:pStyle w:val="TableParagraph"/>
              <w:ind w:left="130"/>
              <w:jc w:val="left"/>
              <w:rPr>
                <w:sz w:val="22"/>
              </w:rPr>
            </w:pPr>
            <w:r>
              <w:rPr>
                <w:color w:val="0D0D0D"/>
                <w:spacing w:val="-4"/>
                <w:sz w:val="22"/>
              </w:rPr>
              <w:t>11.7</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98.5</w:t>
            </w:r>
          </w:p>
        </w:tc>
        <w:tc>
          <w:tcPr>
            <w:tcW w:w="762" w:type="dxa"/>
          </w:tcPr>
          <w:p>
            <w:pPr>
              <w:pStyle w:val="TableParagraph"/>
              <w:ind w:left="55"/>
              <w:rPr>
                <w:sz w:val="22"/>
              </w:rPr>
            </w:pPr>
            <w:r>
              <w:rPr>
                <w:color w:val="0D0D0D"/>
                <w:spacing w:val="-4"/>
                <w:sz w:val="22"/>
              </w:rPr>
              <w:t>129.0</w:t>
            </w:r>
          </w:p>
        </w:tc>
        <w:tc>
          <w:tcPr>
            <w:tcW w:w="748" w:type="dxa"/>
          </w:tcPr>
          <w:p>
            <w:pPr>
              <w:pStyle w:val="TableParagraph"/>
              <w:ind w:left="8" w:right="44"/>
              <w:rPr>
                <w:sz w:val="22"/>
              </w:rPr>
            </w:pPr>
            <w:r>
              <w:rPr>
                <w:color w:val="0D0D0D"/>
                <w:spacing w:val="-4"/>
                <w:sz w:val="22"/>
              </w:rPr>
              <w:t>139.0</w:t>
            </w:r>
          </w:p>
        </w:tc>
        <w:tc>
          <w:tcPr>
            <w:tcW w:w="694" w:type="dxa"/>
          </w:tcPr>
          <w:p>
            <w:pPr>
              <w:pStyle w:val="TableParagraph"/>
              <w:ind w:right="14"/>
              <w:rPr>
                <w:sz w:val="22"/>
              </w:rPr>
            </w:pPr>
            <w:r>
              <w:rPr>
                <w:color w:val="0D0D0D"/>
                <w:spacing w:val="-4"/>
                <w:sz w:val="22"/>
              </w:rPr>
              <w:t>77.0</w:t>
            </w:r>
          </w:p>
        </w:tc>
        <w:tc>
          <w:tcPr>
            <w:tcW w:w="722" w:type="dxa"/>
          </w:tcPr>
          <w:p>
            <w:pPr>
              <w:pStyle w:val="TableParagraph"/>
              <w:ind w:right="5"/>
              <w:rPr>
                <w:sz w:val="22"/>
              </w:rPr>
            </w:pPr>
            <w:r>
              <w:rPr>
                <w:color w:val="0D0D0D"/>
                <w:spacing w:val="-4"/>
                <w:sz w:val="22"/>
              </w:rPr>
              <w:t>84.5</w:t>
            </w:r>
          </w:p>
        </w:tc>
        <w:tc>
          <w:tcPr>
            <w:tcW w:w="778" w:type="dxa"/>
          </w:tcPr>
          <w:p>
            <w:pPr>
              <w:pStyle w:val="TableParagraph"/>
              <w:ind w:left="174"/>
              <w:jc w:val="left"/>
              <w:rPr>
                <w:sz w:val="22"/>
              </w:rPr>
            </w:pPr>
            <w:r>
              <w:rPr>
                <w:color w:val="0D0D0D"/>
                <w:spacing w:val="-4"/>
                <w:sz w:val="22"/>
              </w:rPr>
              <w:t>94.0</w:t>
            </w:r>
          </w:p>
        </w:tc>
        <w:tc>
          <w:tcPr>
            <w:tcW w:w="780" w:type="dxa"/>
          </w:tcPr>
          <w:p>
            <w:pPr>
              <w:pStyle w:val="TableParagraph"/>
              <w:ind w:left="20" w:right="83"/>
              <w:rPr>
                <w:sz w:val="22"/>
              </w:rPr>
            </w:pPr>
            <w:r>
              <w:rPr>
                <w:color w:val="0D0D0D"/>
                <w:spacing w:val="-4"/>
                <w:sz w:val="22"/>
              </w:rPr>
              <w:t>102.8</w:t>
            </w:r>
          </w:p>
        </w:tc>
      </w:tr>
      <w:tr>
        <w:trPr>
          <w:trHeight w:val="378" w:hRule="atLeast"/>
        </w:trPr>
        <w:tc>
          <w:tcPr>
            <w:tcW w:w="1262" w:type="dxa"/>
          </w:tcPr>
          <w:p>
            <w:pPr>
              <w:pStyle w:val="TableParagraph"/>
              <w:ind w:left="114"/>
              <w:jc w:val="left"/>
              <w:rPr>
                <w:b/>
                <w:sz w:val="22"/>
              </w:rPr>
            </w:pPr>
            <w:r>
              <w:rPr>
                <w:b/>
                <w:color w:val="0D0D0D"/>
                <w:spacing w:val="-2"/>
                <w:sz w:val="22"/>
              </w:rPr>
              <w:t>Molly</w:t>
            </w:r>
          </w:p>
        </w:tc>
        <w:tc>
          <w:tcPr>
            <w:tcW w:w="565" w:type="dxa"/>
          </w:tcPr>
          <w:p>
            <w:pPr>
              <w:pStyle w:val="TableParagraph"/>
              <w:ind w:left="107"/>
              <w:jc w:val="left"/>
              <w:rPr>
                <w:sz w:val="22"/>
              </w:rPr>
            </w:pPr>
            <w:r>
              <w:rPr>
                <w:color w:val="0D0D0D"/>
                <w:spacing w:val="-5"/>
                <w:sz w:val="22"/>
              </w:rPr>
              <w:t>IM</w:t>
            </w:r>
          </w:p>
        </w:tc>
        <w:tc>
          <w:tcPr>
            <w:tcW w:w="708" w:type="dxa"/>
          </w:tcPr>
          <w:p>
            <w:pPr>
              <w:pStyle w:val="TableParagraph"/>
              <w:ind w:left="60"/>
              <w:rPr>
                <w:sz w:val="22"/>
              </w:rPr>
            </w:pPr>
            <w:r>
              <w:rPr>
                <w:color w:val="0D0D0D"/>
                <w:spacing w:val="-4"/>
                <w:sz w:val="22"/>
              </w:rPr>
              <w:t>38.6</w:t>
            </w:r>
          </w:p>
        </w:tc>
        <w:tc>
          <w:tcPr>
            <w:tcW w:w="870" w:type="dxa"/>
          </w:tcPr>
          <w:p>
            <w:pPr>
              <w:pStyle w:val="TableParagraph"/>
              <w:ind w:left="131"/>
              <w:jc w:val="left"/>
              <w:rPr>
                <w:sz w:val="22"/>
              </w:rPr>
            </w:pPr>
            <w:r>
              <w:rPr>
                <w:color w:val="0D0D0D"/>
                <w:spacing w:val="-2"/>
                <w:sz w:val="22"/>
              </w:rPr>
              <w:t>38.45</w:t>
            </w:r>
          </w:p>
        </w:tc>
        <w:tc>
          <w:tcPr>
            <w:tcW w:w="626" w:type="dxa"/>
          </w:tcPr>
          <w:p>
            <w:pPr>
              <w:pStyle w:val="TableParagraph"/>
              <w:ind w:left="133"/>
              <w:jc w:val="left"/>
              <w:rPr>
                <w:sz w:val="22"/>
              </w:rPr>
            </w:pPr>
            <w:r>
              <w:rPr>
                <w:color w:val="0D0D0D"/>
                <w:spacing w:val="-5"/>
                <w:sz w:val="22"/>
              </w:rPr>
              <w:t>135</w:t>
            </w:r>
          </w:p>
        </w:tc>
        <w:tc>
          <w:tcPr>
            <w:tcW w:w="797" w:type="dxa"/>
          </w:tcPr>
          <w:p>
            <w:pPr>
              <w:pStyle w:val="TableParagraph"/>
              <w:ind w:left="155"/>
              <w:jc w:val="left"/>
              <w:rPr>
                <w:sz w:val="22"/>
              </w:rPr>
            </w:pPr>
            <w:r>
              <w:rPr>
                <w:color w:val="0D0D0D"/>
                <w:spacing w:val="-4"/>
                <w:sz w:val="22"/>
              </w:rPr>
              <w:t>125.2</w:t>
            </w:r>
          </w:p>
        </w:tc>
        <w:tc>
          <w:tcPr>
            <w:tcW w:w="660" w:type="dxa"/>
          </w:tcPr>
          <w:p>
            <w:pPr>
              <w:pStyle w:val="TableParagraph"/>
              <w:ind w:left="11"/>
              <w:rPr>
                <w:sz w:val="22"/>
              </w:rPr>
            </w:pPr>
            <w:r>
              <w:rPr>
                <w:color w:val="0D0D0D"/>
                <w:spacing w:val="-4"/>
                <w:sz w:val="22"/>
              </w:rPr>
              <w:t>14.0</w:t>
            </w:r>
          </w:p>
        </w:tc>
        <w:tc>
          <w:tcPr>
            <w:tcW w:w="718" w:type="dxa"/>
          </w:tcPr>
          <w:p>
            <w:pPr>
              <w:pStyle w:val="TableParagraph"/>
              <w:ind w:left="130"/>
              <w:jc w:val="left"/>
              <w:rPr>
                <w:sz w:val="22"/>
              </w:rPr>
            </w:pPr>
            <w:r>
              <w:rPr>
                <w:color w:val="0D0D0D"/>
                <w:spacing w:val="-4"/>
                <w:sz w:val="22"/>
              </w:rPr>
              <w:t>11.7</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34" w:type="dxa"/>
          </w:tcPr>
          <w:p>
            <w:pPr>
              <w:pStyle w:val="TableParagraph"/>
              <w:ind w:left="22"/>
              <w:rPr>
                <w:sz w:val="22"/>
              </w:rPr>
            </w:pPr>
            <w:r>
              <w:rPr>
                <w:color w:val="0D0D0D"/>
                <w:spacing w:val="-4"/>
                <w:sz w:val="22"/>
              </w:rPr>
              <w:t>98.0</w:t>
            </w:r>
          </w:p>
        </w:tc>
        <w:tc>
          <w:tcPr>
            <w:tcW w:w="708" w:type="dxa"/>
          </w:tcPr>
          <w:p>
            <w:pPr>
              <w:pStyle w:val="TableParagraph"/>
              <w:ind w:left="60" w:right="55"/>
              <w:rPr>
                <w:sz w:val="22"/>
              </w:rPr>
            </w:pPr>
            <w:r>
              <w:rPr>
                <w:color w:val="0D0D0D"/>
                <w:spacing w:val="-4"/>
                <w:sz w:val="22"/>
              </w:rPr>
              <w:t>98.7</w:t>
            </w:r>
          </w:p>
        </w:tc>
        <w:tc>
          <w:tcPr>
            <w:tcW w:w="762" w:type="dxa"/>
          </w:tcPr>
          <w:p>
            <w:pPr>
              <w:pStyle w:val="TableParagraph"/>
              <w:ind w:left="55"/>
              <w:rPr>
                <w:sz w:val="22"/>
              </w:rPr>
            </w:pPr>
            <w:r>
              <w:rPr>
                <w:color w:val="0D0D0D"/>
                <w:spacing w:val="-4"/>
                <w:sz w:val="22"/>
              </w:rPr>
              <w:t>127.0</w:t>
            </w:r>
          </w:p>
        </w:tc>
        <w:tc>
          <w:tcPr>
            <w:tcW w:w="748" w:type="dxa"/>
          </w:tcPr>
          <w:p>
            <w:pPr>
              <w:pStyle w:val="TableParagraph"/>
              <w:ind w:left="8" w:right="44"/>
              <w:rPr>
                <w:sz w:val="22"/>
              </w:rPr>
            </w:pPr>
            <w:r>
              <w:rPr>
                <w:color w:val="0D0D0D"/>
                <w:spacing w:val="-4"/>
                <w:sz w:val="22"/>
              </w:rPr>
              <w:t>135.0</w:t>
            </w:r>
          </w:p>
        </w:tc>
        <w:tc>
          <w:tcPr>
            <w:tcW w:w="694" w:type="dxa"/>
          </w:tcPr>
          <w:p>
            <w:pPr>
              <w:pStyle w:val="TableParagraph"/>
              <w:ind w:right="14"/>
              <w:rPr>
                <w:sz w:val="22"/>
              </w:rPr>
            </w:pPr>
            <w:r>
              <w:rPr>
                <w:color w:val="0D0D0D"/>
                <w:spacing w:val="-4"/>
                <w:sz w:val="22"/>
              </w:rPr>
              <w:t>78.0</w:t>
            </w:r>
          </w:p>
        </w:tc>
        <w:tc>
          <w:tcPr>
            <w:tcW w:w="722" w:type="dxa"/>
          </w:tcPr>
          <w:p>
            <w:pPr>
              <w:pStyle w:val="TableParagraph"/>
              <w:ind w:right="5"/>
              <w:rPr>
                <w:sz w:val="22"/>
              </w:rPr>
            </w:pPr>
            <w:r>
              <w:rPr>
                <w:color w:val="0D0D0D"/>
                <w:spacing w:val="-4"/>
                <w:sz w:val="22"/>
              </w:rPr>
              <w:t>87.7</w:t>
            </w:r>
          </w:p>
        </w:tc>
        <w:tc>
          <w:tcPr>
            <w:tcW w:w="778" w:type="dxa"/>
          </w:tcPr>
          <w:p>
            <w:pPr>
              <w:pStyle w:val="TableParagraph"/>
              <w:ind w:left="174"/>
              <w:jc w:val="left"/>
              <w:rPr>
                <w:sz w:val="22"/>
              </w:rPr>
            </w:pPr>
            <w:r>
              <w:rPr>
                <w:color w:val="0D0D0D"/>
                <w:spacing w:val="-4"/>
                <w:sz w:val="22"/>
              </w:rPr>
              <w:t>94.0</w:t>
            </w:r>
          </w:p>
        </w:tc>
        <w:tc>
          <w:tcPr>
            <w:tcW w:w="780" w:type="dxa"/>
          </w:tcPr>
          <w:p>
            <w:pPr>
              <w:pStyle w:val="TableParagraph"/>
              <w:ind w:left="20" w:right="83"/>
              <w:rPr>
                <w:sz w:val="22"/>
              </w:rPr>
            </w:pPr>
            <w:r>
              <w:rPr>
                <w:color w:val="0D0D0D"/>
                <w:spacing w:val="-4"/>
                <w:sz w:val="22"/>
              </w:rPr>
              <w:t>103.3</w:t>
            </w:r>
          </w:p>
        </w:tc>
      </w:tr>
      <w:tr>
        <w:trPr>
          <w:trHeight w:val="441" w:hRule="atLeast"/>
        </w:trPr>
        <w:tc>
          <w:tcPr>
            <w:tcW w:w="1262" w:type="dxa"/>
            <w:tcBorders>
              <w:bottom w:val="single" w:sz="4" w:space="0" w:color="000000"/>
            </w:tcBorders>
          </w:tcPr>
          <w:p>
            <w:pPr>
              <w:pStyle w:val="TableParagraph"/>
              <w:spacing w:before="57"/>
              <w:ind w:left="114"/>
              <w:jc w:val="left"/>
              <w:rPr>
                <w:b/>
                <w:sz w:val="22"/>
              </w:rPr>
            </w:pPr>
            <w:r>
              <w:rPr>
                <w:b/>
                <w:color w:val="0D0D0D"/>
                <w:spacing w:val="-4"/>
                <w:sz w:val="22"/>
              </w:rPr>
              <w:t>Luna</w:t>
            </w:r>
          </w:p>
        </w:tc>
        <w:tc>
          <w:tcPr>
            <w:tcW w:w="565" w:type="dxa"/>
            <w:tcBorders>
              <w:bottom w:val="single" w:sz="4" w:space="0" w:color="000000"/>
            </w:tcBorders>
          </w:tcPr>
          <w:p>
            <w:pPr>
              <w:pStyle w:val="TableParagraph"/>
              <w:spacing w:before="57"/>
              <w:ind w:left="107"/>
              <w:jc w:val="left"/>
              <w:rPr>
                <w:sz w:val="22"/>
              </w:rPr>
            </w:pPr>
            <w:r>
              <w:rPr>
                <w:color w:val="0D0D0D"/>
                <w:spacing w:val="-5"/>
                <w:sz w:val="22"/>
              </w:rPr>
              <w:t>IV</w:t>
            </w:r>
          </w:p>
        </w:tc>
        <w:tc>
          <w:tcPr>
            <w:tcW w:w="708" w:type="dxa"/>
            <w:tcBorders>
              <w:bottom w:val="single" w:sz="4" w:space="0" w:color="000000"/>
            </w:tcBorders>
          </w:tcPr>
          <w:p>
            <w:pPr>
              <w:pStyle w:val="TableParagraph"/>
              <w:spacing w:before="57"/>
              <w:ind w:left="60"/>
              <w:rPr>
                <w:sz w:val="22"/>
              </w:rPr>
            </w:pPr>
            <w:r>
              <w:rPr>
                <w:color w:val="0D0D0D"/>
                <w:spacing w:val="-4"/>
                <w:sz w:val="22"/>
              </w:rPr>
              <w:t>38.1</w:t>
            </w:r>
          </w:p>
        </w:tc>
        <w:tc>
          <w:tcPr>
            <w:tcW w:w="870" w:type="dxa"/>
            <w:tcBorders>
              <w:bottom w:val="single" w:sz="4" w:space="0" w:color="000000"/>
            </w:tcBorders>
          </w:tcPr>
          <w:p>
            <w:pPr>
              <w:pStyle w:val="TableParagraph"/>
              <w:spacing w:before="57"/>
              <w:ind w:left="131"/>
              <w:jc w:val="left"/>
              <w:rPr>
                <w:sz w:val="22"/>
              </w:rPr>
            </w:pPr>
            <w:r>
              <w:rPr>
                <w:color w:val="0D0D0D"/>
                <w:spacing w:val="-2"/>
                <w:sz w:val="22"/>
              </w:rPr>
              <w:t>38.13</w:t>
            </w:r>
          </w:p>
        </w:tc>
        <w:tc>
          <w:tcPr>
            <w:tcW w:w="626" w:type="dxa"/>
            <w:tcBorders>
              <w:bottom w:val="single" w:sz="4" w:space="0" w:color="000000"/>
            </w:tcBorders>
          </w:tcPr>
          <w:p>
            <w:pPr>
              <w:pStyle w:val="TableParagraph"/>
              <w:spacing w:before="57"/>
              <w:ind w:left="133"/>
              <w:jc w:val="left"/>
              <w:rPr>
                <w:sz w:val="22"/>
              </w:rPr>
            </w:pPr>
            <w:r>
              <w:rPr>
                <w:color w:val="0D0D0D"/>
                <w:spacing w:val="-5"/>
                <w:sz w:val="22"/>
              </w:rPr>
              <w:t>111</w:t>
            </w:r>
          </w:p>
        </w:tc>
        <w:tc>
          <w:tcPr>
            <w:tcW w:w="797" w:type="dxa"/>
            <w:tcBorders>
              <w:bottom w:val="single" w:sz="4" w:space="0" w:color="000000"/>
            </w:tcBorders>
          </w:tcPr>
          <w:p>
            <w:pPr>
              <w:pStyle w:val="TableParagraph"/>
              <w:spacing w:before="57"/>
              <w:ind w:left="155"/>
              <w:jc w:val="left"/>
              <w:rPr>
                <w:sz w:val="22"/>
              </w:rPr>
            </w:pPr>
            <w:r>
              <w:rPr>
                <w:color w:val="0D0D0D"/>
                <w:spacing w:val="-4"/>
                <w:sz w:val="22"/>
              </w:rPr>
              <w:t>91.8</w:t>
            </w:r>
          </w:p>
        </w:tc>
        <w:tc>
          <w:tcPr>
            <w:tcW w:w="660" w:type="dxa"/>
            <w:tcBorders>
              <w:bottom w:val="single" w:sz="4" w:space="0" w:color="000000"/>
            </w:tcBorders>
          </w:tcPr>
          <w:p>
            <w:pPr>
              <w:pStyle w:val="TableParagraph"/>
              <w:spacing w:before="57"/>
              <w:ind w:left="11"/>
              <w:rPr>
                <w:sz w:val="22"/>
              </w:rPr>
            </w:pPr>
            <w:r>
              <w:rPr>
                <w:color w:val="0D0D0D"/>
                <w:spacing w:val="-4"/>
                <w:sz w:val="22"/>
              </w:rPr>
              <w:t>13.0</w:t>
            </w:r>
          </w:p>
        </w:tc>
        <w:tc>
          <w:tcPr>
            <w:tcW w:w="718" w:type="dxa"/>
            <w:tcBorders>
              <w:bottom w:val="single" w:sz="4" w:space="0" w:color="000000"/>
            </w:tcBorders>
          </w:tcPr>
          <w:p>
            <w:pPr>
              <w:pStyle w:val="TableParagraph"/>
              <w:spacing w:before="57"/>
              <w:ind w:left="130"/>
              <w:jc w:val="left"/>
              <w:rPr>
                <w:sz w:val="22"/>
              </w:rPr>
            </w:pPr>
            <w:r>
              <w:rPr>
                <w:color w:val="0D0D0D"/>
                <w:spacing w:val="-5"/>
                <w:sz w:val="22"/>
              </w:rPr>
              <w:t>8.8</w:t>
            </w:r>
          </w:p>
        </w:tc>
        <w:tc>
          <w:tcPr>
            <w:tcW w:w="664" w:type="dxa"/>
            <w:tcBorders>
              <w:bottom w:val="single" w:sz="4" w:space="0" w:color="000000"/>
            </w:tcBorders>
          </w:tcPr>
          <w:p>
            <w:pPr>
              <w:pStyle w:val="TableParagraph"/>
              <w:spacing w:before="57"/>
              <w:ind w:left="16"/>
              <w:rPr>
                <w:sz w:val="22"/>
              </w:rPr>
            </w:pPr>
            <w:r>
              <w:rPr>
                <w:color w:val="0D0D0D"/>
                <w:spacing w:val="-5"/>
                <w:sz w:val="22"/>
              </w:rPr>
              <w:t>2.0</w:t>
            </w:r>
          </w:p>
        </w:tc>
        <w:tc>
          <w:tcPr>
            <w:tcW w:w="648" w:type="dxa"/>
            <w:tcBorders>
              <w:bottom w:val="single" w:sz="4" w:space="0" w:color="000000"/>
            </w:tcBorders>
          </w:tcPr>
          <w:p>
            <w:pPr>
              <w:pStyle w:val="TableParagraph"/>
              <w:spacing w:before="57"/>
              <w:rPr>
                <w:sz w:val="22"/>
              </w:rPr>
            </w:pPr>
            <w:r>
              <w:rPr>
                <w:color w:val="0D0D0D"/>
                <w:spacing w:val="-5"/>
                <w:sz w:val="22"/>
              </w:rPr>
              <w:t>2.0</w:t>
            </w:r>
          </w:p>
        </w:tc>
        <w:tc>
          <w:tcPr>
            <w:tcW w:w="734" w:type="dxa"/>
            <w:tcBorders>
              <w:bottom w:val="single" w:sz="4" w:space="0" w:color="000000"/>
            </w:tcBorders>
          </w:tcPr>
          <w:p>
            <w:pPr>
              <w:pStyle w:val="TableParagraph"/>
              <w:spacing w:before="57"/>
              <w:ind w:left="22"/>
              <w:rPr>
                <w:sz w:val="22"/>
              </w:rPr>
            </w:pPr>
            <w:r>
              <w:rPr>
                <w:color w:val="0D0D0D"/>
                <w:spacing w:val="-4"/>
                <w:sz w:val="22"/>
              </w:rPr>
              <w:t>99.0</w:t>
            </w:r>
          </w:p>
        </w:tc>
        <w:tc>
          <w:tcPr>
            <w:tcW w:w="708" w:type="dxa"/>
            <w:tcBorders>
              <w:bottom w:val="single" w:sz="4" w:space="0" w:color="000000"/>
            </w:tcBorders>
          </w:tcPr>
          <w:p>
            <w:pPr>
              <w:pStyle w:val="TableParagraph"/>
              <w:spacing w:before="57"/>
              <w:ind w:left="60" w:right="55"/>
              <w:rPr>
                <w:sz w:val="22"/>
              </w:rPr>
            </w:pPr>
            <w:r>
              <w:rPr>
                <w:color w:val="0D0D0D"/>
                <w:spacing w:val="-4"/>
                <w:sz w:val="22"/>
              </w:rPr>
              <w:t>98.3</w:t>
            </w:r>
          </w:p>
        </w:tc>
        <w:tc>
          <w:tcPr>
            <w:tcW w:w="762" w:type="dxa"/>
            <w:tcBorders>
              <w:bottom w:val="single" w:sz="4" w:space="0" w:color="000000"/>
            </w:tcBorders>
          </w:tcPr>
          <w:p>
            <w:pPr>
              <w:pStyle w:val="TableParagraph"/>
              <w:spacing w:before="57"/>
              <w:ind w:left="55"/>
              <w:rPr>
                <w:sz w:val="22"/>
              </w:rPr>
            </w:pPr>
            <w:r>
              <w:rPr>
                <w:color w:val="0D0D0D"/>
                <w:spacing w:val="-4"/>
                <w:sz w:val="22"/>
              </w:rPr>
              <w:t>145.0</w:t>
            </w:r>
          </w:p>
        </w:tc>
        <w:tc>
          <w:tcPr>
            <w:tcW w:w="748" w:type="dxa"/>
            <w:tcBorders>
              <w:bottom w:val="single" w:sz="4" w:space="0" w:color="000000"/>
            </w:tcBorders>
          </w:tcPr>
          <w:p>
            <w:pPr>
              <w:pStyle w:val="TableParagraph"/>
              <w:spacing w:before="57"/>
              <w:ind w:left="8" w:right="44"/>
              <w:rPr>
                <w:sz w:val="22"/>
              </w:rPr>
            </w:pPr>
            <w:r>
              <w:rPr>
                <w:color w:val="0D0D0D"/>
                <w:spacing w:val="-4"/>
                <w:sz w:val="22"/>
              </w:rPr>
              <w:t>151.3</w:t>
            </w:r>
          </w:p>
        </w:tc>
        <w:tc>
          <w:tcPr>
            <w:tcW w:w="694" w:type="dxa"/>
            <w:tcBorders>
              <w:bottom w:val="single" w:sz="4" w:space="0" w:color="000000"/>
            </w:tcBorders>
          </w:tcPr>
          <w:p>
            <w:pPr>
              <w:pStyle w:val="TableParagraph"/>
              <w:spacing w:before="57"/>
              <w:ind w:right="14"/>
              <w:rPr>
                <w:sz w:val="22"/>
              </w:rPr>
            </w:pPr>
            <w:r>
              <w:rPr>
                <w:color w:val="0D0D0D"/>
                <w:spacing w:val="-4"/>
                <w:sz w:val="22"/>
              </w:rPr>
              <w:t>85.0</w:t>
            </w:r>
          </w:p>
        </w:tc>
        <w:tc>
          <w:tcPr>
            <w:tcW w:w="722" w:type="dxa"/>
            <w:tcBorders>
              <w:bottom w:val="single" w:sz="4" w:space="0" w:color="000000"/>
            </w:tcBorders>
          </w:tcPr>
          <w:p>
            <w:pPr>
              <w:pStyle w:val="TableParagraph"/>
              <w:spacing w:before="57"/>
              <w:ind w:right="5"/>
              <w:rPr>
                <w:sz w:val="22"/>
              </w:rPr>
            </w:pPr>
            <w:r>
              <w:rPr>
                <w:color w:val="0D0D0D"/>
                <w:spacing w:val="-4"/>
                <w:sz w:val="22"/>
              </w:rPr>
              <w:t>87.0</w:t>
            </w:r>
          </w:p>
        </w:tc>
        <w:tc>
          <w:tcPr>
            <w:tcW w:w="778" w:type="dxa"/>
            <w:tcBorders>
              <w:bottom w:val="single" w:sz="4" w:space="0" w:color="000000"/>
            </w:tcBorders>
          </w:tcPr>
          <w:p>
            <w:pPr>
              <w:pStyle w:val="TableParagraph"/>
              <w:spacing w:before="57"/>
              <w:ind w:left="174"/>
              <w:jc w:val="left"/>
              <w:rPr>
                <w:sz w:val="22"/>
              </w:rPr>
            </w:pPr>
            <w:r>
              <w:rPr>
                <w:color w:val="0D0D0D"/>
                <w:spacing w:val="-4"/>
                <w:sz w:val="22"/>
              </w:rPr>
              <w:t>104.0</w:t>
            </w:r>
          </w:p>
        </w:tc>
        <w:tc>
          <w:tcPr>
            <w:tcW w:w="780" w:type="dxa"/>
            <w:tcBorders>
              <w:bottom w:val="single" w:sz="4" w:space="0" w:color="000000"/>
            </w:tcBorders>
          </w:tcPr>
          <w:p>
            <w:pPr>
              <w:pStyle w:val="TableParagraph"/>
              <w:spacing w:before="57"/>
              <w:ind w:left="20" w:right="83"/>
              <w:rPr>
                <w:sz w:val="22"/>
              </w:rPr>
            </w:pPr>
            <w:r>
              <w:rPr>
                <w:color w:val="0D0D0D"/>
                <w:spacing w:val="-4"/>
                <w:sz w:val="22"/>
              </w:rPr>
              <w:t>107.5</w:t>
            </w:r>
          </w:p>
        </w:tc>
      </w:tr>
    </w:tbl>
    <w:p>
      <w:pPr>
        <w:pStyle w:val="TableParagraph"/>
        <w:spacing w:after="0"/>
        <w:rPr>
          <w:sz w:val="22"/>
        </w:rPr>
        <w:sectPr>
          <w:footerReference w:type="default" r:id="rId45"/>
          <w:pgSz w:w="16840" w:h="11910" w:orient="landscape"/>
          <w:pgMar w:header="0" w:footer="0" w:top="1340" w:bottom="280" w:left="1559" w:right="1559"/>
        </w:sectPr>
      </w:pPr>
    </w:p>
    <w:p>
      <w:pPr>
        <w:pStyle w:val="BodyText"/>
        <w:rPr>
          <w:sz w:val="20"/>
        </w:rPr>
      </w:pPr>
    </w:p>
    <w:p>
      <w:pPr>
        <w:pStyle w:val="BodyText"/>
        <w:rPr>
          <w:sz w:val="20"/>
        </w:rPr>
      </w:pPr>
    </w:p>
    <w:p>
      <w:pPr>
        <w:pStyle w:val="BodyText"/>
        <w:rPr>
          <w:sz w:val="20"/>
        </w:rPr>
      </w:pPr>
    </w:p>
    <w:p>
      <w:pPr>
        <w:pStyle w:val="BodyText"/>
        <w:spacing w:before="4"/>
        <w:rPr>
          <w:sz w:val="20"/>
        </w:rPr>
      </w:pPr>
    </w:p>
    <w:tbl>
      <w:tblPr>
        <w:tblW w:w="0" w:type="auto"/>
        <w:jc w:val="left"/>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3"/>
        <w:gridCol w:w="685"/>
        <w:gridCol w:w="708"/>
        <w:gridCol w:w="816"/>
        <w:gridCol w:w="679"/>
        <w:gridCol w:w="797"/>
        <w:gridCol w:w="660"/>
        <w:gridCol w:w="718"/>
        <w:gridCol w:w="664"/>
        <w:gridCol w:w="648"/>
        <w:gridCol w:w="790"/>
        <w:gridCol w:w="652"/>
        <w:gridCol w:w="762"/>
        <w:gridCol w:w="748"/>
        <w:gridCol w:w="750"/>
        <w:gridCol w:w="666"/>
        <w:gridCol w:w="778"/>
        <w:gridCol w:w="780"/>
      </w:tblGrid>
      <w:tr>
        <w:trPr>
          <w:trHeight w:val="319" w:hRule="atLeast"/>
        </w:trPr>
        <w:tc>
          <w:tcPr>
            <w:tcW w:w="1143" w:type="dxa"/>
            <w:tcBorders>
              <w:top w:val="single" w:sz="4" w:space="0" w:color="000000"/>
            </w:tcBorders>
          </w:tcPr>
          <w:p>
            <w:pPr>
              <w:pStyle w:val="TableParagraph"/>
              <w:spacing w:line="251" w:lineRule="exact" w:before="0"/>
              <w:ind w:left="114"/>
              <w:jc w:val="left"/>
              <w:rPr>
                <w:b/>
                <w:sz w:val="22"/>
              </w:rPr>
            </w:pPr>
            <w:r>
              <w:rPr>
                <w:b/>
                <w:color w:val="0D0D0D"/>
                <w:spacing w:val="-2"/>
                <w:sz w:val="22"/>
              </w:rPr>
              <w:t>Rocky</w:t>
            </w:r>
          </w:p>
        </w:tc>
        <w:tc>
          <w:tcPr>
            <w:tcW w:w="685" w:type="dxa"/>
            <w:tcBorders>
              <w:top w:val="single" w:sz="4" w:space="0" w:color="000000"/>
            </w:tcBorders>
          </w:tcPr>
          <w:p>
            <w:pPr>
              <w:pStyle w:val="TableParagraph"/>
              <w:spacing w:line="251" w:lineRule="exact" w:before="0"/>
              <w:ind w:left="35" w:right="36"/>
              <w:rPr>
                <w:sz w:val="22"/>
              </w:rPr>
            </w:pPr>
            <w:r>
              <w:rPr>
                <w:color w:val="0D0D0D"/>
                <w:spacing w:val="-5"/>
                <w:sz w:val="22"/>
              </w:rPr>
              <w:t>IV</w:t>
            </w:r>
          </w:p>
        </w:tc>
        <w:tc>
          <w:tcPr>
            <w:tcW w:w="708" w:type="dxa"/>
            <w:tcBorders>
              <w:top w:val="single" w:sz="4" w:space="0" w:color="000000"/>
            </w:tcBorders>
          </w:tcPr>
          <w:p>
            <w:pPr>
              <w:pStyle w:val="TableParagraph"/>
              <w:spacing w:line="251" w:lineRule="exact" w:before="0"/>
              <w:ind w:left="60" w:right="2"/>
              <w:rPr>
                <w:sz w:val="22"/>
              </w:rPr>
            </w:pPr>
            <w:r>
              <w:rPr>
                <w:color w:val="0D0D0D"/>
                <w:spacing w:val="-4"/>
                <w:sz w:val="22"/>
              </w:rPr>
              <w:t>38.6</w:t>
            </w:r>
          </w:p>
        </w:tc>
        <w:tc>
          <w:tcPr>
            <w:tcW w:w="816" w:type="dxa"/>
            <w:tcBorders>
              <w:top w:val="single" w:sz="4" w:space="0" w:color="000000"/>
            </w:tcBorders>
          </w:tcPr>
          <w:p>
            <w:pPr>
              <w:pStyle w:val="TableParagraph"/>
              <w:spacing w:line="251" w:lineRule="exact" w:before="0"/>
              <w:ind w:left="130"/>
              <w:jc w:val="left"/>
              <w:rPr>
                <w:sz w:val="22"/>
              </w:rPr>
            </w:pPr>
            <w:r>
              <w:rPr>
                <w:color w:val="0D0D0D"/>
                <w:spacing w:val="-2"/>
                <w:sz w:val="22"/>
              </w:rPr>
              <w:t>38.33</w:t>
            </w:r>
          </w:p>
        </w:tc>
        <w:tc>
          <w:tcPr>
            <w:tcW w:w="679" w:type="dxa"/>
            <w:tcBorders>
              <w:top w:val="single" w:sz="4" w:space="0" w:color="000000"/>
            </w:tcBorders>
          </w:tcPr>
          <w:p>
            <w:pPr>
              <w:pStyle w:val="TableParagraph"/>
              <w:spacing w:line="251" w:lineRule="exact" w:before="0"/>
              <w:ind w:left="30" w:right="15"/>
              <w:rPr>
                <w:sz w:val="22"/>
              </w:rPr>
            </w:pPr>
            <w:r>
              <w:rPr>
                <w:color w:val="0D0D0D"/>
                <w:spacing w:val="-5"/>
                <w:sz w:val="22"/>
              </w:rPr>
              <w:t>110</w:t>
            </w:r>
          </w:p>
        </w:tc>
        <w:tc>
          <w:tcPr>
            <w:tcW w:w="797" w:type="dxa"/>
            <w:tcBorders>
              <w:top w:val="single" w:sz="4" w:space="0" w:color="000000"/>
            </w:tcBorders>
          </w:tcPr>
          <w:p>
            <w:pPr>
              <w:pStyle w:val="TableParagraph"/>
              <w:spacing w:line="251" w:lineRule="exact" w:before="0"/>
              <w:ind w:left="155"/>
              <w:jc w:val="left"/>
              <w:rPr>
                <w:sz w:val="22"/>
              </w:rPr>
            </w:pPr>
            <w:r>
              <w:rPr>
                <w:color w:val="0D0D0D"/>
                <w:spacing w:val="-4"/>
                <w:sz w:val="22"/>
              </w:rPr>
              <w:t>95.2</w:t>
            </w:r>
          </w:p>
        </w:tc>
        <w:tc>
          <w:tcPr>
            <w:tcW w:w="660" w:type="dxa"/>
            <w:tcBorders>
              <w:top w:val="single" w:sz="4" w:space="0" w:color="000000"/>
            </w:tcBorders>
          </w:tcPr>
          <w:p>
            <w:pPr>
              <w:pStyle w:val="TableParagraph"/>
              <w:spacing w:line="251" w:lineRule="exact" w:before="0"/>
              <w:ind w:left="11"/>
              <w:rPr>
                <w:sz w:val="22"/>
              </w:rPr>
            </w:pPr>
            <w:r>
              <w:rPr>
                <w:color w:val="0D0D0D"/>
                <w:spacing w:val="-4"/>
                <w:sz w:val="22"/>
              </w:rPr>
              <w:t>21.0</w:t>
            </w:r>
          </w:p>
        </w:tc>
        <w:tc>
          <w:tcPr>
            <w:tcW w:w="718" w:type="dxa"/>
            <w:tcBorders>
              <w:top w:val="single" w:sz="4" w:space="0" w:color="000000"/>
            </w:tcBorders>
          </w:tcPr>
          <w:p>
            <w:pPr>
              <w:pStyle w:val="TableParagraph"/>
              <w:spacing w:line="251" w:lineRule="exact" w:before="0"/>
              <w:ind w:left="130"/>
              <w:jc w:val="left"/>
              <w:rPr>
                <w:sz w:val="22"/>
              </w:rPr>
            </w:pPr>
            <w:r>
              <w:rPr>
                <w:color w:val="0D0D0D"/>
                <w:spacing w:val="-4"/>
                <w:sz w:val="22"/>
              </w:rPr>
              <w:t>16.7</w:t>
            </w:r>
          </w:p>
        </w:tc>
        <w:tc>
          <w:tcPr>
            <w:tcW w:w="664" w:type="dxa"/>
            <w:tcBorders>
              <w:top w:val="single" w:sz="4" w:space="0" w:color="000000"/>
            </w:tcBorders>
          </w:tcPr>
          <w:p>
            <w:pPr>
              <w:pStyle w:val="TableParagraph"/>
              <w:spacing w:line="251" w:lineRule="exact" w:before="0"/>
              <w:ind w:left="16"/>
              <w:rPr>
                <w:sz w:val="22"/>
              </w:rPr>
            </w:pPr>
            <w:r>
              <w:rPr>
                <w:color w:val="0D0D0D"/>
                <w:spacing w:val="-5"/>
                <w:sz w:val="22"/>
              </w:rPr>
              <w:t>2.0</w:t>
            </w:r>
          </w:p>
        </w:tc>
        <w:tc>
          <w:tcPr>
            <w:tcW w:w="648" w:type="dxa"/>
            <w:tcBorders>
              <w:top w:val="single" w:sz="4" w:space="0" w:color="000000"/>
            </w:tcBorders>
          </w:tcPr>
          <w:p>
            <w:pPr>
              <w:pStyle w:val="TableParagraph"/>
              <w:spacing w:line="251" w:lineRule="exact" w:before="0"/>
              <w:rPr>
                <w:sz w:val="22"/>
              </w:rPr>
            </w:pPr>
            <w:r>
              <w:rPr>
                <w:color w:val="0D0D0D"/>
                <w:spacing w:val="-5"/>
                <w:sz w:val="22"/>
              </w:rPr>
              <w:t>2.0</w:t>
            </w:r>
          </w:p>
        </w:tc>
        <w:tc>
          <w:tcPr>
            <w:tcW w:w="790" w:type="dxa"/>
            <w:tcBorders>
              <w:top w:val="single" w:sz="4" w:space="0" w:color="000000"/>
            </w:tcBorders>
          </w:tcPr>
          <w:p>
            <w:pPr>
              <w:pStyle w:val="TableParagraph"/>
              <w:spacing w:line="251" w:lineRule="exact" w:before="0"/>
              <w:ind w:left="185"/>
              <w:jc w:val="left"/>
              <w:rPr>
                <w:sz w:val="22"/>
              </w:rPr>
            </w:pPr>
            <w:r>
              <w:rPr>
                <w:color w:val="0D0D0D"/>
                <w:spacing w:val="-4"/>
                <w:sz w:val="22"/>
              </w:rPr>
              <w:t>99.0</w:t>
            </w:r>
          </w:p>
        </w:tc>
        <w:tc>
          <w:tcPr>
            <w:tcW w:w="652" w:type="dxa"/>
            <w:tcBorders>
              <w:top w:val="single" w:sz="4" w:space="0" w:color="000000"/>
            </w:tcBorders>
          </w:tcPr>
          <w:p>
            <w:pPr>
              <w:pStyle w:val="TableParagraph"/>
              <w:spacing w:line="251" w:lineRule="exact" w:before="0"/>
              <w:ind w:right="48"/>
              <w:rPr>
                <w:sz w:val="22"/>
              </w:rPr>
            </w:pPr>
            <w:r>
              <w:rPr>
                <w:color w:val="0D0D0D"/>
                <w:spacing w:val="-4"/>
                <w:sz w:val="22"/>
              </w:rPr>
              <w:t>98.2</w:t>
            </w:r>
          </w:p>
        </w:tc>
        <w:tc>
          <w:tcPr>
            <w:tcW w:w="762" w:type="dxa"/>
            <w:tcBorders>
              <w:top w:val="single" w:sz="4" w:space="0" w:color="000000"/>
            </w:tcBorders>
          </w:tcPr>
          <w:p>
            <w:pPr>
              <w:pStyle w:val="TableParagraph"/>
              <w:spacing w:line="251" w:lineRule="exact" w:before="0"/>
              <w:ind w:left="55"/>
              <w:rPr>
                <w:sz w:val="22"/>
              </w:rPr>
            </w:pPr>
            <w:r>
              <w:rPr>
                <w:color w:val="0D0D0D"/>
                <w:spacing w:val="-4"/>
                <w:sz w:val="22"/>
              </w:rPr>
              <w:t>148.0</w:t>
            </w:r>
          </w:p>
        </w:tc>
        <w:tc>
          <w:tcPr>
            <w:tcW w:w="748" w:type="dxa"/>
            <w:tcBorders>
              <w:top w:val="single" w:sz="4" w:space="0" w:color="000000"/>
            </w:tcBorders>
          </w:tcPr>
          <w:p>
            <w:pPr>
              <w:pStyle w:val="TableParagraph"/>
              <w:spacing w:line="251" w:lineRule="exact" w:before="0"/>
              <w:ind w:left="8" w:right="44"/>
              <w:rPr>
                <w:sz w:val="22"/>
              </w:rPr>
            </w:pPr>
            <w:r>
              <w:rPr>
                <w:color w:val="0D0D0D"/>
                <w:spacing w:val="-4"/>
                <w:sz w:val="22"/>
              </w:rPr>
              <w:t>148.7</w:t>
            </w:r>
          </w:p>
        </w:tc>
        <w:tc>
          <w:tcPr>
            <w:tcW w:w="750" w:type="dxa"/>
            <w:tcBorders>
              <w:top w:val="single" w:sz="4" w:space="0" w:color="000000"/>
            </w:tcBorders>
          </w:tcPr>
          <w:p>
            <w:pPr>
              <w:pStyle w:val="TableParagraph"/>
              <w:spacing w:line="251" w:lineRule="exact" w:before="0"/>
              <w:ind w:right="70"/>
              <w:rPr>
                <w:sz w:val="22"/>
              </w:rPr>
            </w:pPr>
            <w:r>
              <w:rPr>
                <w:color w:val="0D0D0D"/>
                <w:spacing w:val="-4"/>
                <w:sz w:val="22"/>
              </w:rPr>
              <w:t>86.0</w:t>
            </w:r>
          </w:p>
        </w:tc>
        <w:tc>
          <w:tcPr>
            <w:tcW w:w="666" w:type="dxa"/>
            <w:tcBorders>
              <w:top w:val="single" w:sz="4" w:space="0" w:color="000000"/>
            </w:tcBorders>
          </w:tcPr>
          <w:p>
            <w:pPr>
              <w:pStyle w:val="TableParagraph"/>
              <w:spacing w:line="251" w:lineRule="exact" w:before="0"/>
              <w:ind w:right="61"/>
              <w:rPr>
                <w:sz w:val="22"/>
              </w:rPr>
            </w:pPr>
            <w:r>
              <w:rPr>
                <w:color w:val="0D0D0D"/>
                <w:spacing w:val="-4"/>
                <w:sz w:val="22"/>
              </w:rPr>
              <w:t>87.2</w:t>
            </w:r>
          </w:p>
        </w:tc>
        <w:tc>
          <w:tcPr>
            <w:tcW w:w="778" w:type="dxa"/>
            <w:tcBorders>
              <w:top w:val="single" w:sz="4" w:space="0" w:color="000000"/>
            </w:tcBorders>
          </w:tcPr>
          <w:p>
            <w:pPr>
              <w:pStyle w:val="TableParagraph"/>
              <w:spacing w:line="251" w:lineRule="exact" w:before="0"/>
              <w:ind w:left="174"/>
              <w:jc w:val="left"/>
              <w:rPr>
                <w:sz w:val="22"/>
              </w:rPr>
            </w:pPr>
            <w:r>
              <w:rPr>
                <w:color w:val="0D0D0D"/>
                <w:spacing w:val="-4"/>
                <w:sz w:val="22"/>
              </w:rPr>
              <w:t>106.0</w:t>
            </w:r>
          </w:p>
        </w:tc>
        <w:tc>
          <w:tcPr>
            <w:tcW w:w="780" w:type="dxa"/>
            <w:tcBorders>
              <w:top w:val="single" w:sz="4" w:space="0" w:color="000000"/>
            </w:tcBorders>
          </w:tcPr>
          <w:p>
            <w:pPr>
              <w:pStyle w:val="TableParagraph"/>
              <w:spacing w:line="251" w:lineRule="exact" w:before="0"/>
              <w:ind w:left="20" w:right="83"/>
              <w:rPr>
                <w:sz w:val="22"/>
              </w:rPr>
            </w:pPr>
            <w:r>
              <w:rPr>
                <w:color w:val="0D0D0D"/>
                <w:spacing w:val="-4"/>
                <w:sz w:val="22"/>
              </w:rPr>
              <w:t>108.7</w:t>
            </w:r>
          </w:p>
        </w:tc>
      </w:tr>
      <w:tr>
        <w:trPr>
          <w:trHeight w:val="380" w:hRule="atLeast"/>
        </w:trPr>
        <w:tc>
          <w:tcPr>
            <w:tcW w:w="1143" w:type="dxa"/>
          </w:tcPr>
          <w:p>
            <w:pPr>
              <w:pStyle w:val="TableParagraph"/>
              <w:ind w:left="114"/>
              <w:jc w:val="left"/>
              <w:rPr>
                <w:b/>
                <w:sz w:val="22"/>
              </w:rPr>
            </w:pPr>
            <w:r>
              <w:rPr>
                <w:b/>
                <w:color w:val="0D0D0D"/>
                <w:spacing w:val="-2"/>
                <w:sz w:val="22"/>
              </w:rPr>
              <w:t>Kiara</w:t>
            </w:r>
          </w:p>
        </w:tc>
        <w:tc>
          <w:tcPr>
            <w:tcW w:w="685" w:type="dxa"/>
          </w:tcPr>
          <w:p>
            <w:pPr>
              <w:pStyle w:val="TableParagraph"/>
              <w:ind w:left="36" w:right="1"/>
              <w:rPr>
                <w:sz w:val="22"/>
              </w:rPr>
            </w:pPr>
            <w:r>
              <w:rPr>
                <w:color w:val="0D0D0D"/>
                <w:spacing w:val="-5"/>
                <w:sz w:val="22"/>
              </w:rPr>
              <w:t>IM</w:t>
            </w:r>
          </w:p>
        </w:tc>
        <w:tc>
          <w:tcPr>
            <w:tcW w:w="708" w:type="dxa"/>
          </w:tcPr>
          <w:p>
            <w:pPr>
              <w:pStyle w:val="TableParagraph"/>
              <w:ind w:left="60" w:right="2"/>
              <w:rPr>
                <w:sz w:val="22"/>
              </w:rPr>
            </w:pPr>
            <w:r>
              <w:rPr>
                <w:color w:val="0D0D0D"/>
                <w:spacing w:val="-4"/>
                <w:sz w:val="22"/>
              </w:rPr>
              <w:t>38.1</w:t>
            </w:r>
          </w:p>
        </w:tc>
        <w:tc>
          <w:tcPr>
            <w:tcW w:w="816" w:type="dxa"/>
          </w:tcPr>
          <w:p>
            <w:pPr>
              <w:pStyle w:val="TableParagraph"/>
              <w:ind w:left="130"/>
              <w:jc w:val="left"/>
              <w:rPr>
                <w:sz w:val="22"/>
              </w:rPr>
            </w:pPr>
            <w:r>
              <w:rPr>
                <w:color w:val="0D0D0D"/>
                <w:spacing w:val="-2"/>
                <w:sz w:val="22"/>
              </w:rPr>
              <w:t>38.06</w:t>
            </w:r>
          </w:p>
        </w:tc>
        <w:tc>
          <w:tcPr>
            <w:tcW w:w="679" w:type="dxa"/>
          </w:tcPr>
          <w:p>
            <w:pPr>
              <w:pStyle w:val="TableParagraph"/>
              <w:ind w:left="30" w:right="35"/>
              <w:rPr>
                <w:sz w:val="22"/>
              </w:rPr>
            </w:pPr>
            <w:r>
              <w:rPr>
                <w:color w:val="0D0D0D"/>
                <w:spacing w:val="-5"/>
                <w:sz w:val="22"/>
              </w:rPr>
              <w:t>111</w:t>
            </w:r>
          </w:p>
        </w:tc>
        <w:tc>
          <w:tcPr>
            <w:tcW w:w="797" w:type="dxa"/>
          </w:tcPr>
          <w:p>
            <w:pPr>
              <w:pStyle w:val="TableParagraph"/>
              <w:ind w:left="155"/>
              <w:jc w:val="left"/>
              <w:rPr>
                <w:sz w:val="22"/>
              </w:rPr>
            </w:pPr>
            <w:r>
              <w:rPr>
                <w:color w:val="0D0D0D"/>
                <w:spacing w:val="-4"/>
                <w:sz w:val="22"/>
              </w:rPr>
              <w:t>100.3</w:t>
            </w:r>
          </w:p>
        </w:tc>
        <w:tc>
          <w:tcPr>
            <w:tcW w:w="660" w:type="dxa"/>
          </w:tcPr>
          <w:p>
            <w:pPr>
              <w:pStyle w:val="TableParagraph"/>
              <w:ind w:left="11"/>
              <w:rPr>
                <w:sz w:val="22"/>
              </w:rPr>
            </w:pPr>
            <w:r>
              <w:rPr>
                <w:color w:val="0D0D0D"/>
                <w:spacing w:val="-4"/>
                <w:sz w:val="22"/>
              </w:rPr>
              <w:t>13.0</w:t>
            </w:r>
          </w:p>
        </w:tc>
        <w:tc>
          <w:tcPr>
            <w:tcW w:w="718" w:type="dxa"/>
          </w:tcPr>
          <w:p>
            <w:pPr>
              <w:pStyle w:val="TableParagraph"/>
              <w:ind w:left="130"/>
              <w:jc w:val="left"/>
              <w:rPr>
                <w:sz w:val="22"/>
              </w:rPr>
            </w:pPr>
            <w:r>
              <w:rPr>
                <w:color w:val="0D0D0D"/>
                <w:spacing w:val="-4"/>
                <w:sz w:val="22"/>
              </w:rPr>
              <w:t>11.3</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98.5</w:t>
            </w:r>
          </w:p>
        </w:tc>
        <w:tc>
          <w:tcPr>
            <w:tcW w:w="762" w:type="dxa"/>
          </w:tcPr>
          <w:p>
            <w:pPr>
              <w:pStyle w:val="TableParagraph"/>
              <w:ind w:left="55"/>
              <w:rPr>
                <w:sz w:val="22"/>
              </w:rPr>
            </w:pPr>
            <w:r>
              <w:rPr>
                <w:color w:val="0D0D0D"/>
                <w:spacing w:val="-4"/>
                <w:sz w:val="22"/>
              </w:rPr>
              <w:t>150.0</w:t>
            </w:r>
          </w:p>
        </w:tc>
        <w:tc>
          <w:tcPr>
            <w:tcW w:w="748" w:type="dxa"/>
          </w:tcPr>
          <w:p>
            <w:pPr>
              <w:pStyle w:val="TableParagraph"/>
              <w:ind w:left="8" w:right="44"/>
              <w:rPr>
                <w:sz w:val="22"/>
              </w:rPr>
            </w:pPr>
            <w:r>
              <w:rPr>
                <w:color w:val="0D0D0D"/>
                <w:spacing w:val="-4"/>
                <w:sz w:val="22"/>
              </w:rPr>
              <w:t>155.0</w:t>
            </w:r>
          </w:p>
        </w:tc>
        <w:tc>
          <w:tcPr>
            <w:tcW w:w="750" w:type="dxa"/>
          </w:tcPr>
          <w:p>
            <w:pPr>
              <w:pStyle w:val="TableParagraph"/>
              <w:ind w:right="70"/>
              <w:rPr>
                <w:sz w:val="22"/>
              </w:rPr>
            </w:pPr>
            <w:r>
              <w:rPr>
                <w:color w:val="0D0D0D"/>
                <w:spacing w:val="-4"/>
                <w:sz w:val="22"/>
              </w:rPr>
              <w:t>88.0</w:t>
            </w:r>
          </w:p>
        </w:tc>
        <w:tc>
          <w:tcPr>
            <w:tcW w:w="666" w:type="dxa"/>
          </w:tcPr>
          <w:p>
            <w:pPr>
              <w:pStyle w:val="TableParagraph"/>
              <w:ind w:right="61"/>
              <w:rPr>
                <w:sz w:val="22"/>
              </w:rPr>
            </w:pPr>
            <w:r>
              <w:rPr>
                <w:color w:val="0D0D0D"/>
                <w:spacing w:val="-4"/>
                <w:sz w:val="22"/>
              </w:rPr>
              <w:t>90.7</w:t>
            </w:r>
          </w:p>
        </w:tc>
        <w:tc>
          <w:tcPr>
            <w:tcW w:w="778" w:type="dxa"/>
          </w:tcPr>
          <w:p>
            <w:pPr>
              <w:pStyle w:val="TableParagraph"/>
              <w:ind w:left="174"/>
              <w:jc w:val="left"/>
              <w:rPr>
                <w:sz w:val="22"/>
              </w:rPr>
            </w:pPr>
            <w:r>
              <w:rPr>
                <w:color w:val="0D0D0D"/>
                <w:spacing w:val="-4"/>
                <w:sz w:val="22"/>
              </w:rPr>
              <w:t>109.0</w:t>
            </w:r>
          </w:p>
        </w:tc>
        <w:tc>
          <w:tcPr>
            <w:tcW w:w="780" w:type="dxa"/>
          </w:tcPr>
          <w:p>
            <w:pPr>
              <w:pStyle w:val="TableParagraph"/>
              <w:ind w:left="12" w:right="83"/>
              <w:rPr>
                <w:sz w:val="22"/>
              </w:rPr>
            </w:pPr>
            <w:r>
              <w:rPr>
                <w:color w:val="0D0D0D"/>
                <w:spacing w:val="-4"/>
                <w:sz w:val="22"/>
              </w:rPr>
              <w:t>113.5</w:t>
            </w:r>
          </w:p>
        </w:tc>
      </w:tr>
      <w:tr>
        <w:trPr>
          <w:trHeight w:val="380" w:hRule="atLeast"/>
        </w:trPr>
        <w:tc>
          <w:tcPr>
            <w:tcW w:w="1143" w:type="dxa"/>
          </w:tcPr>
          <w:p>
            <w:pPr>
              <w:pStyle w:val="TableParagraph"/>
              <w:ind w:left="114"/>
              <w:jc w:val="left"/>
              <w:rPr>
                <w:b/>
                <w:sz w:val="22"/>
              </w:rPr>
            </w:pPr>
            <w:r>
              <w:rPr>
                <w:b/>
                <w:color w:val="0D0D0D"/>
                <w:spacing w:val="-2"/>
                <w:sz w:val="22"/>
              </w:rPr>
              <w:t>Dexter</w:t>
            </w:r>
          </w:p>
        </w:tc>
        <w:tc>
          <w:tcPr>
            <w:tcW w:w="685" w:type="dxa"/>
          </w:tcPr>
          <w:p>
            <w:pPr>
              <w:pStyle w:val="TableParagraph"/>
              <w:ind w:left="36" w:right="1"/>
              <w:rPr>
                <w:sz w:val="22"/>
              </w:rPr>
            </w:pPr>
            <w:r>
              <w:rPr>
                <w:color w:val="0D0D0D"/>
                <w:spacing w:val="-5"/>
                <w:sz w:val="22"/>
              </w:rPr>
              <w:t>IM</w:t>
            </w:r>
          </w:p>
        </w:tc>
        <w:tc>
          <w:tcPr>
            <w:tcW w:w="708" w:type="dxa"/>
          </w:tcPr>
          <w:p>
            <w:pPr>
              <w:pStyle w:val="TableParagraph"/>
              <w:ind w:left="60" w:right="2"/>
              <w:rPr>
                <w:sz w:val="22"/>
              </w:rPr>
            </w:pPr>
            <w:r>
              <w:rPr>
                <w:color w:val="0D0D0D"/>
                <w:spacing w:val="-4"/>
                <w:sz w:val="22"/>
              </w:rPr>
              <w:t>38.5</w:t>
            </w:r>
          </w:p>
        </w:tc>
        <w:tc>
          <w:tcPr>
            <w:tcW w:w="816" w:type="dxa"/>
          </w:tcPr>
          <w:p>
            <w:pPr>
              <w:pStyle w:val="TableParagraph"/>
              <w:ind w:left="130"/>
              <w:jc w:val="left"/>
              <w:rPr>
                <w:sz w:val="22"/>
              </w:rPr>
            </w:pPr>
            <w:r>
              <w:rPr>
                <w:color w:val="0D0D0D"/>
                <w:spacing w:val="-2"/>
                <w:sz w:val="22"/>
              </w:rPr>
              <w:t>38.23</w:t>
            </w:r>
          </w:p>
        </w:tc>
        <w:tc>
          <w:tcPr>
            <w:tcW w:w="679" w:type="dxa"/>
          </w:tcPr>
          <w:p>
            <w:pPr>
              <w:pStyle w:val="TableParagraph"/>
              <w:ind w:left="35" w:right="5"/>
              <w:rPr>
                <w:sz w:val="22"/>
              </w:rPr>
            </w:pPr>
            <w:r>
              <w:rPr>
                <w:color w:val="0D0D0D"/>
                <w:spacing w:val="-5"/>
                <w:sz w:val="22"/>
              </w:rPr>
              <w:t>152</w:t>
            </w:r>
          </w:p>
        </w:tc>
        <w:tc>
          <w:tcPr>
            <w:tcW w:w="797" w:type="dxa"/>
          </w:tcPr>
          <w:p>
            <w:pPr>
              <w:pStyle w:val="TableParagraph"/>
              <w:ind w:left="155"/>
              <w:jc w:val="left"/>
              <w:rPr>
                <w:sz w:val="22"/>
              </w:rPr>
            </w:pPr>
            <w:r>
              <w:rPr>
                <w:color w:val="0D0D0D"/>
                <w:spacing w:val="-4"/>
                <w:sz w:val="22"/>
              </w:rPr>
              <w:t>131.0</w:t>
            </w:r>
          </w:p>
        </w:tc>
        <w:tc>
          <w:tcPr>
            <w:tcW w:w="660" w:type="dxa"/>
          </w:tcPr>
          <w:p>
            <w:pPr>
              <w:pStyle w:val="TableParagraph"/>
              <w:ind w:left="11"/>
              <w:rPr>
                <w:sz w:val="22"/>
              </w:rPr>
            </w:pPr>
            <w:r>
              <w:rPr>
                <w:color w:val="0D0D0D"/>
                <w:spacing w:val="-4"/>
                <w:sz w:val="22"/>
              </w:rPr>
              <w:t>14.0</w:t>
            </w:r>
          </w:p>
        </w:tc>
        <w:tc>
          <w:tcPr>
            <w:tcW w:w="718" w:type="dxa"/>
          </w:tcPr>
          <w:p>
            <w:pPr>
              <w:pStyle w:val="TableParagraph"/>
              <w:ind w:left="130"/>
              <w:jc w:val="left"/>
              <w:rPr>
                <w:sz w:val="22"/>
              </w:rPr>
            </w:pPr>
            <w:r>
              <w:rPr>
                <w:color w:val="0D0D0D"/>
                <w:spacing w:val="-4"/>
                <w:sz w:val="22"/>
              </w:rPr>
              <w:t>11.5</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96.7</w:t>
            </w:r>
          </w:p>
        </w:tc>
        <w:tc>
          <w:tcPr>
            <w:tcW w:w="762" w:type="dxa"/>
          </w:tcPr>
          <w:p>
            <w:pPr>
              <w:pStyle w:val="TableParagraph"/>
              <w:ind w:left="55"/>
              <w:rPr>
                <w:sz w:val="22"/>
              </w:rPr>
            </w:pPr>
            <w:r>
              <w:rPr>
                <w:color w:val="0D0D0D"/>
                <w:spacing w:val="-4"/>
                <w:sz w:val="22"/>
              </w:rPr>
              <w:t>148.0</w:t>
            </w:r>
          </w:p>
        </w:tc>
        <w:tc>
          <w:tcPr>
            <w:tcW w:w="748" w:type="dxa"/>
          </w:tcPr>
          <w:p>
            <w:pPr>
              <w:pStyle w:val="TableParagraph"/>
              <w:ind w:left="8" w:right="44"/>
              <w:rPr>
                <w:sz w:val="22"/>
              </w:rPr>
            </w:pPr>
            <w:r>
              <w:rPr>
                <w:color w:val="0D0D0D"/>
                <w:spacing w:val="-4"/>
                <w:sz w:val="22"/>
              </w:rPr>
              <w:t>151.8</w:t>
            </w:r>
          </w:p>
        </w:tc>
        <w:tc>
          <w:tcPr>
            <w:tcW w:w="750" w:type="dxa"/>
          </w:tcPr>
          <w:p>
            <w:pPr>
              <w:pStyle w:val="TableParagraph"/>
              <w:ind w:right="70"/>
              <w:rPr>
                <w:sz w:val="22"/>
              </w:rPr>
            </w:pPr>
            <w:r>
              <w:rPr>
                <w:color w:val="0D0D0D"/>
                <w:spacing w:val="-4"/>
                <w:sz w:val="22"/>
              </w:rPr>
              <w:t>86.0</w:t>
            </w:r>
          </w:p>
        </w:tc>
        <w:tc>
          <w:tcPr>
            <w:tcW w:w="666" w:type="dxa"/>
          </w:tcPr>
          <w:p>
            <w:pPr>
              <w:pStyle w:val="TableParagraph"/>
              <w:ind w:right="61"/>
              <w:rPr>
                <w:sz w:val="22"/>
              </w:rPr>
            </w:pPr>
            <w:r>
              <w:rPr>
                <w:color w:val="0D0D0D"/>
                <w:spacing w:val="-4"/>
                <w:sz w:val="22"/>
              </w:rPr>
              <w:t>88.7</w:t>
            </w:r>
          </w:p>
        </w:tc>
        <w:tc>
          <w:tcPr>
            <w:tcW w:w="778" w:type="dxa"/>
          </w:tcPr>
          <w:p>
            <w:pPr>
              <w:pStyle w:val="TableParagraph"/>
              <w:ind w:left="174"/>
              <w:jc w:val="left"/>
              <w:rPr>
                <w:sz w:val="22"/>
              </w:rPr>
            </w:pPr>
            <w:r>
              <w:rPr>
                <w:color w:val="0D0D0D"/>
                <w:spacing w:val="-4"/>
                <w:sz w:val="22"/>
              </w:rPr>
              <w:t>105.0</w:t>
            </w:r>
          </w:p>
        </w:tc>
        <w:tc>
          <w:tcPr>
            <w:tcW w:w="780" w:type="dxa"/>
          </w:tcPr>
          <w:p>
            <w:pPr>
              <w:pStyle w:val="TableParagraph"/>
              <w:ind w:left="12" w:right="83"/>
              <w:rPr>
                <w:sz w:val="22"/>
              </w:rPr>
            </w:pPr>
            <w:r>
              <w:rPr>
                <w:color w:val="0D0D0D"/>
                <w:spacing w:val="-4"/>
                <w:sz w:val="22"/>
              </w:rPr>
              <w:t>110.2</w:t>
            </w:r>
          </w:p>
        </w:tc>
      </w:tr>
      <w:tr>
        <w:trPr>
          <w:trHeight w:val="380" w:hRule="atLeast"/>
        </w:trPr>
        <w:tc>
          <w:tcPr>
            <w:tcW w:w="1143" w:type="dxa"/>
          </w:tcPr>
          <w:p>
            <w:pPr>
              <w:pStyle w:val="TableParagraph"/>
              <w:ind w:left="114"/>
              <w:jc w:val="left"/>
              <w:rPr>
                <w:b/>
                <w:sz w:val="22"/>
              </w:rPr>
            </w:pPr>
            <w:r>
              <w:rPr>
                <w:b/>
                <w:color w:val="0D0D0D"/>
                <w:spacing w:val="-2"/>
                <w:sz w:val="22"/>
              </w:rPr>
              <w:t>Perla</w:t>
            </w:r>
          </w:p>
        </w:tc>
        <w:tc>
          <w:tcPr>
            <w:tcW w:w="685" w:type="dxa"/>
          </w:tcPr>
          <w:p>
            <w:pPr>
              <w:pStyle w:val="TableParagraph"/>
              <w:ind w:left="35" w:right="36"/>
              <w:rPr>
                <w:sz w:val="22"/>
              </w:rPr>
            </w:pPr>
            <w:r>
              <w:rPr>
                <w:color w:val="0D0D0D"/>
                <w:spacing w:val="-5"/>
                <w:sz w:val="22"/>
              </w:rPr>
              <w:t>IV</w:t>
            </w:r>
          </w:p>
        </w:tc>
        <w:tc>
          <w:tcPr>
            <w:tcW w:w="708" w:type="dxa"/>
          </w:tcPr>
          <w:p>
            <w:pPr>
              <w:pStyle w:val="TableParagraph"/>
              <w:ind w:left="60" w:right="2"/>
              <w:rPr>
                <w:sz w:val="22"/>
              </w:rPr>
            </w:pPr>
            <w:r>
              <w:rPr>
                <w:color w:val="0D0D0D"/>
                <w:spacing w:val="-4"/>
                <w:sz w:val="22"/>
              </w:rPr>
              <w:t>38.5</w:t>
            </w:r>
          </w:p>
        </w:tc>
        <w:tc>
          <w:tcPr>
            <w:tcW w:w="816" w:type="dxa"/>
          </w:tcPr>
          <w:p>
            <w:pPr>
              <w:pStyle w:val="TableParagraph"/>
              <w:ind w:left="130"/>
              <w:jc w:val="left"/>
              <w:rPr>
                <w:sz w:val="22"/>
              </w:rPr>
            </w:pPr>
            <w:r>
              <w:rPr>
                <w:color w:val="0D0D0D"/>
                <w:spacing w:val="-2"/>
                <w:sz w:val="22"/>
              </w:rPr>
              <w:t>38.38</w:t>
            </w:r>
          </w:p>
        </w:tc>
        <w:tc>
          <w:tcPr>
            <w:tcW w:w="679" w:type="dxa"/>
          </w:tcPr>
          <w:p>
            <w:pPr>
              <w:pStyle w:val="TableParagraph"/>
              <w:ind w:left="30" w:right="15"/>
              <w:rPr>
                <w:sz w:val="22"/>
              </w:rPr>
            </w:pPr>
            <w:r>
              <w:rPr>
                <w:color w:val="0D0D0D"/>
                <w:spacing w:val="-5"/>
                <w:sz w:val="22"/>
              </w:rPr>
              <w:t>119</w:t>
            </w:r>
          </w:p>
        </w:tc>
        <w:tc>
          <w:tcPr>
            <w:tcW w:w="797" w:type="dxa"/>
          </w:tcPr>
          <w:p>
            <w:pPr>
              <w:pStyle w:val="TableParagraph"/>
              <w:ind w:left="155"/>
              <w:jc w:val="left"/>
              <w:rPr>
                <w:sz w:val="22"/>
              </w:rPr>
            </w:pPr>
            <w:r>
              <w:rPr>
                <w:color w:val="0D0D0D"/>
                <w:spacing w:val="-4"/>
                <w:sz w:val="22"/>
              </w:rPr>
              <w:t>104.8</w:t>
            </w:r>
          </w:p>
        </w:tc>
        <w:tc>
          <w:tcPr>
            <w:tcW w:w="660" w:type="dxa"/>
          </w:tcPr>
          <w:p>
            <w:pPr>
              <w:pStyle w:val="TableParagraph"/>
              <w:ind w:left="11"/>
              <w:rPr>
                <w:sz w:val="22"/>
              </w:rPr>
            </w:pPr>
            <w:r>
              <w:rPr>
                <w:color w:val="0D0D0D"/>
                <w:spacing w:val="-4"/>
                <w:sz w:val="22"/>
              </w:rPr>
              <w:t>12.0</w:t>
            </w:r>
          </w:p>
        </w:tc>
        <w:tc>
          <w:tcPr>
            <w:tcW w:w="718" w:type="dxa"/>
          </w:tcPr>
          <w:p>
            <w:pPr>
              <w:pStyle w:val="TableParagraph"/>
              <w:ind w:left="130"/>
              <w:jc w:val="left"/>
              <w:rPr>
                <w:sz w:val="22"/>
              </w:rPr>
            </w:pPr>
            <w:r>
              <w:rPr>
                <w:color w:val="0D0D0D"/>
                <w:spacing w:val="-5"/>
                <w:sz w:val="22"/>
              </w:rPr>
              <w:t>9.7</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98.7</w:t>
            </w:r>
          </w:p>
        </w:tc>
        <w:tc>
          <w:tcPr>
            <w:tcW w:w="762" w:type="dxa"/>
          </w:tcPr>
          <w:p>
            <w:pPr>
              <w:pStyle w:val="TableParagraph"/>
              <w:ind w:left="55"/>
              <w:rPr>
                <w:sz w:val="22"/>
              </w:rPr>
            </w:pPr>
            <w:r>
              <w:rPr>
                <w:color w:val="0D0D0D"/>
                <w:spacing w:val="-4"/>
                <w:sz w:val="22"/>
              </w:rPr>
              <w:t>142.0</w:t>
            </w:r>
          </w:p>
        </w:tc>
        <w:tc>
          <w:tcPr>
            <w:tcW w:w="748" w:type="dxa"/>
          </w:tcPr>
          <w:p>
            <w:pPr>
              <w:pStyle w:val="TableParagraph"/>
              <w:ind w:left="8" w:right="44"/>
              <w:rPr>
                <w:sz w:val="22"/>
              </w:rPr>
            </w:pPr>
            <w:r>
              <w:rPr>
                <w:color w:val="0D0D0D"/>
                <w:spacing w:val="-4"/>
                <w:sz w:val="22"/>
              </w:rPr>
              <w:t>149.7</w:t>
            </w:r>
          </w:p>
        </w:tc>
        <w:tc>
          <w:tcPr>
            <w:tcW w:w="750" w:type="dxa"/>
          </w:tcPr>
          <w:p>
            <w:pPr>
              <w:pStyle w:val="TableParagraph"/>
              <w:ind w:right="70"/>
              <w:rPr>
                <w:sz w:val="22"/>
              </w:rPr>
            </w:pPr>
            <w:r>
              <w:rPr>
                <w:color w:val="0D0D0D"/>
                <w:spacing w:val="-4"/>
                <w:sz w:val="22"/>
              </w:rPr>
              <w:t>82.0</w:t>
            </w:r>
          </w:p>
        </w:tc>
        <w:tc>
          <w:tcPr>
            <w:tcW w:w="666" w:type="dxa"/>
          </w:tcPr>
          <w:p>
            <w:pPr>
              <w:pStyle w:val="TableParagraph"/>
              <w:ind w:right="61"/>
              <w:rPr>
                <w:sz w:val="22"/>
              </w:rPr>
            </w:pPr>
            <w:r>
              <w:rPr>
                <w:color w:val="0D0D0D"/>
                <w:spacing w:val="-4"/>
                <w:sz w:val="22"/>
              </w:rPr>
              <w:t>86.7</w:t>
            </w:r>
          </w:p>
        </w:tc>
        <w:tc>
          <w:tcPr>
            <w:tcW w:w="778" w:type="dxa"/>
          </w:tcPr>
          <w:p>
            <w:pPr>
              <w:pStyle w:val="TableParagraph"/>
              <w:ind w:left="174"/>
              <w:jc w:val="left"/>
              <w:rPr>
                <w:sz w:val="22"/>
              </w:rPr>
            </w:pPr>
            <w:r>
              <w:rPr>
                <w:color w:val="0D0D0D"/>
                <w:spacing w:val="-4"/>
                <w:sz w:val="22"/>
              </w:rPr>
              <w:t>102.0</w:t>
            </w:r>
          </w:p>
        </w:tc>
        <w:tc>
          <w:tcPr>
            <w:tcW w:w="780" w:type="dxa"/>
          </w:tcPr>
          <w:p>
            <w:pPr>
              <w:pStyle w:val="TableParagraph"/>
              <w:ind w:left="20" w:right="83"/>
              <w:rPr>
                <w:sz w:val="22"/>
              </w:rPr>
            </w:pPr>
            <w:r>
              <w:rPr>
                <w:color w:val="0D0D0D"/>
                <w:spacing w:val="-4"/>
                <w:sz w:val="22"/>
              </w:rPr>
              <w:t>107.8</w:t>
            </w:r>
          </w:p>
        </w:tc>
      </w:tr>
      <w:tr>
        <w:trPr>
          <w:trHeight w:val="380" w:hRule="atLeast"/>
        </w:trPr>
        <w:tc>
          <w:tcPr>
            <w:tcW w:w="1143" w:type="dxa"/>
          </w:tcPr>
          <w:p>
            <w:pPr>
              <w:pStyle w:val="TableParagraph"/>
              <w:ind w:left="114"/>
              <w:jc w:val="left"/>
              <w:rPr>
                <w:b/>
                <w:sz w:val="22"/>
              </w:rPr>
            </w:pPr>
            <w:r>
              <w:rPr>
                <w:b/>
                <w:color w:val="0D0D0D"/>
                <w:spacing w:val="-2"/>
                <w:sz w:val="22"/>
              </w:rPr>
              <w:t>Tango</w:t>
            </w:r>
          </w:p>
        </w:tc>
        <w:tc>
          <w:tcPr>
            <w:tcW w:w="685" w:type="dxa"/>
          </w:tcPr>
          <w:p>
            <w:pPr>
              <w:pStyle w:val="TableParagraph"/>
              <w:ind w:left="35" w:right="36"/>
              <w:rPr>
                <w:sz w:val="22"/>
              </w:rPr>
            </w:pPr>
            <w:r>
              <w:rPr>
                <w:color w:val="0D0D0D"/>
                <w:spacing w:val="-5"/>
                <w:sz w:val="22"/>
              </w:rPr>
              <w:t>IV</w:t>
            </w:r>
          </w:p>
        </w:tc>
        <w:tc>
          <w:tcPr>
            <w:tcW w:w="708" w:type="dxa"/>
          </w:tcPr>
          <w:p>
            <w:pPr>
              <w:pStyle w:val="TableParagraph"/>
              <w:ind w:left="60" w:right="2"/>
              <w:rPr>
                <w:sz w:val="22"/>
              </w:rPr>
            </w:pPr>
            <w:r>
              <w:rPr>
                <w:color w:val="0D0D0D"/>
                <w:spacing w:val="-4"/>
                <w:sz w:val="22"/>
              </w:rPr>
              <w:t>38.2</w:t>
            </w:r>
          </w:p>
        </w:tc>
        <w:tc>
          <w:tcPr>
            <w:tcW w:w="816" w:type="dxa"/>
          </w:tcPr>
          <w:p>
            <w:pPr>
              <w:pStyle w:val="TableParagraph"/>
              <w:ind w:left="130"/>
              <w:jc w:val="left"/>
              <w:rPr>
                <w:sz w:val="22"/>
              </w:rPr>
            </w:pPr>
            <w:r>
              <w:rPr>
                <w:color w:val="0D0D0D"/>
                <w:spacing w:val="-2"/>
                <w:sz w:val="22"/>
              </w:rPr>
              <w:t>38.03</w:t>
            </w:r>
          </w:p>
        </w:tc>
        <w:tc>
          <w:tcPr>
            <w:tcW w:w="679" w:type="dxa"/>
          </w:tcPr>
          <w:p>
            <w:pPr>
              <w:pStyle w:val="TableParagraph"/>
              <w:ind w:left="35" w:right="5"/>
              <w:rPr>
                <w:sz w:val="22"/>
              </w:rPr>
            </w:pPr>
            <w:r>
              <w:rPr>
                <w:color w:val="0D0D0D"/>
                <w:spacing w:val="-5"/>
                <w:sz w:val="22"/>
              </w:rPr>
              <w:t>122</w:t>
            </w:r>
          </w:p>
        </w:tc>
        <w:tc>
          <w:tcPr>
            <w:tcW w:w="797" w:type="dxa"/>
          </w:tcPr>
          <w:p>
            <w:pPr>
              <w:pStyle w:val="TableParagraph"/>
              <w:ind w:left="155"/>
              <w:jc w:val="left"/>
              <w:rPr>
                <w:sz w:val="22"/>
              </w:rPr>
            </w:pPr>
            <w:r>
              <w:rPr>
                <w:color w:val="0D0D0D"/>
                <w:spacing w:val="-4"/>
                <w:sz w:val="22"/>
              </w:rPr>
              <w:t>108.0</w:t>
            </w:r>
          </w:p>
        </w:tc>
        <w:tc>
          <w:tcPr>
            <w:tcW w:w="660" w:type="dxa"/>
          </w:tcPr>
          <w:p>
            <w:pPr>
              <w:pStyle w:val="TableParagraph"/>
              <w:ind w:left="11"/>
              <w:rPr>
                <w:sz w:val="22"/>
              </w:rPr>
            </w:pPr>
            <w:r>
              <w:rPr>
                <w:color w:val="0D0D0D"/>
                <w:spacing w:val="-4"/>
                <w:sz w:val="22"/>
              </w:rPr>
              <w:t>10.0</w:t>
            </w:r>
          </w:p>
        </w:tc>
        <w:tc>
          <w:tcPr>
            <w:tcW w:w="718" w:type="dxa"/>
          </w:tcPr>
          <w:p>
            <w:pPr>
              <w:pStyle w:val="TableParagraph"/>
              <w:ind w:left="130"/>
              <w:jc w:val="left"/>
              <w:rPr>
                <w:sz w:val="22"/>
              </w:rPr>
            </w:pPr>
            <w:r>
              <w:rPr>
                <w:color w:val="0D0D0D"/>
                <w:spacing w:val="-5"/>
                <w:sz w:val="22"/>
              </w:rPr>
              <w:t>8.8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98.5</w:t>
            </w:r>
          </w:p>
        </w:tc>
        <w:tc>
          <w:tcPr>
            <w:tcW w:w="762" w:type="dxa"/>
          </w:tcPr>
          <w:p>
            <w:pPr>
              <w:pStyle w:val="TableParagraph"/>
              <w:ind w:left="55"/>
              <w:rPr>
                <w:sz w:val="22"/>
              </w:rPr>
            </w:pPr>
            <w:r>
              <w:rPr>
                <w:color w:val="0D0D0D"/>
                <w:spacing w:val="-4"/>
                <w:sz w:val="22"/>
              </w:rPr>
              <w:t>140.0</w:t>
            </w:r>
          </w:p>
        </w:tc>
        <w:tc>
          <w:tcPr>
            <w:tcW w:w="748" w:type="dxa"/>
          </w:tcPr>
          <w:p>
            <w:pPr>
              <w:pStyle w:val="TableParagraph"/>
              <w:ind w:left="8" w:right="44"/>
              <w:rPr>
                <w:sz w:val="22"/>
              </w:rPr>
            </w:pPr>
            <w:r>
              <w:rPr>
                <w:color w:val="0D0D0D"/>
                <w:spacing w:val="-4"/>
                <w:sz w:val="22"/>
              </w:rPr>
              <w:t>146.8</w:t>
            </w:r>
          </w:p>
        </w:tc>
        <w:tc>
          <w:tcPr>
            <w:tcW w:w="750" w:type="dxa"/>
          </w:tcPr>
          <w:p>
            <w:pPr>
              <w:pStyle w:val="TableParagraph"/>
              <w:ind w:right="70"/>
              <w:rPr>
                <w:sz w:val="22"/>
              </w:rPr>
            </w:pPr>
            <w:r>
              <w:rPr>
                <w:color w:val="0D0D0D"/>
                <w:spacing w:val="-4"/>
                <w:sz w:val="22"/>
              </w:rPr>
              <w:t>82.0</w:t>
            </w:r>
          </w:p>
        </w:tc>
        <w:tc>
          <w:tcPr>
            <w:tcW w:w="666" w:type="dxa"/>
          </w:tcPr>
          <w:p>
            <w:pPr>
              <w:pStyle w:val="TableParagraph"/>
              <w:ind w:right="61"/>
              <w:rPr>
                <w:sz w:val="22"/>
              </w:rPr>
            </w:pPr>
            <w:r>
              <w:rPr>
                <w:color w:val="0D0D0D"/>
                <w:spacing w:val="-4"/>
                <w:sz w:val="22"/>
              </w:rPr>
              <w:t>85.0</w:t>
            </w:r>
          </w:p>
        </w:tc>
        <w:tc>
          <w:tcPr>
            <w:tcW w:w="778" w:type="dxa"/>
          </w:tcPr>
          <w:p>
            <w:pPr>
              <w:pStyle w:val="TableParagraph"/>
              <w:ind w:left="174"/>
              <w:jc w:val="left"/>
              <w:rPr>
                <w:sz w:val="22"/>
              </w:rPr>
            </w:pPr>
            <w:r>
              <w:rPr>
                <w:color w:val="0D0D0D"/>
                <w:spacing w:val="-4"/>
                <w:sz w:val="22"/>
              </w:rPr>
              <w:t>101.0</w:t>
            </w:r>
          </w:p>
        </w:tc>
        <w:tc>
          <w:tcPr>
            <w:tcW w:w="780" w:type="dxa"/>
          </w:tcPr>
          <w:p>
            <w:pPr>
              <w:pStyle w:val="TableParagraph"/>
              <w:ind w:left="20" w:right="83"/>
              <w:rPr>
                <w:sz w:val="22"/>
              </w:rPr>
            </w:pPr>
            <w:r>
              <w:rPr>
                <w:color w:val="0D0D0D"/>
                <w:spacing w:val="-4"/>
                <w:sz w:val="22"/>
              </w:rPr>
              <w:t>107.0</w:t>
            </w:r>
          </w:p>
        </w:tc>
      </w:tr>
      <w:tr>
        <w:trPr>
          <w:trHeight w:val="380" w:hRule="atLeast"/>
        </w:trPr>
        <w:tc>
          <w:tcPr>
            <w:tcW w:w="1143" w:type="dxa"/>
          </w:tcPr>
          <w:p>
            <w:pPr>
              <w:pStyle w:val="TableParagraph"/>
              <w:ind w:left="114"/>
              <w:jc w:val="left"/>
              <w:rPr>
                <w:b/>
                <w:sz w:val="22"/>
              </w:rPr>
            </w:pPr>
            <w:r>
              <w:rPr>
                <w:b/>
                <w:color w:val="0D0D0D"/>
                <w:spacing w:val="-4"/>
                <w:sz w:val="22"/>
              </w:rPr>
              <w:t>Nala</w:t>
            </w:r>
          </w:p>
        </w:tc>
        <w:tc>
          <w:tcPr>
            <w:tcW w:w="685" w:type="dxa"/>
          </w:tcPr>
          <w:p>
            <w:pPr>
              <w:pStyle w:val="TableParagraph"/>
              <w:ind w:left="35" w:right="36"/>
              <w:rPr>
                <w:sz w:val="22"/>
              </w:rPr>
            </w:pPr>
            <w:r>
              <w:rPr>
                <w:color w:val="0D0D0D"/>
                <w:spacing w:val="-5"/>
                <w:sz w:val="22"/>
              </w:rPr>
              <w:t>IV</w:t>
            </w:r>
          </w:p>
        </w:tc>
        <w:tc>
          <w:tcPr>
            <w:tcW w:w="708" w:type="dxa"/>
          </w:tcPr>
          <w:p>
            <w:pPr>
              <w:pStyle w:val="TableParagraph"/>
              <w:ind w:left="60" w:right="2"/>
              <w:rPr>
                <w:sz w:val="22"/>
              </w:rPr>
            </w:pPr>
            <w:r>
              <w:rPr>
                <w:color w:val="0D0D0D"/>
                <w:spacing w:val="-4"/>
                <w:sz w:val="22"/>
              </w:rPr>
              <w:t>38.3</w:t>
            </w:r>
          </w:p>
        </w:tc>
        <w:tc>
          <w:tcPr>
            <w:tcW w:w="816" w:type="dxa"/>
          </w:tcPr>
          <w:p>
            <w:pPr>
              <w:pStyle w:val="TableParagraph"/>
              <w:ind w:left="130"/>
              <w:jc w:val="left"/>
              <w:rPr>
                <w:sz w:val="22"/>
              </w:rPr>
            </w:pPr>
            <w:r>
              <w:rPr>
                <w:color w:val="0D0D0D"/>
                <w:spacing w:val="-2"/>
                <w:sz w:val="22"/>
              </w:rPr>
              <w:t>38.15</w:t>
            </w:r>
          </w:p>
        </w:tc>
        <w:tc>
          <w:tcPr>
            <w:tcW w:w="679" w:type="dxa"/>
          </w:tcPr>
          <w:p>
            <w:pPr>
              <w:pStyle w:val="TableParagraph"/>
              <w:ind w:left="30" w:right="15"/>
              <w:rPr>
                <w:sz w:val="22"/>
              </w:rPr>
            </w:pPr>
            <w:r>
              <w:rPr>
                <w:color w:val="0D0D0D"/>
                <w:spacing w:val="-5"/>
                <w:sz w:val="22"/>
              </w:rPr>
              <w:t>119</w:t>
            </w:r>
          </w:p>
        </w:tc>
        <w:tc>
          <w:tcPr>
            <w:tcW w:w="797" w:type="dxa"/>
          </w:tcPr>
          <w:p>
            <w:pPr>
              <w:pStyle w:val="TableParagraph"/>
              <w:ind w:left="155"/>
              <w:jc w:val="left"/>
              <w:rPr>
                <w:sz w:val="22"/>
              </w:rPr>
            </w:pPr>
            <w:r>
              <w:rPr>
                <w:color w:val="0D0D0D"/>
                <w:spacing w:val="-4"/>
                <w:sz w:val="22"/>
              </w:rPr>
              <w:t>103.7</w:t>
            </w:r>
          </w:p>
        </w:tc>
        <w:tc>
          <w:tcPr>
            <w:tcW w:w="660" w:type="dxa"/>
          </w:tcPr>
          <w:p>
            <w:pPr>
              <w:pStyle w:val="TableParagraph"/>
              <w:ind w:left="11"/>
              <w:rPr>
                <w:sz w:val="22"/>
              </w:rPr>
            </w:pPr>
            <w:r>
              <w:rPr>
                <w:color w:val="0D0D0D"/>
                <w:spacing w:val="-4"/>
                <w:sz w:val="22"/>
              </w:rPr>
              <w:t>12.0</w:t>
            </w:r>
          </w:p>
        </w:tc>
        <w:tc>
          <w:tcPr>
            <w:tcW w:w="718" w:type="dxa"/>
          </w:tcPr>
          <w:p>
            <w:pPr>
              <w:pStyle w:val="TableParagraph"/>
              <w:ind w:left="130"/>
              <w:jc w:val="left"/>
              <w:rPr>
                <w:sz w:val="22"/>
              </w:rPr>
            </w:pPr>
            <w:r>
              <w:rPr>
                <w:color w:val="0D0D0D"/>
                <w:spacing w:val="-4"/>
                <w:sz w:val="22"/>
              </w:rPr>
              <w:t>10.2</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98.8</w:t>
            </w:r>
          </w:p>
        </w:tc>
        <w:tc>
          <w:tcPr>
            <w:tcW w:w="762" w:type="dxa"/>
          </w:tcPr>
          <w:p>
            <w:pPr>
              <w:pStyle w:val="TableParagraph"/>
              <w:ind w:left="55"/>
              <w:rPr>
                <w:sz w:val="22"/>
              </w:rPr>
            </w:pPr>
            <w:r>
              <w:rPr>
                <w:color w:val="0D0D0D"/>
                <w:spacing w:val="-4"/>
                <w:sz w:val="22"/>
              </w:rPr>
              <w:t>138.0</w:t>
            </w:r>
          </w:p>
        </w:tc>
        <w:tc>
          <w:tcPr>
            <w:tcW w:w="748" w:type="dxa"/>
          </w:tcPr>
          <w:p>
            <w:pPr>
              <w:pStyle w:val="TableParagraph"/>
              <w:ind w:left="8" w:right="44"/>
              <w:rPr>
                <w:sz w:val="22"/>
              </w:rPr>
            </w:pPr>
            <w:r>
              <w:rPr>
                <w:color w:val="0D0D0D"/>
                <w:spacing w:val="-4"/>
                <w:sz w:val="22"/>
              </w:rPr>
              <w:t>146.7</w:t>
            </w:r>
          </w:p>
        </w:tc>
        <w:tc>
          <w:tcPr>
            <w:tcW w:w="750" w:type="dxa"/>
          </w:tcPr>
          <w:p>
            <w:pPr>
              <w:pStyle w:val="TableParagraph"/>
              <w:ind w:right="70"/>
              <w:rPr>
                <w:sz w:val="22"/>
              </w:rPr>
            </w:pPr>
            <w:r>
              <w:rPr>
                <w:color w:val="0D0D0D"/>
                <w:spacing w:val="-4"/>
                <w:sz w:val="22"/>
              </w:rPr>
              <w:t>80.0</w:t>
            </w:r>
          </w:p>
        </w:tc>
        <w:tc>
          <w:tcPr>
            <w:tcW w:w="666" w:type="dxa"/>
          </w:tcPr>
          <w:p>
            <w:pPr>
              <w:pStyle w:val="TableParagraph"/>
              <w:ind w:right="61"/>
              <w:rPr>
                <w:sz w:val="22"/>
              </w:rPr>
            </w:pPr>
            <w:r>
              <w:rPr>
                <w:color w:val="0D0D0D"/>
                <w:spacing w:val="-4"/>
                <w:sz w:val="22"/>
              </w:rPr>
              <w:t>86.0</w:t>
            </w:r>
          </w:p>
        </w:tc>
        <w:tc>
          <w:tcPr>
            <w:tcW w:w="778" w:type="dxa"/>
          </w:tcPr>
          <w:p>
            <w:pPr>
              <w:pStyle w:val="TableParagraph"/>
              <w:ind w:left="174"/>
              <w:jc w:val="left"/>
              <w:rPr>
                <w:sz w:val="22"/>
              </w:rPr>
            </w:pPr>
            <w:r>
              <w:rPr>
                <w:color w:val="0D0D0D"/>
                <w:spacing w:val="-4"/>
                <w:sz w:val="22"/>
              </w:rPr>
              <w:t>99.0</w:t>
            </w:r>
          </w:p>
        </w:tc>
        <w:tc>
          <w:tcPr>
            <w:tcW w:w="780" w:type="dxa"/>
          </w:tcPr>
          <w:p>
            <w:pPr>
              <w:pStyle w:val="TableParagraph"/>
              <w:ind w:left="20" w:right="83"/>
              <w:rPr>
                <w:sz w:val="22"/>
              </w:rPr>
            </w:pPr>
            <w:r>
              <w:rPr>
                <w:color w:val="0D0D0D"/>
                <w:spacing w:val="-4"/>
                <w:sz w:val="22"/>
              </w:rPr>
              <w:t>107.3</w:t>
            </w:r>
          </w:p>
        </w:tc>
      </w:tr>
      <w:tr>
        <w:trPr>
          <w:trHeight w:val="380" w:hRule="atLeast"/>
        </w:trPr>
        <w:tc>
          <w:tcPr>
            <w:tcW w:w="1143" w:type="dxa"/>
          </w:tcPr>
          <w:p>
            <w:pPr>
              <w:pStyle w:val="TableParagraph"/>
              <w:ind w:left="114"/>
              <w:jc w:val="left"/>
              <w:rPr>
                <w:b/>
                <w:sz w:val="22"/>
              </w:rPr>
            </w:pPr>
            <w:r>
              <w:rPr>
                <w:b/>
                <w:color w:val="0D0D0D"/>
                <w:spacing w:val="-2"/>
                <w:sz w:val="22"/>
              </w:rPr>
              <w:t>Bruno</w:t>
            </w:r>
          </w:p>
        </w:tc>
        <w:tc>
          <w:tcPr>
            <w:tcW w:w="685" w:type="dxa"/>
          </w:tcPr>
          <w:p>
            <w:pPr>
              <w:pStyle w:val="TableParagraph"/>
              <w:ind w:left="35" w:right="36"/>
              <w:rPr>
                <w:sz w:val="22"/>
              </w:rPr>
            </w:pPr>
            <w:r>
              <w:rPr>
                <w:color w:val="0D0D0D"/>
                <w:spacing w:val="-5"/>
                <w:sz w:val="22"/>
              </w:rPr>
              <w:t>IV</w:t>
            </w:r>
          </w:p>
        </w:tc>
        <w:tc>
          <w:tcPr>
            <w:tcW w:w="708" w:type="dxa"/>
          </w:tcPr>
          <w:p>
            <w:pPr>
              <w:pStyle w:val="TableParagraph"/>
              <w:ind w:left="60" w:right="2"/>
              <w:rPr>
                <w:sz w:val="22"/>
              </w:rPr>
            </w:pPr>
            <w:r>
              <w:rPr>
                <w:color w:val="0D0D0D"/>
                <w:spacing w:val="-4"/>
                <w:sz w:val="22"/>
              </w:rPr>
              <w:t>38.4</w:t>
            </w:r>
          </w:p>
        </w:tc>
        <w:tc>
          <w:tcPr>
            <w:tcW w:w="816" w:type="dxa"/>
          </w:tcPr>
          <w:p>
            <w:pPr>
              <w:pStyle w:val="TableParagraph"/>
              <w:ind w:left="130"/>
              <w:jc w:val="left"/>
              <w:rPr>
                <w:sz w:val="22"/>
              </w:rPr>
            </w:pPr>
            <w:r>
              <w:rPr>
                <w:color w:val="0D0D0D"/>
                <w:spacing w:val="-2"/>
                <w:sz w:val="22"/>
              </w:rPr>
              <w:t>38.28</w:t>
            </w:r>
          </w:p>
        </w:tc>
        <w:tc>
          <w:tcPr>
            <w:tcW w:w="679" w:type="dxa"/>
          </w:tcPr>
          <w:p>
            <w:pPr>
              <w:pStyle w:val="TableParagraph"/>
              <w:ind w:left="30" w:right="15"/>
              <w:rPr>
                <w:sz w:val="22"/>
              </w:rPr>
            </w:pPr>
            <w:r>
              <w:rPr>
                <w:color w:val="0D0D0D"/>
                <w:spacing w:val="-5"/>
                <w:sz w:val="22"/>
              </w:rPr>
              <w:t>114</w:t>
            </w:r>
          </w:p>
        </w:tc>
        <w:tc>
          <w:tcPr>
            <w:tcW w:w="797" w:type="dxa"/>
          </w:tcPr>
          <w:p>
            <w:pPr>
              <w:pStyle w:val="TableParagraph"/>
              <w:ind w:left="155"/>
              <w:jc w:val="left"/>
              <w:rPr>
                <w:sz w:val="22"/>
              </w:rPr>
            </w:pPr>
            <w:r>
              <w:rPr>
                <w:color w:val="0D0D0D"/>
                <w:spacing w:val="-4"/>
                <w:sz w:val="22"/>
              </w:rPr>
              <w:t>73.3</w:t>
            </w:r>
          </w:p>
        </w:tc>
        <w:tc>
          <w:tcPr>
            <w:tcW w:w="660" w:type="dxa"/>
          </w:tcPr>
          <w:p>
            <w:pPr>
              <w:pStyle w:val="TableParagraph"/>
              <w:ind w:left="11"/>
              <w:rPr>
                <w:sz w:val="22"/>
              </w:rPr>
            </w:pPr>
            <w:r>
              <w:rPr>
                <w:color w:val="0D0D0D"/>
                <w:spacing w:val="-4"/>
                <w:sz w:val="22"/>
              </w:rPr>
              <w:t>12.0</w:t>
            </w:r>
          </w:p>
        </w:tc>
        <w:tc>
          <w:tcPr>
            <w:tcW w:w="718" w:type="dxa"/>
          </w:tcPr>
          <w:p>
            <w:pPr>
              <w:pStyle w:val="TableParagraph"/>
              <w:spacing w:before="0"/>
              <w:jc w:val="left"/>
              <w:rPr>
                <w:sz w:val="22"/>
              </w:rPr>
            </w:pP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3.0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92.8</w:t>
            </w:r>
          </w:p>
        </w:tc>
        <w:tc>
          <w:tcPr>
            <w:tcW w:w="762" w:type="dxa"/>
          </w:tcPr>
          <w:p>
            <w:pPr>
              <w:pStyle w:val="TableParagraph"/>
              <w:ind w:left="55"/>
              <w:rPr>
                <w:sz w:val="22"/>
              </w:rPr>
            </w:pPr>
            <w:r>
              <w:rPr>
                <w:color w:val="0D0D0D"/>
                <w:spacing w:val="-4"/>
                <w:sz w:val="22"/>
              </w:rPr>
              <w:t>165.0</w:t>
            </w:r>
          </w:p>
        </w:tc>
        <w:tc>
          <w:tcPr>
            <w:tcW w:w="748" w:type="dxa"/>
          </w:tcPr>
          <w:p>
            <w:pPr>
              <w:pStyle w:val="TableParagraph"/>
              <w:ind w:left="8" w:right="44"/>
              <w:rPr>
                <w:sz w:val="22"/>
              </w:rPr>
            </w:pPr>
            <w:r>
              <w:rPr>
                <w:color w:val="0D0D0D"/>
                <w:spacing w:val="-4"/>
                <w:sz w:val="22"/>
              </w:rPr>
              <w:t>160.5</w:t>
            </w:r>
          </w:p>
        </w:tc>
        <w:tc>
          <w:tcPr>
            <w:tcW w:w="750" w:type="dxa"/>
          </w:tcPr>
          <w:p>
            <w:pPr>
              <w:pStyle w:val="TableParagraph"/>
              <w:ind w:left="109" w:right="70"/>
              <w:rPr>
                <w:sz w:val="22"/>
              </w:rPr>
            </w:pPr>
            <w:r>
              <w:rPr>
                <w:color w:val="0D0D0D"/>
                <w:spacing w:val="-4"/>
                <w:sz w:val="22"/>
              </w:rPr>
              <w:t>102.0</w:t>
            </w:r>
          </w:p>
        </w:tc>
        <w:tc>
          <w:tcPr>
            <w:tcW w:w="666" w:type="dxa"/>
          </w:tcPr>
          <w:p>
            <w:pPr>
              <w:pStyle w:val="TableParagraph"/>
              <w:ind w:right="61"/>
              <w:rPr>
                <w:sz w:val="22"/>
              </w:rPr>
            </w:pPr>
            <w:r>
              <w:rPr>
                <w:color w:val="0D0D0D"/>
                <w:spacing w:val="-4"/>
                <w:sz w:val="22"/>
              </w:rPr>
              <w:t>96.7</w:t>
            </w:r>
          </w:p>
        </w:tc>
        <w:tc>
          <w:tcPr>
            <w:tcW w:w="778" w:type="dxa"/>
          </w:tcPr>
          <w:p>
            <w:pPr>
              <w:pStyle w:val="TableParagraph"/>
              <w:ind w:left="174"/>
              <w:jc w:val="left"/>
              <w:rPr>
                <w:sz w:val="22"/>
              </w:rPr>
            </w:pPr>
            <w:r>
              <w:rPr>
                <w:color w:val="0D0D0D"/>
                <w:spacing w:val="-4"/>
                <w:sz w:val="22"/>
              </w:rPr>
              <w:t>128.0</w:t>
            </w:r>
          </w:p>
        </w:tc>
        <w:tc>
          <w:tcPr>
            <w:tcW w:w="780" w:type="dxa"/>
          </w:tcPr>
          <w:p>
            <w:pPr>
              <w:pStyle w:val="TableParagraph"/>
              <w:ind w:left="20" w:right="83"/>
              <w:rPr>
                <w:sz w:val="22"/>
              </w:rPr>
            </w:pPr>
            <w:r>
              <w:rPr>
                <w:color w:val="0D0D0D"/>
                <w:spacing w:val="-4"/>
                <w:sz w:val="22"/>
              </w:rPr>
              <w:t>121.7</w:t>
            </w:r>
          </w:p>
        </w:tc>
      </w:tr>
      <w:tr>
        <w:trPr>
          <w:trHeight w:val="378" w:hRule="atLeast"/>
        </w:trPr>
        <w:tc>
          <w:tcPr>
            <w:tcW w:w="1143" w:type="dxa"/>
          </w:tcPr>
          <w:p>
            <w:pPr>
              <w:pStyle w:val="TableParagraph"/>
              <w:ind w:left="114"/>
              <w:jc w:val="left"/>
              <w:rPr>
                <w:b/>
                <w:sz w:val="22"/>
              </w:rPr>
            </w:pPr>
            <w:r>
              <w:rPr>
                <w:b/>
                <w:color w:val="0D0D0D"/>
                <w:spacing w:val="-4"/>
                <w:sz w:val="22"/>
              </w:rPr>
              <w:t>Tita</w:t>
            </w:r>
          </w:p>
        </w:tc>
        <w:tc>
          <w:tcPr>
            <w:tcW w:w="685" w:type="dxa"/>
          </w:tcPr>
          <w:p>
            <w:pPr>
              <w:pStyle w:val="TableParagraph"/>
              <w:ind w:left="35" w:right="36"/>
              <w:rPr>
                <w:sz w:val="22"/>
              </w:rPr>
            </w:pPr>
            <w:r>
              <w:rPr>
                <w:color w:val="0D0D0D"/>
                <w:spacing w:val="-5"/>
                <w:sz w:val="22"/>
              </w:rPr>
              <w:t>IV</w:t>
            </w:r>
          </w:p>
        </w:tc>
        <w:tc>
          <w:tcPr>
            <w:tcW w:w="708" w:type="dxa"/>
          </w:tcPr>
          <w:p>
            <w:pPr>
              <w:pStyle w:val="TableParagraph"/>
              <w:ind w:left="60" w:right="2"/>
              <w:rPr>
                <w:sz w:val="22"/>
              </w:rPr>
            </w:pPr>
            <w:r>
              <w:rPr>
                <w:color w:val="0D0D0D"/>
                <w:spacing w:val="-4"/>
                <w:sz w:val="22"/>
              </w:rPr>
              <w:t>38.6</w:t>
            </w:r>
          </w:p>
        </w:tc>
        <w:tc>
          <w:tcPr>
            <w:tcW w:w="816" w:type="dxa"/>
          </w:tcPr>
          <w:p>
            <w:pPr>
              <w:pStyle w:val="TableParagraph"/>
              <w:ind w:left="130"/>
              <w:jc w:val="left"/>
              <w:rPr>
                <w:sz w:val="22"/>
              </w:rPr>
            </w:pPr>
            <w:r>
              <w:rPr>
                <w:color w:val="0D0D0D"/>
                <w:spacing w:val="-2"/>
                <w:sz w:val="22"/>
              </w:rPr>
              <w:t>38.45</w:t>
            </w:r>
          </w:p>
        </w:tc>
        <w:tc>
          <w:tcPr>
            <w:tcW w:w="679" w:type="dxa"/>
          </w:tcPr>
          <w:p>
            <w:pPr>
              <w:pStyle w:val="TableParagraph"/>
              <w:ind w:left="35" w:right="5"/>
              <w:rPr>
                <w:sz w:val="22"/>
              </w:rPr>
            </w:pPr>
            <w:r>
              <w:rPr>
                <w:color w:val="0D0D0D"/>
                <w:spacing w:val="-5"/>
                <w:sz w:val="22"/>
              </w:rPr>
              <w:t>106</w:t>
            </w:r>
          </w:p>
        </w:tc>
        <w:tc>
          <w:tcPr>
            <w:tcW w:w="797" w:type="dxa"/>
          </w:tcPr>
          <w:p>
            <w:pPr>
              <w:pStyle w:val="TableParagraph"/>
              <w:ind w:left="155"/>
              <w:jc w:val="left"/>
              <w:rPr>
                <w:sz w:val="22"/>
              </w:rPr>
            </w:pPr>
            <w:r>
              <w:rPr>
                <w:color w:val="0D0D0D"/>
                <w:spacing w:val="-4"/>
                <w:sz w:val="22"/>
              </w:rPr>
              <w:t>94.8</w:t>
            </w:r>
          </w:p>
        </w:tc>
        <w:tc>
          <w:tcPr>
            <w:tcW w:w="660" w:type="dxa"/>
          </w:tcPr>
          <w:p>
            <w:pPr>
              <w:pStyle w:val="TableParagraph"/>
              <w:ind w:left="11"/>
              <w:rPr>
                <w:sz w:val="22"/>
              </w:rPr>
            </w:pPr>
            <w:r>
              <w:rPr>
                <w:color w:val="0D0D0D"/>
                <w:spacing w:val="-4"/>
                <w:sz w:val="22"/>
              </w:rPr>
              <w:t>12.0</w:t>
            </w:r>
          </w:p>
        </w:tc>
        <w:tc>
          <w:tcPr>
            <w:tcW w:w="718" w:type="dxa"/>
          </w:tcPr>
          <w:p>
            <w:pPr>
              <w:pStyle w:val="TableParagraph"/>
              <w:ind w:left="130"/>
              <w:jc w:val="left"/>
              <w:rPr>
                <w:sz w:val="22"/>
              </w:rPr>
            </w:pPr>
            <w:r>
              <w:rPr>
                <w:color w:val="0D0D0D"/>
                <w:spacing w:val="-4"/>
                <w:sz w:val="22"/>
              </w:rPr>
              <w:t>10.5</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100.0</w:t>
            </w:r>
          </w:p>
        </w:tc>
        <w:tc>
          <w:tcPr>
            <w:tcW w:w="652" w:type="dxa"/>
          </w:tcPr>
          <w:p>
            <w:pPr>
              <w:pStyle w:val="TableParagraph"/>
              <w:ind w:right="48"/>
              <w:rPr>
                <w:sz w:val="22"/>
              </w:rPr>
            </w:pPr>
            <w:r>
              <w:rPr>
                <w:color w:val="0D0D0D"/>
                <w:spacing w:val="-4"/>
                <w:sz w:val="22"/>
              </w:rPr>
              <w:t>98.2</w:t>
            </w:r>
          </w:p>
        </w:tc>
        <w:tc>
          <w:tcPr>
            <w:tcW w:w="762" w:type="dxa"/>
          </w:tcPr>
          <w:p>
            <w:pPr>
              <w:pStyle w:val="TableParagraph"/>
              <w:ind w:left="55"/>
              <w:rPr>
                <w:sz w:val="22"/>
              </w:rPr>
            </w:pPr>
            <w:r>
              <w:rPr>
                <w:color w:val="0D0D0D"/>
                <w:spacing w:val="-4"/>
                <w:sz w:val="22"/>
              </w:rPr>
              <w:t>165.0</w:t>
            </w:r>
          </w:p>
        </w:tc>
        <w:tc>
          <w:tcPr>
            <w:tcW w:w="748" w:type="dxa"/>
          </w:tcPr>
          <w:p>
            <w:pPr>
              <w:pStyle w:val="TableParagraph"/>
              <w:ind w:left="8" w:right="44"/>
              <w:rPr>
                <w:sz w:val="22"/>
              </w:rPr>
            </w:pPr>
            <w:r>
              <w:rPr>
                <w:color w:val="0D0D0D"/>
                <w:spacing w:val="-4"/>
                <w:sz w:val="22"/>
              </w:rPr>
              <w:t>160.5</w:t>
            </w:r>
          </w:p>
        </w:tc>
        <w:tc>
          <w:tcPr>
            <w:tcW w:w="750" w:type="dxa"/>
          </w:tcPr>
          <w:p>
            <w:pPr>
              <w:pStyle w:val="TableParagraph"/>
              <w:ind w:left="109" w:right="70"/>
              <w:rPr>
                <w:sz w:val="22"/>
              </w:rPr>
            </w:pPr>
            <w:r>
              <w:rPr>
                <w:color w:val="0D0D0D"/>
                <w:spacing w:val="-4"/>
                <w:sz w:val="22"/>
              </w:rPr>
              <w:t>102.0</w:t>
            </w:r>
          </w:p>
        </w:tc>
        <w:tc>
          <w:tcPr>
            <w:tcW w:w="666" w:type="dxa"/>
          </w:tcPr>
          <w:p>
            <w:pPr>
              <w:pStyle w:val="TableParagraph"/>
              <w:ind w:right="61"/>
              <w:rPr>
                <w:sz w:val="22"/>
              </w:rPr>
            </w:pPr>
            <w:r>
              <w:rPr>
                <w:color w:val="0D0D0D"/>
                <w:spacing w:val="-4"/>
                <w:sz w:val="22"/>
              </w:rPr>
              <w:t>96.7</w:t>
            </w:r>
          </w:p>
        </w:tc>
        <w:tc>
          <w:tcPr>
            <w:tcW w:w="778" w:type="dxa"/>
          </w:tcPr>
          <w:p>
            <w:pPr>
              <w:pStyle w:val="TableParagraph"/>
              <w:ind w:left="174"/>
              <w:jc w:val="left"/>
              <w:rPr>
                <w:sz w:val="22"/>
              </w:rPr>
            </w:pPr>
            <w:r>
              <w:rPr>
                <w:color w:val="0D0D0D"/>
                <w:spacing w:val="-4"/>
                <w:sz w:val="22"/>
              </w:rPr>
              <w:t>128.0</w:t>
            </w:r>
          </w:p>
        </w:tc>
        <w:tc>
          <w:tcPr>
            <w:tcW w:w="780" w:type="dxa"/>
          </w:tcPr>
          <w:p>
            <w:pPr>
              <w:pStyle w:val="TableParagraph"/>
              <w:ind w:left="20" w:right="83"/>
              <w:rPr>
                <w:sz w:val="22"/>
              </w:rPr>
            </w:pPr>
            <w:r>
              <w:rPr>
                <w:color w:val="0D0D0D"/>
                <w:spacing w:val="-4"/>
                <w:sz w:val="22"/>
              </w:rPr>
              <w:t>121.7</w:t>
            </w:r>
          </w:p>
        </w:tc>
      </w:tr>
      <w:tr>
        <w:trPr>
          <w:trHeight w:val="378" w:hRule="atLeast"/>
        </w:trPr>
        <w:tc>
          <w:tcPr>
            <w:tcW w:w="1143" w:type="dxa"/>
          </w:tcPr>
          <w:p>
            <w:pPr>
              <w:pStyle w:val="TableParagraph"/>
              <w:spacing w:before="57"/>
              <w:ind w:left="114"/>
              <w:jc w:val="left"/>
              <w:rPr>
                <w:b/>
                <w:sz w:val="22"/>
              </w:rPr>
            </w:pPr>
            <w:r>
              <w:rPr>
                <w:b/>
                <w:color w:val="0D0D0D"/>
                <w:spacing w:val="-4"/>
                <w:sz w:val="22"/>
              </w:rPr>
              <w:t>Samy</w:t>
            </w:r>
          </w:p>
        </w:tc>
        <w:tc>
          <w:tcPr>
            <w:tcW w:w="685" w:type="dxa"/>
          </w:tcPr>
          <w:p>
            <w:pPr>
              <w:pStyle w:val="TableParagraph"/>
              <w:spacing w:before="57"/>
              <w:ind w:left="35" w:right="36"/>
              <w:rPr>
                <w:sz w:val="22"/>
              </w:rPr>
            </w:pPr>
            <w:r>
              <w:rPr>
                <w:color w:val="0D0D0D"/>
                <w:spacing w:val="-5"/>
                <w:sz w:val="22"/>
              </w:rPr>
              <w:t>IV</w:t>
            </w:r>
          </w:p>
        </w:tc>
        <w:tc>
          <w:tcPr>
            <w:tcW w:w="708" w:type="dxa"/>
          </w:tcPr>
          <w:p>
            <w:pPr>
              <w:pStyle w:val="TableParagraph"/>
              <w:spacing w:before="57"/>
              <w:ind w:left="60" w:right="2"/>
              <w:rPr>
                <w:sz w:val="22"/>
              </w:rPr>
            </w:pPr>
            <w:r>
              <w:rPr>
                <w:color w:val="0D0D0D"/>
                <w:spacing w:val="-4"/>
                <w:sz w:val="22"/>
              </w:rPr>
              <w:t>38.7</w:t>
            </w:r>
          </w:p>
        </w:tc>
        <w:tc>
          <w:tcPr>
            <w:tcW w:w="816" w:type="dxa"/>
          </w:tcPr>
          <w:p>
            <w:pPr>
              <w:pStyle w:val="TableParagraph"/>
              <w:spacing w:before="57"/>
              <w:ind w:left="130"/>
              <w:jc w:val="left"/>
              <w:rPr>
                <w:sz w:val="22"/>
              </w:rPr>
            </w:pPr>
            <w:r>
              <w:rPr>
                <w:color w:val="0D0D0D"/>
                <w:spacing w:val="-2"/>
                <w:sz w:val="22"/>
              </w:rPr>
              <w:t>38.58</w:t>
            </w:r>
          </w:p>
        </w:tc>
        <w:tc>
          <w:tcPr>
            <w:tcW w:w="679" w:type="dxa"/>
          </w:tcPr>
          <w:p>
            <w:pPr>
              <w:pStyle w:val="TableParagraph"/>
              <w:spacing w:before="57"/>
              <w:ind w:left="35" w:right="5"/>
              <w:rPr>
                <w:sz w:val="22"/>
              </w:rPr>
            </w:pPr>
            <w:r>
              <w:rPr>
                <w:color w:val="0D0D0D"/>
                <w:spacing w:val="-5"/>
                <w:sz w:val="22"/>
              </w:rPr>
              <w:t>124</w:t>
            </w:r>
          </w:p>
        </w:tc>
        <w:tc>
          <w:tcPr>
            <w:tcW w:w="797" w:type="dxa"/>
          </w:tcPr>
          <w:p>
            <w:pPr>
              <w:pStyle w:val="TableParagraph"/>
              <w:spacing w:before="57"/>
              <w:ind w:left="155"/>
              <w:jc w:val="left"/>
              <w:rPr>
                <w:sz w:val="22"/>
              </w:rPr>
            </w:pPr>
            <w:r>
              <w:rPr>
                <w:color w:val="0D0D0D"/>
                <w:spacing w:val="-4"/>
                <w:sz w:val="22"/>
              </w:rPr>
              <w:t>111.2</w:t>
            </w:r>
          </w:p>
        </w:tc>
        <w:tc>
          <w:tcPr>
            <w:tcW w:w="660" w:type="dxa"/>
          </w:tcPr>
          <w:p>
            <w:pPr>
              <w:pStyle w:val="TableParagraph"/>
              <w:spacing w:before="57"/>
              <w:ind w:left="11" w:right="8"/>
              <w:rPr>
                <w:sz w:val="22"/>
              </w:rPr>
            </w:pPr>
            <w:r>
              <w:rPr>
                <w:color w:val="0D0D0D"/>
                <w:spacing w:val="-4"/>
                <w:sz w:val="22"/>
              </w:rPr>
              <w:t>11.0</w:t>
            </w:r>
          </w:p>
        </w:tc>
        <w:tc>
          <w:tcPr>
            <w:tcW w:w="718" w:type="dxa"/>
          </w:tcPr>
          <w:p>
            <w:pPr>
              <w:pStyle w:val="TableParagraph"/>
              <w:spacing w:before="57"/>
              <w:ind w:left="130"/>
              <w:jc w:val="left"/>
              <w:rPr>
                <w:sz w:val="22"/>
              </w:rPr>
            </w:pPr>
            <w:r>
              <w:rPr>
                <w:color w:val="0D0D0D"/>
                <w:spacing w:val="-4"/>
                <w:sz w:val="22"/>
              </w:rPr>
              <w:t>10.5</w:t>
            </w:r>
          </w:p>
        </w:tc>
        <w:tc>
          <w:tcPr>
            <w:tcW w:w="664" w:type="dxa"/>
          </w:tcPr>
          <w:p>
            <w:pPr>
              <w:pStyle w:val="TableParagraph"/>
              <w:spacing w:before="57"/>
              <w:ind w:left="16"/>
              <w:rPr>
                <w:sz w:val="22"/>
              </w:rPr>
            </w:pPr>
            <w:r>
              <w:rPr>
                <w:color w:val="0D0D0D"/>
                <w:spacing w:val="-5"/>
                <w:sz w:val="22"/>
              </w:rPr>
              <w:t>2.0</w:t>
            </w:r>
          </w:p>
        </w:tc>
        <w:tc>
          <w:tcPr>
            <w:tcW w:w="648" w:type="dxa"/>
          </w:tcPr>
          <w:p>
            <w:pPr>
              <w:pStyle w:val="TableParagraph"/>
              <w:spacing w:before="57"/>
              <w:rPr>
                <w:sz w:val="22"/>
              </w:rPr>
            </w:pPr>
            <w:r>
              <w:rPr>
                <w:color w:val="0D0D0D"/>
                <w:spacing w:val="-5"/>
                <w:sz w:val="22"/>
              </w:rPr>
              <w:t>2.0</w:t>
            </w:r>
          </w:p>
        </w:tc>
        <w:tc>
          <w:tcPr>
            <w:tcW w:w="790" w:type="dxa"/>
          </w:tcPr>
          <w:p>
            <w:pPr>
              <w:pStyle w:val="TableParagraph"/>
              <w:spacing w:before="57"/>
              <w:ind w:left="185"/>
              <w:jc w:val="left"/>
              <w:rPr>
                <w:sz w:val="22"/>
              </w:rPr>
            </w:pPr>
            <w:r>
              <w:rPr>
                <w:color w:val="0D0D0D"/>
                <w:spacing w:val="-4"/>
                <w:sz w:val="22"/>
              </w:rPr>
              <w:t>99.0</w:t>
            </w:r>
          </w:p>
        </w:tc>
        <w:tc>
          <w:tcPr>
            <w:tcW w:w="652" w:type="dxa"/>
          </w:tcPr>
          <w:p>
            <w:pPr>
              <w:pStyle w:val="TableParagraph"/>
              <w:spacing w:before="57"/>
              <w:ind w:right="48"/>
              <w:rPr>
                <w:sz w:val="22"/>
              </w:rPr>
            </w:pPr>
            <w:r>
              <w:rPr>
                <w:color w:val="0D0D0D"/>
                <w:spacing w:val="-4"/>
                <w:sz w:val="22"/>
              </w:rPr>
              <w:t>98.3</w:t>
            </w:r>
          </w:p>
        </w:tc>
        <w:tc>
          <w:tcPr>
            <w:tcW w:w="762" w:type="dxa"/>
          </w:tcPr>
          <w:p>
            <w:pPr>
              <w:pStyle w:val="TableParagraph"/>
              <w:spacing w:before="57"/>
              <w:ind w:left="55"/>
              <w:rPr>
                <w:sz w:val="22"/>
              </w:rPr>
            </w:pPr>
            <w:r>
              <w:rPr>
                <w:color w:val="0D0D0D"/>
                <w:spacing w:val="-4"/>
                <w:sz w:val="22"/>
              </w:rPr>
              <w:t>142.0</w:t>
            </w:r>
          </w:p>
        </w:tc>
        <w:tc>
          <w:tcPr>
            <w:tcW w:w="748" w:type="dxa"/>
          </w:tcPr>
          <w:p>
            <w:pPr>
              <w:pStyle w:val="TableParagraph"/>
              <w:spacing w:before="57"/>
              <w:ind w:left="8" w:right="44"/>
              <w:rPr>
                <w:sz w:val="22"/>
              </w:rPr>
            </w:pPr>
            <w:r>
              <w:rPr>
                <w:color w:val="0D0D0D"/>
                <w:spacing w:val="-4"/>
                <w:sz w:val="22"/>
              </w:rPr>
              <w:t>149.2</w:t>
            </w:r>
          </w:p>
        </w:tc>
        <w:tc>
          <w:tcPr>
            <w:tcW w:w="750" w:type="dxa"/>
          </w:tcPr>
          <w:p>
            <w:pPr>
              <w:pStyle w:val="TableParagraph"/>
              <w:spacing w:before="57"/>
              <w:ind w:right="70"/>
              <w:rPr>
                <w:sz w:val="22"/>
              </w:rPr>
            </w:pPr>
            <w:r>
              <w:rPr>
                <w:color w:val="0D0D0D"/>
                <w:spacing w:val="-4"/>
                <w:sz w:val="22"/>
              </w:rPr>
              <w:t>84.0</w:t>
            </w:r>
          </w:p>
        </w:tc>
        <w:tc>
          <w:tcPr>
            <w:tcW w:w="666" w:type="dxa"/>
          </w:tcPr>
          <w:p>
            <w:pPr>
              <w:pStyle w:val="TableParagraph"/>
              <w:spacing w:before="57"/>
              <w:ind w:right="61"/>
              <w:rPr>
                <w:sz w:val="22"/>
              </w:rPr>
            </w:pPr>
            <w:r>
              <w:rPr>
                <w:color w:val="0D0D0D"/>
                <w:spacing w:val="-4"/>
                <w:sz w:val="22"/>
              </w:rPr>
              <w:t>86.3</w:t>
            </w:r>
          </w:p>
        </w:tc>
        <w:tc>
          <w:tcPr>
            <w:tcW w:w="778" w:type="dxa"/>
          </w:tcPr>
          <w:p>
            <w:pPr>
              <w:pStyle w:val="TableParagraph"/>
              <w:spacing w:before="57"/>
              <w:ind w:left="174"/>
              <w:jc w:val="left"/>
              <w:rPr>
                <w:sz w:val="22"/>
              </w:rPr>
            </w:pPr>
            <w:r>
              <w:rPr>
                <w:color w:val="0D0D0D"/>
                <w:spacing w:val="-4"/>
                <w:sz w:val="22"/>
              </w:rPr>
              <w:t>103.0</w:t>
            </w:r>
          </w:p>
        </w:tc>
        <w:tc>
          <w:tcPr>
            <w:tcW w:w="780" w:type="dxa"/>
          </w:tcPr>
          <w:p>
            <w:pPr>
              <w:pStyle w:val="TableParagraph"/>
              <w:spacing w:before="57"/>
              <w:ind w:left="20" w:right="83"/>
              <w:rPr>
                <w:sz w:val="22"/>
              </w:rPr>
            </w:pPr>
            <w:r>
              <w:rPr>
                <w:color w:val="0D0D0D"/>
                <w:spacing w:val="-4"/>
                <w:sz w:val="22"/>
              </w:rPr>
              <w:t>108.0</w:t>
            </w:r>
          </w:p>
        </w:tc>
      </w:tr>
      <w:tr>
        <w:trPr>
          <w:trHeight w:val="380" w:hRule="atLeast"/>
        </w:trPr>
        <w:tc>
          <w:tcPr>
            <w:tcW w:w="1143" w:type="dxa"/>
          </w:tcPr>
          <w:p>
            <w:pPr>
              <w:pStyle w:val="TableParagraph"/>
              <w:ind w:left="114"/>
              <w:jc w:val="left"/>
              <w:rPr>
                <w:b/>
                <w:sz w:val="22"/>
              </w:rPr>
            </w:pPr>
            <w:r>
              <w:rPr>
                <w:b/>
                <w:color w:val="0D0D0D"/>
                <w:spacing w:val="-5"/>
                <w:sz w:val="22"/>
              </w:rPr>
              <w:t>Max</w:t>
            </w:r>
          </w:p>
        </w:tc>
        <w:tc>
          <w:tcPr>
            <w:tcW w:w="685" w:type="dxa"/>
          </w:tcPr>
          <w:p>
            <w:pPr>
              <w:pStyle w:val="TableParagraph"/>
              <w:ind w:left="35" w:right="36"/>
              <w:rPr>
                <w:sz w:val="22"/>
              </w:rPr>
            </w:pPr>
            <w:r>
              <w:rPr>
                <w:color w:val="0D0D0D"/>
                <w:spacing w:val="-5"/>
                <w:sz w:val="22"/>
              </w:rPr>
              <w:t>IV</w:t>
            </w:r>
          </w:p>
        </w:tc>
        <w:tc>
          <w:tcPr>
            <w:tcW w:w="708" w:type="dxa"/>
          </w:tcPr>
          <w:p>
            <w:pPr>
              <w:pStyle w:val="TableParagraph"/>
              <w:ind w:left="60" w:right="2"/>
              <w:rPr>
                <w:sz w:val="22"/>
              </w:rPr>
            </w:pPr>
            <w:r>
              <w:rPr>
                <w:color w:val="0D0D0D"/>
                <w:spacing w:val="-4"/>
                <w:sz w:val="22"/>
              </w:rPr>
              <w:t>38.3</w:t>
            </w:r>
          </w:p>
        </w:tc>
        <w:tc>
          <w:tcPr>
            <w:tcW w:w="816" w:type="dxa"/>
          </w:tcPr>
          <w:p>
            <w:pPr>
              <w:pStyle w:val="TableParagraph"/>
              <w:ind w:left="130"/>
              <w:jc w:val="left"/>
              <w:rPr>
                <w:sz w:val="22"/>
              </w:rPr>
            </w:pPr>
            <w:r>
              <w:rPr>
                <w:color w:val="0D0D0D"/>
                <w:spacing w:val="-2"/>
                <w:sz w:val="22"/>
              </w:rPr>
              <w:t>38.16</w:t>
            </w:r>
          </w:p>
        </w:tc>
        <w:tc>
          <w:tcPr>
            <w:tcW w:w="679" w:type="dxa"/>
          </w:tcPr>
          <w:p>
            <w:pPr>
              <w:pStyle w:val="TableParagraph"/>
              <w:ind w:left="35" w:right="5"/>
              <w:rPr>
                <w:sz w:val="22"/>
              </w:rPr>
            </w:pPr>
            <w:r>
              <w:rPr>
                <w:color w:val="0D0D0D"/>
                <w:spacing w:val="-5"/>
                <w:sz w:val="22"/>
              </w:rPr>
              <w:t>141</w:t>
            </w:r>
          </w:p>
        </w:tc>
        <w:tc>
          <w:tcPr>
            <w:tcW w:w="797" w:type="dxa"/>
          </w:tcPr>
          <w:p>
            <w:pPr>
              <w:pStyle w:val="TableParagraph"/>
              <w:ind w:left="155"/>
              <w:jc w:val="left"/>
              <w:rPr>
                <w:sz w:val="22"/>
              </w:rPr>
            </w:pPr>
            <w:r>
              <w:rPr>
                <w:color w:val="0D0D0D"/>
                <w:spacing w:val="-4"/>
                <w:sz w:val="22"/>
              </w:rPr>
              <w:t>111.7</w:t>
            </w:r>
          </w:p>
        </w:tc>
        <w:tc>
          <w:tcPr>
            <w:tcW w:w="660" w:type="dxa"/>
          </w:tcPr>
          <w:p>
            <w:pPr>
              <w:pStyle w:val="TableParagraph"/>
              <w:ind w:left="11" w:right="8"/>
              <w:rPr>
                <w:sz w:val="22"/>
              </w:rPr>
            </w:pPr>
            <w:r>
              <w:rPr>
                <w:color w:val="0D0D0D"/>
                <w:spacing w:val="-4"/>
                <w:sz w:val="22"/>
              </w:rPr>
              <w:t>11.0</w:t>
            </w:r>
          </w:p>
        </w:tc>
        <w:tc>
          <w:tcPr>
            <w:tcW w:w="718" w:type="dxa"/>
          </w:tcPr>
          <w:p>
            <w:pPr>
              <w:pStyle w:val="TableParagraph"/>
              <w:ind w:left="130"/>
              <w:jc w:val="left"/>
              <w:rPr>
                <w:sz w:val="22"/>
              </w:rPr>
            </w:pPr>
            <w:r>
              <w:rPr>
                <w:color w:val="0D0D0D"/>
                <w:spacing w:val="-5"/>
                <w:sz w:val="22"/>
              </w:rPr>
              <w:t>9.8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99.2</w:t>
            </w:r>
          </w:p>
        </w:tc>
        <w:tc>
          <w:tcPr>
            <w:tcW w:w="762" w:type="dxa"/>
          </w:tcPr>
          <w:p>
            <w:pPr>
              <w:pStyle w:val="TableParagraph"/>
              <w:ind w:left="55"/>
              <w:rPr>
                <w:sz w:val="22"/>
              </w:rPr>
            </w:pPr>
            <w:r>
              <w:rPr>
                <w:color w:val="0D0D0D"/>
                <w:spacing w:val="-4"/>
                <w:sz w:val="22"/>
              </w:rPr>
              <w:t>138.0</w:t>
            </w:r>
          </w:p>
        </w:tc>
        <w:tc>
          <w:tcPr>
            <w:tcW w:w="748" w:type="dxa"/>
          </w:tcPr>
          <w:p>
            <w:pPr>
              <w:pStyle w:val="TableParagraph"/>
              <w:ind w:left="8" w:right="44"/>
              <w:rPr>
                <w:sz w:val="22"/>
              </w:rPr>
            </w:pPr>
            <w:r>
              <w:rPr>
                <w:color w:val="0D0D0D"/>
                <w:spacing w:val="-4"/>
                <w:sz w:val="22"/>
              </w:rPr>
              <w:t>145.8</w:t>
            </w:r>
          </w:p>
        </w:tc>
        <w:tc>
          <w:tcPr>
            <w:tcW w:w="750" w:type="dxa"/>
          </w:tcPr>
          <w:p>
            <w:pPr>
              <w:pStyle w:val="TableParagraph"/>
              <w:ind w:right="70"/>
              <w:rPr>
                <w:sz w:val="22"/>
              </w:rPr>
            </w:pPr>
            <w:r>
              <w:rPr>
                <w:color w:val="0D0D0D"/>
                <w:spacing w:val="-4"/>
                <w:sz w:val="22"/>
              </w:rPr>
              <w:t>80.0</w:t>
            </w:r>
          </w:p>
        </w:tc>
        <w:tc>
          <w:tcPr>
            <w:tcW w:w="666" w:type="dxa"/>
          </w:tcPr>
          <w:p>
            <w:pPr>
              <w:pStyle w:val="TableParagraph"/>
              <w:ind w:right="61"/>
              <w:rPr>
                <w:sz w:val="22"/>
              </w:rPr>
            </w:pPr>
            <w:r>
              <w:rPr>
                <w:color w:val="0D0D0D"/>
                <w:spacing w:val="-4"/>
                <w:sz w:val="22"/>
              </w:rPr>
              <w:t>85.0</w:t>
            </w:r>
          </w:p>
        </w:tc>
        <w:tc>
          <w:tcPr>
            <w:tcW w:w="778" w:type="dxa"/>
          </w:tcPr>
          <w:p>
            <w:pPr>
              <w:pStyle w:val="TableParagraph"/>
              <w:ind w:left="174"/>
              <w:jc w:val="left"/>
              <w:rPr>
                <w:sz w:val="22"/>
              </w:rPr>
            </w:pPr>
            <w:r>
              <w:rPr>
                <w:color w:val="0D0D0D"/>
                <w:spacing w:val="-4"/>
                <w:sz w:val="22"/>
              </w:rPr>
              <w:t>99.0</w:t>
            </w:r>
          </w:p>
        </w:tc>
        <w:tc>
          <w:tcPr>
            <w:tcW w:w="780" w:type="dxa"/>
          </w:tcPr>
          <w:p>
            <w:pPr>
              <w:pStyle w:val="TableParagraph"/>
              <w:ind w:left="20" w:right="83"/>
              <w:rPr>
                <w:sz w:val="22"/>
              </w:rPr>
            </w:pPr>
            <w:r>
              <w:rPr>
                <w:color w:val="0D0D0D"/>
                <w:spacing w:val="-4"/>
                <w:sz w:val="22"/>
              </w:rPr>
              <w:t>106.7</w:t>
            </w:r>
          </w:p>
        </w:tc>
      </w:tr>
      <w:tr>
        <w:trPr>
          <w:trHeight w:val="380" w:hRule="atLeast"/>
        </w:trPr>
        <w:tc>
          <w:tcPr>
            <w:tcW w:w="1143" w:type="dxa"/>
          </w:tcPr>
          <w:p>
            <w:pPr>
              <w:pStyle w:val="TableParagraph"/>
              <w:ind w:left="114"/>
              <w:jc w:val="left"/>
              <w:rPr>
                <w:b/>
                <w:sz w:val="22"/>
              </w:rPr>
            </w:pPr>
            <w:r>
              <w:rPr>
                <w:b/>
                <w:color w:val="0D0D0D"/>
                <w:spacing w:val="-4"/>
                <w:sz w:val="22"/>
              </w:rPr>
              <w:t>Lulu</w:t>
            </w:r>
          </w:p>
        </w:tc>
        <w:tc>
          <w:tcPr>
            <w:tcW w:w="685" w:type="dxa"/>
          </w:tcPr>
          <w:p>
            <w:pPr>
              <w:pStyle w:val="TableParagraph"/>
              <w:ind w:left="36" w:right="1"/>
              <w:rPr>
                <w:sz w:val="22"/>
              </w:rPr>
            </w:pPr>
            <w:r>
              <w:rPr>
                <w:color w:val="0D0D0D"/>
                <w:spacing w:val="-5"/>
                <w:sz w:val="22"/>
              </w:rPr>
              <w:t>IM</w:t>
            </w:r>
          </w:p>
        </w:tc>
        <w:tc>
          <w:tcPr>
            <w:tcW w:w="708" w:type="dxa"/>
          </w:tcPr>
          <w:p>
            <w:pPr>
              <w:pStyle w:val="TableParagraph"/>
              <w:ind w:left="60" w:right="2"/>
              <w:rPr>
                <w:sz w:val="22"/>
              </w:rPr>
            </w:pPr>
            <w:r>
              <w:rPr>
                <w:color w:val="0D0D0D"/>
                <w:spacing w:val="-4"/>
                <w:sz w:val="22"/>
              </w:rPr>
              <w:t>38.3</w:t>
            </w:r>
          </w:p>
        </w:tc>
        <w:tc>
          <w:tcPr>
            <w:tcW w:w="816" w:type="dxa"/>
          </w:tcPr>
          <w:p>
            <w:pPr>
              <w:pStyle w:val="TableParagraph"/>
              <w:ind w:left="130"/>
              <w:jc w:val="left"/>
              <w:rPr>
                <w:sz w:val="22"/>
              </w:rPr>
            </w:pPr>
            <w:r>
              <w:rPr>
                <w:color w:val="0D0D0D"/>
                <w:spacing w:val="-2"/>
                <w:sz w:val="22"/>
              </w:rPr>
              <w:t>38.26</w:t>
            </w:r>
          </w:p>
        </w:tc>
        <w:tc>
          <w:tcPr>
            <w:tcW w:w="679" w:type="dxa"/>
          </w:tcPr>
          <w:p>
            <w:pPr>
              <w:pStyle w:val="TableParagraph"/>
              <w:ind w:left="35" w:right="5"/>
              <w:rPr>
                <w:sz w:val="22"/>
              </w:rPr>
            </w:pPr>
            <w:r>
              <w:rPr>
                <w:color w:val="0D0D0D"/>
                <w:spacing w:val="-5"/>
                <w:sz w:val="22"/>
              </w:rPr>
              <w:t>133</w:t>
            </w:r>
          </w:p>
        </w:tc>
        <w:tc>
          <w:tcPr>
            <w:tcW w:w="797" w:type="dxa"/>
          </w:tcPr>
          <w:p>
            <w:pPr>
              <w:pStyle w:val="TableParagraph"/>
              <w:ind w:left="155"/>
              <w:jc w:val="left"/>
              <w:rPr>
                <w:sz w:val="22"/>
              </w:rPr>
            </w:pPr>
            <w:r>
              <w:rPr>
                <w:color w:val="0D0D0D"/>
                <w:spacing w:val="-4"/>
                <w:sz w:val="22"/>
              </w:rPr>
              <w:t>99.8</w:t>
            </w:r>
          </w:p>
        </w:tc>
        <w:tc>
          <w:tcPr>
            <w:tcW w:w="660" w:type="dxa"/>
          </w:tcPr>
          <w:p>
            <w:pPr>
              <w:pStyle w:val="TableParagraph"/>
              <w:ind w:left="11"/>
              <w:rPr>
                <w:sz w:val="22"/>
              </w:rPr>
            </w:pPr>
            <w:r>
              <w:rPr>
                <w:color w:val="0D0D0D"/>
                <w:spacing w:val="-4"/>
                <w:sz w:val="22"/>
              </w:rPr>
              <w:t>15.0</w:t>
            </w:r>
          </w:p>
        </w:tc>
        <w:tc>
          <w:tcPr>
            <w:tcW w:w="718" w:type="dxa"/>
          </w:tcPr>
          <w:p>
            <w:pPr>
              <w:pStyle w:val="TableParagraph"/>
              <w:ind w:left="130"/>
              <w:jc w:val="left"/>
              <w:rPr>
                <w:sz w:val="22"/>
              </w:rPr>
            </w:pPr>
            <w:r>
              <w:rPr>
                <w:color w:val="0D0D0D"/>
                <w:spacing w:val="-4"/>
                <w:sz w:val="22"/>
              </w:rPr>
              <w:t>12.2</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97.2</w:t>
            </w:r>
          </w:p>
        </w:tc>
        <w:tc>
          <w:tcPr>
            <w:tcW w:w="762" w:type="dxa"/>
          </w:tcPr>
          <w:p>
            <w:pPr>
              <w:pStyle w:val="TableParagraph"/>
              <w:ind w:left="55"/>
              <w:rPr>
                <w:sz w:val="22"/>
              </w:rPr>
            </w:pPr>
            <w:r>
              <w:rPr>
                <w:color w:val="0D0D0D"/>
                <w:spacing w:val="-4"/>
                <w:sz w:val="22"/>
              </w:rPr>
              <w:t>145.0</w:t>
            </w:r>
          </w:p>
        </w:tc>
        <w:tc>
          <w:tcPr>
            <w:tcW w:w="748" w:type="dxa"/>
          </w:tcPr>
          <w:p>
            <w:pPr>
              <w:pStyle w:val="TableParagraph"/>
              <w:ind w:left="8" w:right="44"/>
              <w:rPr>
                <w:sz w:val="22"/>
              </w:rPr>
            </w:pPr>
            <w:r>
              <w:rPr>
                <w:color w:val="0D0D0D"/>
                <w:spacing w:val="-4"/>
                <w:sz w:val="22"/>
              </w:rPr>
              <w:t>152.0</w:t>
            </w:r>
          </w:p>
        </w:tc>
        <w:tc>
          <w:tcPr>
            <w:tcW w:w="750" w:type="dxa"/>
          </w:tcPr>
          <w:p>
            <w:pPr>
              <w:pStyle w:val="TableParagraph"/>
              <w:ind w:right="70"/>
              <w:rPr>
                <w:sz w:val="22"/>
              </w:rPr>
            </w:pPr>
            <w:r>
              <w:rPr>
                <w:color w:val="0D0D0D"/>
                <w:spacing w:val="-4"/>
                <w:sz w:val="22"/>
              </w:rPr>
              <w:t>86.0</w:t>
            </w:r>
          </w:p>
        </w:tc>
        <w:tc>
          <w:tcPr>
            <w:tcW w:w="666" w:type="dxa"/>
          </w:tcPr>
          <w:p>
            <w:pPr>
              <w:pStyle w:val="TableParagraph"/>
              <w:ind w:right="61"/>
              <w:rPr>
                <w:sz w:val="22"/>
              </w:rPr>
            </w:pPr>
            <w:r>
              <w:rPr>
                <w:color w:val="0D0D0D"/>
                <w:spacing w:val="-4"/>
                <w:sz w:val="22"/>
              </w:rPr>
              <w:t>89.7</w:t>
            </w:r>
          </w:p>
        </w:tc>
        <w:tc>
          <w:tcPr>
            <w:tcW w:w="778" w:type="dxa"/>
          </w:tcPr>
          <w:p>
            <w:pPr>
              <w:pStyle w:val="TableParagraph"/>
              <w:ind w:left="174"/>
              <w:jc w:val="left"/>
              <w:rPr>
                <w:sz w:val="22"/>
              </w:rPr>
            </w:pPr>
            <w:r>
              <w:rPr>
                <w:color w:val="0D0D0D"/>
                <w:spacing w:val="-4"/>
                <w:sz w:val="22"/>
              </w:rPr>
              <w:t>106.0</w:t>
            </w:r>
          </w:p>
        </w:tc>
        <w:tc>
          <w:tcPr>
            <w:tcW w:w="780" w:type="dxa"/>
          </w:tcPr>
          <w:p>
            <w:pPr>
              <w:pStyle w:val="TableParagraph"/>
              <w:ind w:right="83"/>
              <w:rPr>
                <w:sz w:val="22"/>
              </w:rPr>
            </w:pPr>
            <w:r>
              <w:rPr>
                <w:color w:val="0D0D0D"/>
                <w:spacing w:val="-4"/>
                <w:sz w:val="22"/>
              </w:rPr>
              <w:t>111.5</w:t>
            </w:r>
          </w:p>
        </w:tc>
      </w:tr>
      <w:tr>
        <w:trPr>
          <w:trHeight w:val="380" w:hRule="atLeast"/>
        </w:trPr>
        <w:tc>
          <w:tcPr>
            <w:tcW w:w="1143" w:type="dxa"/>
          </w:tcPr>
          <w:p>
            <w:pPr>
              <w:pStyle w:val="TableParagraph"/>
              <w:ind w:left="114"/>
              <w:jc w:val="left"/>
              <w:rPr>
                <w:b/>
                <w:sz w:val="22"/>
              </w:rPr>
            </w:pPr>
            <w:r>
              <w:rPr>
                <w:b/>
                <w:color w:val="0D0D0D"/>
                <w:spacing w:val="-2"/>
                <w:sz w:val="22"/>
              </w:rPr>
              <w:t>Orión</w:t>
            </w:r>
          </w:p>
        </w:tc>
        <w:tc>
          <w:tcPr>
            <w:tcW w:w="685" w:type="dxa"/>
          </w:tcPr>
          <w:p>
            <w:pPr>
              <w:pStyle w:val="TableParagraph"/>
              <w:ind w:left="36" w:right="1"/>
              <w:rPr>
                <w:sz w:val="22"/>
              </w:rPr>
            </w:pPr>
            <w:r>
              <w:rPr>
                <w:color w:val="0D0D0D"/>
                <w:spacing w:val="-5"/>
                <w:sz w:val="22"/>
              </w:rPr>
              <w:t>IM</w:t>
            </w:r>
          </w:p>
        </w:tc>
        <w:tc>
          <w:tcPr>
            <w:tcW w:w="708" w:type="dxa"/>
          </w:tcPr>
          <w:p>
            <w:pPr>
              <w:pStyle w:val="TableParagraph"/>
              <w:ind w:left="60" w:right="2"/>
              <w:rPr>
                <w:sz w:val="22"/>
              </w:rPr>
            </w:pPr>
            <w:r>
              <w:rPr>
                <w:color w:val="0D0D0D"/>
                <w:spacing w:val="-4"/>
                <w:sz w:val="22"/>
              </w:rPr>
              <w:t>38.2</w:t>
            </w:r>
          </w:p>
        </w:tc>
        <w:tc>
          <w:tcPr>
            <w:tcW w:w="816" w:type="dxa"/>
          </w:tcPr>
          <w:p>
            <w:pPr>
              <w:pStyle w:val="TableParagraph"/>
              <w:ind w:left="130"/>
              <w:jc w:val="left"/>
              <w:rPr>
                <w:sz w:val="22"/>
              </w:rPr>
            </w:pPr>
            <w:r>
              <w:rPr>
                <w:color w:val="0D0D0D"/>
                <w:spacing w:val="-2"/>
                <w:sz w:val="22"/>
              </w:rPr>
              <w:t>38.06</w:t>
            </w:r>
          </w:p>
        </w:tc>
        <w:tc>
          <w:tcPr>
            <w:tcW w:w="679" w:type="dxa"/>
          </w:tcPr>
          <w:p>
            <w:pPr>
              <w:pStyle w:val="TableParagraph"/>
              <w:ind w:left="35" w:right="5"/>
              <w:rPr>
                <w:sz w:val="22"/>
              </w:rPr>
            </w:pPr>
            <w:r>
              <w:rPr>
                <w:color w:val="0D0D0D"/>
                <w:spacing w:val="-5"/>
                <w:sz w:val="22"/>
              </w:rPr>
              <w:t>104</w:t>
            </w:r>
          </w:p>
        </w:tc>
        <w:tc>
          <w:tcPr>
            <w:tcW w:w="797" w:type="dxa"/>
          </w:tcPr>
          <w:p>
            <w:pPr>
              <w:pStyle w:val="TableParagraph"/>
              <w:ind w:left="155"/>
              <w:jc w:val="left"/>
              <w:rPr>
                <w:sz w:val="22"/>
              </w:rPr>
            </w:pPr>
            <w:r>
              <w:rPr>
                <w:color w:val="0D0D0D"/>
                <w:spacing w:val="-4"/>
                <w:sz w:val="22"/>
              </w:rPr>
              <w:t>89.8</w:t>
            </w:r>
          </w:p>
        </w:tc>
        <w:tc>
          <w:tcPr>
            <w:tcW w:w="660" w:type="dxa"/>
          </w:tcPr>
          <w:p>
            <w:pPr>
              <w:pStyle w:val="TableParagraph"/>
              <w:ind w:left="11"/>
              <w:rPr>
                <w:sz w:val="22"/>
              </w:rPr>
            </w:pPr>
            <w:r>
              <w:rPr>
                <w:color w:val="0D0D0D"/>
                <w:spacing w:val="-4"/>
                <w:sz w:val="22"/>
              </w:rPr>
              <w:t>15.0</w:t>
            </w:r>
          </w:p>
        </w:tc>
        <w:tc>
          <w:tcPr>
            <w:tcW w:w="718" w:type="dxa"/>
          </w:tcPr>
          <w:p>
            <w:pPr>
              <w:pStyle w:val="TableParagraph"/>
              <w:ind w:left="130"/>
              <w:jc w:val="left"/>
              <w:rPr>
                <w:sz w:val="22"/>
              </w:rPr>
            </w:pPr>
            <w:r>
              <w:rPr>
                <w:color w:val="0D0D0D"/>
                <w:spacing w:val="-5"/>
                <w:sz w:val="22"/>
              </w:rPr>
              <w:t>7.8</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94.7</w:t>
            </w:r>
          </w:p>
        </w:tc>
        <w:tc>
          <w:tcPr>
            <w:tcW w:w="762" w:type="dxa"/>
          </w:tcPr>
          <w:p>
            <w:pPr>
              <w:pStyle w:val="TableParagraph"/>
              <w:ind w:left="55"/>
              <w:rPr>
                <w:sz w:val="22"/>
              </w:rPr>
            </w:pPr>
            <w:r>
              <w:rPr>
                <w:color w:val="0D0D0D"/>
                <w:spacing w:val="-4"/>
                <w:sz w:val="22"/>
              </w:rPr>
              <w:t>142.0</w:t>
            </w:r>
          </w:p>
        </w:tc>
        <w:tc>
          <w:tcPr>
            <w:tcW w:w="748" w:type="dxa"/>
          </w:tcPr>
          <w:p>
            <w:pPr>
              <w:pStyle w:val="TableParagraph"/>
              <w:ind w:left="8" w:right="44"/>
              <w:rPr>
                <w:sz w:val="22"/>
              </w:rPr>
            </w:pPr>
            <w:r>
              <w:rPr>
                <w:color w:val="0D0D0D"/>
                <w:spacing w:val="-4"/>
                <w:sz w:val="22"/>
              </w:rPr>
              <w:t>150.5</w:t>
            </w:r>
          </w:p>
        </w:tc>
        <w:tc>
          <w:tcPr>
            <w:tcW w:w="750" w:type="dxa"/>
          </w:tcPr>
          <w:p>
            <w:pPr>
              <w:pStyle w:val="TableParagraph"/>
              <w:ind w:right="70"/>
              <w:rPr>
                <w:sz w:val="22"/>
              </w:rPr>
            </w:pPr>
            <w:r>
              <w:rPr>
                <w:color w:val="0D0D0D"/>
                <w:spacing w:val="-4"/>
                <w:sz w:val="22"/>
              </w:rPr>
              <w:t>84.0</w:t>
            </w:r>
          </w:p>
        </w:tc>
        <w:tc>
          <w:tcPr>
            <w:tcW w:w="666" w:type="dxa"/>
          </w:tcPr>
          <w:p>
            <w:pPr>
              <w:pStyle w:val="TableParagraph"/>
              <w:ind w:right="61"/>
              <w:rPr>
                <w:sz w:val="22"/>
              </w:rPr>
            </w:pPr>
            <w:r>
              <w:rPr>
                <w:color w:val="0D0D0D"/>
                <w:spacing w:val="-4"/>
                <w:sz w:val="22"/>
              </w:rPr>
              <w:t>88.3</w:t>
            </w:r>
          </w:p>
        </w:tc>
        <w:tc>
          <w:tcPr>
            <w:tcW w:w="778" w:type="dxa"/>
          </w:tcPr>
          <w:p>
            <w:pPr>
              <w:pStyle w:val="TableParagraph"/>
              <w:ind w:left="174"/>
              <w:jc w:val="left"/>
              <w:rPr>
                <w:sz w:val="22"/>
              </w:rPr>
            </w:pPr>
            <w:r>
              <w:rPr>
                <w:color w:val="0D0D0D"/>
                <w:spacing w:val="-4"/>
                <w:sz w:val="22"/>
              </w:rPr>
              <w:t>103.0</w:t>
            </w:r>
          </w:p>
        </w:tc>
        <w:tc>
          <w:tcPr>
            <w:tcW w:w="780" w:type="dxa"/>
          </w:tcPr>
          <w:p>
            <w:pPr>
              <w:pStyle w:val="TableParagraph"/>
              <w:ind w:left="12" w:right="83"/>
              <w:rPr>
                <w:sz w:val="22"/>
              </w:rPr>
            </w:pPr>
            <w:r>
              <w:rPr>
                <w:color w:val="0D0D0D"/>
                <w:spacing w:val="-4"/>
                <w:sz w:val="22"/>
              </w:rPr>
              <w:t>110.3</w:t>
            </w:r>
          </w:p>
        </w:tc>
      </w:tr>
      <w:tr>
        <w:trPr>
          <w:trHeight w:val="380" w:hRule="atLeast"/>
        </w:trPr>
        <w:tc>
          <w:tcPr>
            <w:tcW w:w="1143" w:type="dxa"/>
          </w:tcPr>
          <w:p>
            <w:pPr>
              <w:pStyle w:val="TableParagraph"/>
              <w:ind w:left="114"/>
              <w:jc w:val="left"/>
              <w:rPr>
                <w:b/>
                <w:sz w:val="22"/>
              </w:rPr>
            </w:pPr>
            <w:r>
              <w:rPr>
                <w:b/>
                <w:color w:val="0D0D0D"/>
                <w:spacing w:val="-2"/>
                <w:sz w:val="22"/>
              </w:rPr>
              <w:t>Princesa</w:t>
            </w:r>
          </w:p>
        </w:tc>
        <w:tc>
          <w:tcPr>
            <w:tcW w:w="685" w:type="dxa"/>
          </w:tcPr>
          <w:p>
            <w:pPr>
              <w:pStyle w:val="TableParagraph"/>
              <w:ind w:left="35" w:right="36"/>
              <w:rPr>
                <w:sz w:val="22"/>
              </w:rPr>
            </w:pPr>
            <w:r>
              <w:rPr>
                <w:color w:val="0D0D0D"/>
                <w:spacing w:val="-5"/>
                <w:sz w:val="22"/>
              </w:rPr>
              <w:t>IV</w:t>
            </w:r>
          </w:p>
        </w:tc>
        <w:tc>
          <w:tcPr>
            <w:tcW w:w="708" w:type="dxa"/>
          </w:tcPr>
          <w:p>
            <w:pPr>
              <w:pStyle w:val="TableParagraph"/>
              <w:ind w:left="60" w:right="2"/>
              <w:rPr>
                <w:sz w:val="22"/>
              </w:rPr>
            </w:pPr>
            <w:r>
              <w:rPr>
                <w:color w:val="0D0D0D"/>
                <w:spacing w:val="-4"/>
                <w:sz w:val="22"/>
              </w:rPr>
              <w:t>38.6</w:t>
            </w:r>
          </w:p>
        </w:tc>
        <w:tc>
          <w:tcPr>
            <w:tcW w:w="816" w:type="dxa"/>
          </w:tcPr>
          <w:p>
            <w:pPr>
              <w:pStyle w:val="TableParagraph"/>
              <w:ind w:left="130"/>
              <w:jc w:val="left"/>
              <w:rPr>
                <w:sz w:val="22"/>
              </w:rPr>
            </w:pPr>
            <w:r>
              <w:rPr>
                <w:color w:val="0D0D0D"/>
                <w:spacing w:val="-4"/>
                <w:sz w:val="22"/>
              </w:rPr>
              <w:t>38.5</w:t>
            </w:r>
          </w:p>
        </w:tc>
        <w:tc>
          <w:tcPr>
            <w:tcW w:w="679" w:type="dxa"/>
          </w:tcPr>
          <w:p>
            <w:pPr>
              <w:pStyle w:val="TableParagraph"/>
              <w:ind w:left="35" w:right="5"/>
              <w:rPr>
                <w:sz w:val="22"/>
              </w:rPr>
            </w:pPr>
            <w:r>
              <w:rPr>
                <w:color w:val="0D0D0D"/>
                <w:spacing w:val="-5"/>
                <w:sz w:val="22"/>
              </w:rPr>
              <w:t>109</w:t>
            </w:r>
          </w:p>
        </w:tc>
        <w:tc>
          <w:tcPr>
            <w:tcW w:w="797" w:type="dxa"/>
          </w:tcPr>
          <w:p>
            <w:pPr>
              <w:pStyle w:val="TableParagraph"/>
              <w:ind w:left="155"/>
              <w:jc w:val="left"/>
              <w:rPr>
                <w:sz w:val="22"/>
              </w:rPr>
            </w:pPr>
            <w:r>
              <w:rPr>
                <w:color w:val="0D0D0D"/>
                <w:spacing w:val="-4"/>
                <w:sz w:val="22"/>
              </w:rPr>
              <w:t>95.3</w:t>
            </w:r>
          </w:p>
        </w:tc>
        <w:tc>
          <w:tcPr>
            <w:tcW w:w="660" w:type="dxa"/>
          </w:tcPr>
          <w:p>
            <w:pPr>
              <w:pStyle w:val="TableParagraph"/>
              <w:ind w:left="11"/>
              <w:rPr>
                <w:sz w:val="22"/>
              </w:rPr>
            </w:pPr>
            <w:r>
              <w:rPr>
                <w:color w:val="0D0D0D"/>
                <w:spacing w:val="-4"/>
                <w:sz w:val="22"/>
              </w:rPr>
              <w:t>12.0</w:t>
            </w:r>
          </w:p>
        </w:tc>
        <w:tc>
          <w:tcPr>
            <w:tcW w:w="718" w:type="dxa"/>
          </w:tcPr>
          <w:p>
            <w:pPr>
              <w:pStyle w:val="TableParagraph"/>
              <w:ind w:left="130"/>
              <w:jc w:val="left"/>
              <w:rPr>
                <w:sz w:val="22"/>
              </w:rPr>
            </w:pPr>
            <w:r>
              <w:rPr>
                <w:color w:val="0D0D0D"/>
                <w:spacing w:val="-4"/>
                <w:sz w:val="22"/>
              </w:rPr>
              <w:t>12.0</w:t>
            </w:r>
          </w:p>
        </w:tc>
        <w:tc>
          <w:tcPr>
            <w:tcW w:w="664" w:type="dxa"/>
          </w:tcPr>
          <w:p>
            <w:pPr>
              <w:pStyle w:val="TableParagraph"/>
              <w:ind w:left="16"/>
              <w:rPr>
                <w:sz w:val="22"/>
              </w:rPr>
            </w:pPr>
            <w:r>
              <w:rPr>
                <w:color w:val="0D0D0D"/>
                <w:spacing w:val="-5"/>
                <w:sz w:val="22"/>
              </w:rPr>
              <w:t>2.0</w:t>
            </w:r>
          </w:p>
        </w:tc>
        <w:tc>
          <w:tcPr>
            <w:tcW w:w="648" w:type="dxa"/>
          </w:tcPr>
          <w:p>
            <w:pPr>
              <w:pStyle w:val="TableParagraph"/>
              <w:rPr>
                <w:sz w:val="22"/>
              </w:rPr>
            </w:pPr>
            <w:r>
              <w:rPr>
                <w:color w:val="0D0D0D"/>
                <w:spacing w:val="-5"/>
                <w:sz w:val="22"/>
              </w:rPr>
              <w:t>2.0</w:t>
            </w:r>
          </w:p>
        </w:tc>
        <w:tc>
          <w:tcPr>
            <w:tcW w:w="790" w:type="dxa"/>
          </w:tcPr>
          <w:p>
            <w:pPr>
              <w:pStyle w:val="TableParagraph"/>
              <w:ind w:left="185"/>
              <w:jc w:val="left"/>
              <w:rPr>
                <w:sz w:val="22"/>
              </w:rPr>
            </w:pPr>
            <w:r>
              <w:rPr>
                <w:color w:val="0D0D0D"/>
                <w:spacing w:val="-4"/>
                <w:sz w:val="22"/>
              </w:rPr>
              <w:t>99.0</w:t>
            </w:r>
          </w:p>
        </w:tc>
        <w:tc>
          <w:tcPr>
            <w:tcW w:w="652" w:type="dxa"/>
          </w:tcPr>
          <w:p>
            <w:pPr>
              <w:pStyle w:val="TableParagraph"/>
              <w:ind w:right="48"/>
              <w:rPr>
                <w:sz w:val="22"/>
              </w:rPr>
            </w:pPr>
            <w:r>
              <w:rPr>
                <w:color w:val="0D0D0D"/>
                <w:spacing w:val="-4"/>
                <w:sz w:val="22"/>
              </w:rPr>
              <w:t>97.7</w:t>
            </w:r>
          </w:p>
        </w:tc>
        <w:tc>
          <w:tcPr>
            <w:tcW w:w="762" w:type="dxa"/>
          </w:tcPr>
          <w:p>
            <w:pPr>
              <w:pStyle w:val="TableParagraph"/>
              <w:ind w:left="55"/>
              <w:rPr>
                <w:sz w:val="22"/>
              </w:rPr>
            </w:pPr>
            <w:r>
              <w:rPr>
                <w:color w:val="0D0D0D"/>
                <w:spacing w:val="-4"/>
                <w:sz w:val="22"/>
              </w:rPr>
              <w:t>140.0</w:t>
            </w:r>
          </w:p>
        </w:tc>
        <w:tc>
          <w:tcPr>
            <w:tcW w:w="748" w:type="dxa"/>
          </w:tcPr>
          <w:p>
            <w:pPr>
              <w:pStyle w:val="TableParagraph"/>
              <w:ind w:left="8" w:right="44"/>
              <w:rPr>
                <w:sz w:val="22"/>
              </w:rPr>
            </w:pPr>
            <w:r>
              <w:rPr>
                <w:color w:val="0D0D0D"/>
                <w:spacing w:val="-4"/>
                <w:sz w:val="22"/>
              </w:rPr>
              <w:t>148.0</w:t>
            </w:r>
          </w:p>
        </w:tc>
        <w:tc>
          <w:tcPr>
            <w:tcW w:w="750" w:type="dxa"/>
          </w:tcPr>
          <w:p>
            <w:pPr>
              <w:pStyle w:val="TableParagraph"/>
              <w:ind w:right="70"/>
              <w:rPr>
                <w:sz w:val="22"/>
              </w:rPr>
            </w:pPr>
            <w:r>
              <w:rPr>
                <w:color w:val="0D0D0D"/>
                <w:spacing w:val="-4"/>
                <w:sz w:val="22"/>
              </w:rPr>
              <w:t>82.0</w:t>
            </w:r>
          </w:p>
        </w:tc>
        <w:tc>
          <w:tcPr>
            <w:tcW w:w="666" w:type="dxa"/>
          </w:tcPr>
          <w:p>
            <w:pPr>
              <w:pStyle w:val="TableParagraph"/>
              <w:ind w:right="61"/>
              <w:rPr>
                <w:sz w:val="22"/>
              </w:rPr>
            </w:pPr>
            <w:r>
              <w:rPr>
                <w:color w:val="0D0D0D"/>
                <w:spacing w:val="-4"/>
                <w:sz w:val="22"/>
              </w:rPr>
              <w:t>86.0</w:t>
            </w:r>
          </w:p>
        </w:tc>
        <w:tc>
          <w:tcPr>
            <w:tcW w:w="778" w:type="dxa"/>
          </w:tcPr>
          <w:p>
            <w:pPr>
              <w:pStyle w:val="TableParagraph"/>
              <w:ind w:left="174"/>
              <w:jc w:val="left"/>
              <w:rPr>
                <w:sz w:val="22"/>
              </w:rPr>
            </w:pPr>
            <w:r>
              <w:rPr>
                <w:color w:val="0D0D0D"/>
                <w:spacing w:val="-4"/>
                <w:sz w:val="22"/>
              </w:rPr>
              <w:t>101.0</w:t>
            </w:r>
          </w:p>
        </w:tc>
        <w:tc>
          <w:tcPr>
            <w:tcW w:w="780" w:type="dxa"/>
          </w:tcPr>
          <w:p>
            <w:pPr>
              <w:pStyle w:val="TableParagraph"/>
              <w:ind w:left="20" w:right="83"/>
              <w:rPr>
                <w:sz w:val="22"/>
              </w:rPr>
            </w:pPr>
            <w:r>
              <w:rPr>
                <w:color w:val="0D0D0D"/>
                <w:spacing w:val="-4"/>
                <w:sz w:val="22"/>
              </w:rPr>
              <w:t>108.2</w:t>
            </w:r>
          </w:p>
        </w:tc>
      </w:tr>
      <w:tr>
        <w:trPr>
          <w:trHeight w:val="439" w:hRule="atLeast"/>
        </w:trPr>
        <w:tc>
          <w:tcPr>
            <w:tcW w:w="1143" w:type="dxa"/>
            <w:tcBorders>
              <w:bottom w:val="single" w:sz="4" w:space="0" w:color="000000"/>
            </w:tcBorders>
          </w:tcPr>
          <w:p>
            <w:pPr>
              <w:pStyle w:val="TableParagraph"/>
              <w:ind w:left="114"/>
              <w:jc w:val="left"/>
              <w:rPr>
                <w:b/>
                <w:sz w:val="22"/>
              </w:rPr>
            </w:pPr>
            <w:r>
              <w:rPr>
                <w:b/>
                <w:color w:val="0D0D0D"/>
                <w:spacing w:val="-4"/>
                <w:sz w:val="22"/>
              </w:rPr>
              <w:t>Duke</w:t>
            </w:r>
          </w:p>
        </w:tc>
        <w:tc>
          <w:tcPr>
            <w:tcW w:w="685" w:type="dxa"/>
            <w:tcBorders>
              <w:bottom w:val="single" w:sz="4" w:space="0" w:color="000000"/>
            </w:tcBorders>
          </w:tcPr>
          <w:p>
            <w:pPr>
              <w:pStyle w:val="TableParagraph"/>
              <w:ind w:left="36" w:right="1"/>
              <w:rPr>
                <w:sz w:val="22"/>
              </w:rPr>
            </w:pPr>
            <w:r>
              <w:rPr>
                <w:color w:val="0D0D0D"/>
                <w:spacing w:val="-5"/>
                <w:sz w:val="22"/>
              </w:rPr>
              <w:t>IM</w:t>
            </w:r>
          </w:p>
        </w:tc>
        <w:tc>
          <w:tcPr>
            <w:tcW w:w="708" w:type="dxa"/>
            <w:tcBorders>
              <w:bottom w:val="single" w:sz="4" w:space="0" w:color="000000"/>
            </w:tcBorders>
          </w:tcPr>
          <w:p>
            <w:pPr>
              <w:pStyle w:val="TableParagraph"/>
              <w:ind w:left="60" w:right="2"/>
              <w:rPr>
                <w:sz w:val="22"/>
              </w:rPr>
            </w:pPr>
            <w:r>
              <w:rPr>
                <w:color w:val="0D0D0D"/>
                <w:spacing w:val="-4"/>
                <w:sz w:val="22"/>
              </w:rPr>
              <w:t>38.5</w:t>
            </w:r>
          </w:p>
        </w:tc>
        <w:tc>
          <w:tcPr>
            <w:tcW w:w="816" w:type="dxa"/>
            <w:tcBorders>
              <w:bottom w:val="single" w:sz="4" w:space="0" w:color="000000"/>
            </w:tcBorders>
          </w:tcPr>
          <w:p>
            <w:pPr>
              <w:pStyle w:val="TableParagraph"/>
              <w:ind w:left="130"/>
              <w:jc w:val="left"/>
              <w:rPr>
                <w:sz w:val="22"/>
              </w:rPr>
            </w:pPr>
            <w:r>
              <w:rPr>
                <w:color w:val="0D0D0D"/>
                <w:spacing w:val="-4"/>
                <w:sz w:val="22"/>
              </w:rPr>
              <w:t>38.4</w:t>
            </w:r>
          </w:p>
        </w:tc>
        <w:tc>
          <w:tcPr>
            <w:tcW w:w="679" w:type="dxa"/>
            <w:tcBorders>
              <w:bottom w:val="single" w:sz="4" w:space="0" w:color="000000"/>
            </w:tcBorders>
          </w:tcPr>
          <w:p>
            <w:pPr>
              <w:pStyle w:val="TableParagraph"/>
              <w:ind w:left="35" w:right="5"/>
              <w:rPr>
                <w:sz w:val="22"/>
              </w:rPr>
            </w:pPr>
            <w:r>
              <w:rPr>
                <w:color w:val="0D0D0D"/>
                <w:spacing w:val="-5"/>
                <w:sz w:val="22"/>
              </w:rPr>
              <w:t>132</w:t>
            </w:r>
          </w:p>
        </w:tc>
        <w:tc>
          <w:tcPr>
            <w:tcW w:w="797" w:type="dxa"/>
            <w:tcBorders>
              <w:bottom w:val="single" w:sz="4" w:space="0" w:color="000000"/>
            </w:tcBorders>
          </w:tcPr>
          <w:p>
            <w:pPr>
              <w:pStyle w:val="TableParagraph"/>
              <w:ind w:left="155"/>
              <w:jc w:val="left"/>
              <w:rPr>
                <w:sz w:val="22"/>
              </w:rPr>
            </w:pPr>
            <w:r>
              <w:rPr>
                <w:color w:val="0D0D0D"/>
                <w:spacing w:val="-4"/>
                <w:sz w:val="22"/>
              </w:rPr>
              <w:t>103.8</w:t>
            </w:r>
          </w:p>
        </w:tc>
        <w:tc>
          <w:tcPr>
            <w:tcW w:w="660" w:type="dxa"/>
            <w:tcBorders>
              <w:bottom w:val="single" w:sz="4" w:space="0" w:color="000000"/>
            </w:tcBorders>
          </w:tcPr>
          <w:p>
            <w:pPr>
              <w:pStyle w:val="TableParagraph"/>
              <w:ind w:left="11"/>
              <w:rPr>
                <w:sz w:val="22"/>
              </w:rPr>
            </w:pPr>
            <w:r>
              <w:rPr>
                <w:color w:val="0D0D0D"/>
                <w:spacing w:val="-4"/>
                <w:sz w:val="22"/>
              </w:rPr>
              <w:t>12.0</w:t>
            </w:r>
          </w:p>
        </w:tc>
        <w:tc>
          <w:tcPr>
            <w:tcW w:w="718" w:type="dxa"/>
            <w:tcBorders>
              <w:bottom w:val="single" w:sz="4" w:space="0" w:color="000000"/>
            </w:tcBorders>
          </w:tcPr>
          <w:p>
            <w:pPr>
              <w:pStyle w:val="TableParagraph"/>
              <w:ind w:left="130"/>
              <w:jc w:val="left"/>
              <w:rPr>
                <w:sz w:val="22"/>
              </w:rPr>
            </w:pPr>
            <w:r>
              <w:rPr>
                <w:color w:val="0D0D0D"/>
                <w:spacing w:val="-4"/>
                <w:sz w:val="22"/>
              </w:rPr>
              <w:t>11.0</w:t>
            </w:r>
          </w:p>
        </w:tc>
        <w:tc>
          <w:tcPr>
            <w:tcW w:w="664" w:type="dxa"/>
            <w:tcBorders>
              <w:bottom w:val="single" w:sz="4" w:space="0" w:color="000000"/>
            </w:tcBorders>
          </w:tcPr>
          <w:p>
            <w:pPr>
              <w:pStyle w:val="TableParagraph"/>
              <w:ind w:left="16"/>
              <w:rPr>
                <w:sz w:val="22"/>
              </w:rPr>
            </w:pPr>
            <w:r>
              <w:rPr>
                <w:color w:val="0D0D0D"/>
                <w:spacing w:val="-5"/>
                <w:sz w:val="22"/>
              </w:rPr>
              <w:t>2.0</w:t>
            </w:r>
          </w:p>
        </w:tc>
        <w:tc>
          <w:tcPr>
            <w:tcW w:w="648" w:type="dxa"/>
            <w:tcBorders>
              <w:bottom w:val="single" w:sz="4" w:space="0" w:color="000000"/>
            </w:tcBorders>
          </w:tcPr>
          <w:p>
            <w:pPr>
              <w:pStyle w:val="TableParagraph"/>
              <w:rPr>
                <w:sz w:val="22"/>
              </w:rPr>
            </w:pPr>
            <w:r>
              <w:rPr>
                <w:color w:val="0D0D0D"/>
                <w:spacing w:val="-5"/>
                <w:sz w:val="22"/>
              </w:rPr>
              <w:t>2.0</w:t>
            </w:r>
          </w:p>
        </w:tc>
        <w:tc>
          <w:tcPr>
            <w:tcW w:w="790" w:type="dxa"/>
            <w:tcBorders>
              <w:bottom w:val="single" w:sz="4" w:space="0" w:color="000000"/>
            </w:tcBorders>
          </w:tcPr>
          <w:p>
            <w:pPr>
              <w:pStyle w:val="TableParagraph"/>
              <w:ind w:left="185"/>
              <w:jc w:val="left"/>
              <w:rPr>
                <w:sz w:val="22"/>
              </w:rPr>
            </w:pPr>
            <w:r>
              <w:rPr>
                <w:color w:val="0D0D0D"/>
                <w:spacing w:val="-4"/>
                <w:sz w:val="22"/>
              </w:rPr>
              <w:t>99.0</w:t>
            </w:r>
          </w:p>
        </w:tc>
        <w:tc>
          <w:tcPr>
            <w:tcW w:w="652" w:type="dxa"/>
            <w:tcBorders>
              <w:bottom w:val="single" w:sz="4" w:space="0" w:color="000000"/>
            </w:tcBorders>
          </w:tcPr>
          <w:p>
            <w:pPr>
              <w:pStyle w:val="TableParagraph"/>
              <w:ind w:right="48"/>
              <w:rPr>
                <w:sz w:val="22"/>
              </w:rPr>
            </w:pPr>
            <w:r>
              <w:rPr>
                <w:color w:val="0D0D0D"/>
                <w:spacing w:val="-4"/>
                <w:sz w:val="22"/>
              </w:rPr>
              <w:t>98.5</w:t>
            </w:r>
          </w:p>
        </w:tc>
        <w:tc>
          <w:tcPr>
            <w:tcW w:w="762" w:type="dxa"/>
            <w:tcBorders>
              <w:bottom w:val="single" w:sz="4" w:space="0" w:color="000000"/>
            </w:tcBorders>
          </w:tcPr>
          <w:p>
            <w:pPr>
              <w:pStyle w:val="TableParagraph"/>
              <w:ind w:left="55"/>
              <w:rPr>
                <w:sz w:val="22"/>
              </w:rPr>
            </w:pPr>
            <w:r>
              <w:rPr>
                <w:color w:val="0D0D0D"/>
                <w:spacing w:val="-4"/>
                <w:sz w:val="22"/>
              </w:rPr>
              <w:t>140.0</w:t>
            </w:r>
          </w:p>
        </w:tc>
        <w:tc>
          <w:tcPr>
            <w:tcW w:w="748" w:type="dxa"/>
            <w:tcBorders>
              <w:bottom w:val="single" w:sz="4" w:space="0" w:color="000000"/>
            </w:tcBorders>
          </w:tcPr>
          <w:p>
            <w:pPr>
              <w:pStyle w:val="TableParagraph"/>
              <w:ind w:left="8" w:right="44"/>
              <w:rPr>
                <w:sz w:val="22"/>
              </w:rPr>
            </w:pPr>
            <w:r>
              <w:rPr>
                <w:color w:val="0D0D0D"/>
                <w:spacing w:val="-4"/>
                <w:sz w:val="22"/>
              </w:rPr>
              <w:t>148.0</w:t>
            </w:r>
          </w:p>
        </w:tc>
        <w:tc>
          <w:tcPr>
            <w:tcW w:w="750" w:type="dxa"/>
            <w:tcBorders>
              <w:bottom w:val="single" w:sz="4" w:space="0" w:color="000000"/>
            </w:tcBorders>
          </w:tcPr>
          <w:p>
            <w:pPr>
              <w:pStyle w:val="TableParagraph"/>
              <w:ind w:right="70"/>
              <w:rPr>
                <w:sz w:val="22"/>
              </w:rPr>
            </w:pPr>
            <w:r>
              <w:rPr>
                <w:color w:val="0D0D0D"/>
                <w:spacing w:val="-4"/>
                <w:sz w:val="22"/>
              </w:rPr>
              <w:t>82.0</w:t>
            </w:r>
          </w:p>
        </w:tc>
        <w:tc>
          <w:tcPr>
            <w:tcW w:w="666" w:type="dxa"/>
            <w:tcBorders>
              <w:bottom w:val="single" w:sz="4" w:space="0" w:color="000000"/>
            </w:tcBorders>
          </w:tcPr>
          <w:p>
            <w:pPr>
              <w:pStyle w:val="TableParagraph"/>
              <w:ind w:right="61"/>
              <w:rPr>
                <w:sz w:val="22"/>
              </w:rPr>
            </w:pPr>
            <w:r>
              <w:rPr>
                <w:color w:val="0D0D0D"/>
                <w:spacing w:val="-4"/>
                <w:sz w:val="22"/>
              </w:rPr>
              <w:t>86.0</w:t>
            </w:r>
          </w:p>
        </w:tc>
        <w:tc>
          <w:tcPr>
            <w:tcW w:w="778" w:type="dxa"/>
            <w:tcBorders>
              <w:bottom w:val="single" w:sz="4" w:space="0" w:color="000000"/>
            </w:tcBorders>
          </w:tcPr>
          <w:p>
            <w:pPr>
              <w:pStyle w:val="TableParagraph"/>
              <w:ind w:left="174"/>
              <w:jc w:val="left"/>
              <w:rPr>
                <w:sz w:val="22"/>
              </w:rPr>
            </w:pPr>
            <w:r>
              <w:rPr>
                <w:color w:val="0D0D0D"/>
                <w:spacing w:val="-4"/>
                <w:sz w:val="22"/>
              </w:rPr>
              <w:t>101.0</w:t>
            </w:r>
          </w:p>
        </w:tc>
        <w:tc>
          <w:tcPr>
            <w:tcW w:w="780" w:type="dxa"/>
            <w:tcBorders>
              <w:bottom w:val="single" w:sz="4" w:space="0" w:color="000000"/>
            </w:tcBorders>
          </w:tcPr>
          <w:p>
            <w:pPr>
              <w:pStyle w:val="TableParagraph"/>
              <w:ind w:left="20" w:right="83"/>
              <w:rPr>
                <w:sz w:val="22"/>
              </w:rPr>
            </w:pPr>
            <w:r>
              <w:rPr>
                <w:color w:val="0D0D0D"/>
                <w:spacing w:val="-4"/>
                <w:sz w:val="22"/>
              </w:rPr>
              <w:t>108.2</w:t>
            </w:r>
          </w:p>
        </w:tc>
      </w:tr>
    </w:tbl>
    <w:p>
      <w:pPr>
        <w:pStyle w:val="TableParagraph"/>
        <w:spacing w:after="0"/>
        <w:rPr>
          <w:sz w:val="22"/>
        </w:rPr>
        <w:sectPr>
          <w:footerReference w:type="default" r:id="rId46"/>
          <w:pgSz w:w="16840" w:h="11910" w:orient="landscape"/>
          <w:pgMar w:header="0" w:footer="0" w:top="1340" w:bottom="280" w:left="1559" w:right="1559"/>
        </w:sectPr>
      </w:pPr>
    </w:p>
    <w:p>
      <w:pPr>
        <w:spacing w:before="63"/>
        <w:ind w:left="993" w:right="0" w:firstLine="0"/>
        <w:jc w:val="left"/>
        <w:rPr>
          <w:sz w:val="22"/>
        </w:rPr>
      </w:pPr>
      <w:bookmarkStart w:name="_bookmark84" w:id="85"/>
      <w:bookmarkEnd w:id="85"/>
      <w:r>
        <w:rPr/>
      </w:r>
      <w:r>
        <w:rPr>
          <w:b/>
          <w:i/>
          <w:sz w:val="22"/>
        </w:rPr>
        <w:t>Anexos</w:t>
      </w:r>
      <w:r>
        <w:rPr>
          <w:b/>
          <w:i/>
          <w:spacing w:val="-8"/>
          <w:sz w:val="22"/>
        </w:rPr>
        <w:t> </w:t>
      </w:r>
      <w:r>
        <w:rPr>
          <w:b/>
          <w:i/>
          <w:sz w:val="22"/>
        </w:rPr>
        <w:t>4.</w:t>
      </w:r>
      <w:r>
        <w:rPr>
          <w:b/>
          <w:i/>
          <w:spacing w:val="-5"/>
          <w:sz w:val="22"/>
        </w:rPr>
        <w:t> </w:t>
      </w:r>
      <w:r>
        <w:rPr>
          <w:sz w:val="22"/>
        </w:rPr>
        <w:t>Frecuencia</w:t>
      </w:r>
      <w:r>
        <w:rPr>
          <w:spacing w:val="-5"/>
          <w:sz w:val="22"/>
        </w:rPr>
        <w:t> </w:t>
      </w:r>
      <w:r>
        <w:rPr>
          <w:sz w:val="22"/>
        </w:rPr>
        <w:t>cardiaca</w:t>
      </w:r>
      <w:r>
        <w:rPr>
          <w:spacing w:val="-4"/>
          <w:sz w:val="22"/>
        </w:rPr>
        <w:t> </w:t>
      </w:r>
      <w:r>
        <w:rPr>
          <w:sz w:val="22"/>
        </w:rPr>
        <w:t>basal</w:t>
      </w:r>
      <w:r>
        <w:rPr>
          <w:spacing w:val="-4"/>
          <w:sz w:val="22"/>
        </w:rPr>
        <w:t> </w:t>
      </w:r>
      <w:r>
        <w:rPr>
          <w:sz w:val="22"/>
        </w:rPr>
        <w:t>y</w:t>
      </w:r>
      <w:r>
        <w:rPr>
          <w:spacing w:val="-2"/>
          <w:sz w:val="22"/>
        </w:rPr>
        <w:t> </w:t>
      </w:r>
      <w:r>
        <w:rPr>
          <w:sz w:val="22"/>
        </w:rPr>
        <w:t>promedio</w:t>
      </w:r>
      <w:r>
        <w:rPr>
          <w:spacing w:val="-2"/>
          <w:sz w:val="22"/>
        </w:rPr>
        <w:t> </w:t>
      </w:r>
      <w:r>
        <w:rPr>
          <w:sz w:val="22"/>
        </w:rPr>
        <w:t>intraoperatorio</w:t>
      </w:r>
      <w:r>
        <w:rPr>
          <w:spacing w:val="-1"/>
          <w:sz w:val="22"/>
        </w:rPr>
        <w:t> </w:t>
      </w:r>
      <w:r>
        <w:rPr>
          <w:sz w:val="22"/>
        </w:rPr>
        <w:t>y</w:t>
      </w:r>
      <w:r>
        <w:rPr>
          <w:spacing w:val="-6"/>
          <w:sz w:val="22"/>
        </w:rPr>
        <w:t> </w:t>
      </w:r>
      <w:r>
        <w:rPr>
          <w:sz w:val="22"/>
        </w:rPr>
        <w:t>diferencia</w:t>
      </w:r>
      <w:r>
        <w:rPr>
          <w:spacing w:val="-4"/>
          <w:sz w:val="22"/>
        </w:rPr>
        <w:t> </w:t>
      </w:r>
      <w:r>
        <w:rPr>
          <w:sz w:val="22"/>
        </w:rPr>
        <w:t>por</w:t>
      </w:r>
      <w:r>
        <w:rPr>
          <w:spacing w:val="-4"/>
          <w:sz w:val="22"/>
        </w:rPr>
        <w:t> </w:t>
      </w:r>
      <w:r>
        <w:rPr>
          <w:spacing w:val="-2"/>
          <w:sz w:val="22"/>
        </w:rPr>
        <w:t>paciente</w:t>
      </w:r>
    </w:p>
    <w:p>
      <w:pPr>
        <w:pStyle w:val="BodyText"/>
        <w:spacing w:before="102"/>
        <w:rPr>
          <w:sz w:val="20"/>
        </w:rPr>
      </w:pPr>
    </w:p>
    <w:tbl>
      <w:tblPr>
        <w:tblW w:w="0" w:type="auto"/>
        <w:jc w:val="left"/>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91"/>
        <w:gridCol w:w="1867"/>
        <w:gridCol w:w="1912"/>
        <w:gridCol w:w="1735"/>
      </w:tblGrid>
      <w:tr>
        <w:trPr>
          <w:trHeight w:val="414" w:hRule="atLeast"/>
        </w:trPr>
        <w:tc>
          <w:tcPr>
            <w:tcW w:w="1791" w:type="dxa"/>
            <w:tcBorders>
              <w:top w:val="single" w:sz="4" w:space="0" w:color="000000"/>
              <w:bottom w:val="single" w:sz="4" w:space="0" w:color="000000"/>
            </w:tcBorders>
          </w:tcPr>
          <w:p>
            <w:pPr>
              <w:pStyle w:val="TableParagraph"/>
              <w:spacing w:before="3"/>
              <w:ind w:left="182"/>
              <w:jc w:val="left"/>
              <w:rPr>
                <w:b/>
                <w:sz w:val="24"/>
              </w:rPr>
            </w:pPr>
            <w:r>
              <w:rPr>
                <w:b/>
                <w:color w:val="0D0D0D"/>
                <w:spacing w:val="-2"/>
                <w:sz w:val="24"/>
              </w:rPr>
              <w:t>Paciente</w:t>
            </w:r>
          </w:p>
        </w:tc>
        <w:tc>
          <w:tcPr>
            <w:tcW w:w="1867" w:type="dxa"/>
            <w:tcBorders>
              <w:top w:val="single" w:sz="4" w:space="0" w:color="000000"/>
              <w:bottom w:val="single" w:sz="4" w:space="0" w:color="000000"/>
            </w:tcBorders>
          </w:tcPr>
          <w:p>
            <w:pPr>
              <w:pStyle w:val="TableParagraph"/>
              <w:spacing w:before="3"/>
              <w:ind w:left="547"/>
              <w:jc w:val="left"/>
              <w:rPr>
                <w:b/>
                <w:sz w:val="24"/>
              </w:rPr>
            </w:pPr>
            <w:r>
              <w:rPr>
                <w:b/>
                <w:color w:val="0D0D0D"/>
                <w:spacing w:val="-2"/>
                <w:sz w:val="24"/>
              </w:rPr>
              <w:t>Antes</w:t>
            </w:r>
          </w:p>
        </w:tc>
        <w:tc>
          <w:tcPr>
            <w:tcW w:w="1912" w:type="dxa"/>
            <w:tcBorders>
              <w:top w:val="single" w:sz="4" w:space="0" w:color="000000"/>
              <w:bottom w:val="single" w:sz="4" w:space="0" w:color="000000"/>
            </w:tcBorders>
          </w:tcPr>
          <w:p>
            <w:pPr>
              <w:pStyle w:val="TableParagraph"/>
              <w:spacing w:before="3"/>
              <w:ind w:left="254" w:right="56"/>
              <w:rPr>
                <w:b/>
                <w:sz w:val="24"/>
              </w:rPr>
            </w:pPr>
            <w:r>
              <w:rPr>
                <w:b/>
                <w:color w:val="0D0D0D"/>
                <w:spacing w:val="-2"/>
                <w:sz w:val="24"/>
              </w:rPr>
              <w:t>Después</w:t>
            </w:r>
          </w:p>
        </w:tc>
        <w:tc>
          <w:tcPr>
            <w:tcW w:w="1735" w:type="dxa"/>
            <w:tcBorders>
              <w:top w:val="single" w:sz="4" w:space="0" w:color="000000"/>
              <w:bottom w:val="single" w:sz="4" w:space="0" w:color="000000"/>
            </w:tcBorders>
          </w:tcPr>
          <w:p>
            <w:pPr>
              <w:pStyle w:val="TableParagraph"/>
              <w:spacing w:before="3"/>
              <w:ind w:left="473"/>
              <w:jc w:val="left"/>
              <w:rPr>
                <w:b/>
                <w:sz w:val="24"/>
              </w:rPr>
            </w:pPr>
            <w:r>
              <w:rPr>
                <w:b/>
                <w:color w:val="0D0D0D"/>
                <w:spacing w:val="-2"/>
                <w:sz w:val="24"/>
              </w:rPr>
              <w:t>Diferencias</w:t>
            </w:r>
          </w:p>
        </w:tc>
      </w:tr>
      <w:tr>
        <w:trPr>
          <w:trHeight w:val="303" w:hRule="atLeast"/>
        </w:trPr>
        <w:tc>
          <w:tcPr>
            <w:tcW w:w="1791" w:type="dxa"/>
            <w:tcBorders>
              <w:top w:val="single" w:sz="4" w:space="0" w:color="000000"/>
            </w:tcBorders>
          </w:tcPr>
          <w:p>
            <w:pPr>
              <w:pStyle w:val="TableParagraph"/>
              <w:spacing w:before="2"/>
              <w:ind w:left="114"/>
              <w:jc w:val="left"/>
              <w:rPr>
                <w:b/>
                <w:sz w:val="24"/>
              </w:rPr>
            </w:pPr>
            <w:r>
              <w:rPr>
                <w:b/>
                <w:color w:val="0D0D0D"/>
                <w:spacing w:val="-2"/>
                <w:sz w:val="24"/>
              </w:rPr>
              <w:t>Apolo</w:t>
            </w:r>
          </w:p>
        </w:tc>
        <w:tc>
          <w:tcPr>
            <w:tcW w:w="1867" w:type="dxa"/>
            <w:tcBorders>
              <w:top w:val="single" w:sz="4" w:space="0" w:color="000000"/>
            </w:tcBorders>
          </w:tcPr>
          <w:p>
            <w:pPr>
              <w:pStyle w:val="TableParagraph"/>
              <w:spacing w:before="2"/>
              <w:ind w:right="633"/>
              <w:jc w:val="right"/>
              <w:rPr>
                <w:sz w:val="24"/>
              </w:rPr>
            </w:pPr>
            <w:r>
              <w:rPr>
                <w:color w:val="0D0D0D"/>
                <w:spacing w:val="-2"/>
                <w:sz w:val="24"/>
              </w:rPr>
              <w:t>133,0</w:t>
            </w:r>
          </w:p>
        </w:tc>
        <w:tc>
          <w:tcPr>
            <w:tcW w:w="1912" w:type="dxa"/>
            <w:tcBorders>
              <w:top w:val="single" w:sz="4" w:space="0" w:color="000000"/>
            </w:tcBorders>
          </w:tcPr>
          <w:p>
            <w:pPr>
              <w:pStyle w:val="TableParagraph"/>
              <w:spacing w:before="2"/>
              <w:ind w:left="254" w:right="120"/>
              <w:rPr>
                <w:sz w:val="24"/>
              </w:rPr>
            </w:pPr>
            <w:r>
              <w:rPr>
                <w:color w:val="0D0D0D"/>
                <w:spacing w:val="-2"/>
                <w:sz w:val="24"/>
              </w:rPr>
              <w:t>126,8</w:t>
            </w:r>
          </w:p>
        </w:tc>
        <w:tc>
          <w:tcPr>
            <w:tcW w:w="1735" w:type="dxa"/>
            <w:tcBorders>
              <w:top w:val="single" w:sz="4" w:space="0" w:color="000000"/>
            </w:tcBorders>
          </w:tcPr>
          <w:p>
            <w:pPr>
              <w:pStyle w:val="TableParagraph"/>
              <w:spacing w:before="2"/>
              <w:ind w:left="561"/>
              <w:jc w:val="left"/>
              <w:rPr>
                <w:sz w:val="24"/>
              </w:rPr>
            </w:pPr>
            <w:r>
              <w:rPr>
                <w:color w:val="0D0D0D"/>
                <w:sz w:val="24"/>
              </w:rPr>
              <w:t>-</w:t>
            </w:r>
            <w:r>
              <w:rPr>
                <w:color w:val="0D0D0D"/>
                <w:spacing w:val="-5"/>
                <w:sz w:val="24"/>
              </w:rPr>
              <w:t>6,2</w:t>
            </w:r>
          </w:p>
        </w:tc>
      </w:tr>
      <w:tr>
        <w:trPr>
          <w:trHeight w:val="316" w:hRule="atLeast"/>
        </w:trPr>
        <w:tc>
          <w:tcPr>
            <w:tcW w:w="1791" w:type="dxa"/>
          </w:tcPr>
          <w:p>
            <w:pPr>
              <w:pStyle w:val="TableParagraph"/>
              <w:spacing w:before="15"/>
              <w:ind w:left="114"/>
              <w:jc w:val="left"/>
              <w:rPr>
                <w:b/>
                <w:sz w:val="24"/>
              </w:rPr>
            </w:pPr>
            <w:r>
              <w:rPr>
                <w:b/>
                <w:color w:val="0D0D0D"/>
                <w:spacing w:val="-2"/>
                <w:sz w:val="24"/>
              </w:rPr>
              <w:t>Chiquitin</w:t>
            </w:r>
          </w:p>
        </w:tc>
        <w:tc>
          <w:tcPr>
            <w:tcW w:w="1867" w:type="dxa"/>
          </w:tcPr>
          <w:p>
            <w:pPr>
              <w:pStyle w:val="TableParagraph"/>
              <w:spacing w:before="15"/>
              <w:ind w:right="633"/>
              <w:jc w:val="right"/>
              <w:rPr>
                <w:sz w:val="24"/>
              </w:rPr>
            </w:pPr>
            <w:r>
              <w:rPr>
                <w:color w:val="0D0D0D"/>
                <w:spacing w:val="-2"/>
                <w:sz w:val="24"/>
              </w:rPr>
              <w:t>112,0</w:t>
            </w:r>
          </w:p>
        </w:tc>
        <w:tc>
          <w:tcPr>
            <w:tcW w:w="1912" w:type="dxa"/>
          </w:tcPr>
          <w:p>
            <w:pPr>
              <w:pStyle w:val="TableParagraph"/>
              <w:spacing w:before="15"/>
              <w:ind w:left="254" w:right="120"/>
              <w:rPr>
                <w:sz w:val="24"/>
              </w:rPr>
            </w:pPr>
            <w:r>
              <w:rPr>
                <w:color w:val="0D0D0D"/>
                <w:spacing w:val="-2"/>
                <w:sz w:val="24"/>
              </w:rPr>
              <w:t>102,6</w:t>
            </w:r>
          </w:p>
        </w:tc>
        <w:tc>
          <w:tcPr>
            <w:tcW w:w="1735" w:type="dxa"/>
          </w:tcPr>
          <w:p>
            <w:pPr>
              <w:pStyle w:val="TableParagraph"/>
              <w:spacing w:before="15"/>
              <w:ind w:left="561"/>
              <w:jc w:val="left"/>
              <w:rPr>
                <w:sz w:val="24"/>
              </w:rPr>
            </w:pPr>
            <w:r>
              <w:rPr>
                <w:color w:val="0D0D0D"/>
                <w:sz w:val="24"/>
              </w:rPr>
              <w:t>-</w:t>
            </w:r>
            <w:r>
              <w:rPr>
                <w:color w:val="0D0D0D"/>
                <w:spacing w:val="-5"/>
                <w:sz w:val="24"/>
              </w:rPr>
              <w:t>9,4</w:t>
            </w:r>
          </w:p>
        </w:tc>
      </w:tr>
      <w:tr>
        <w:trPr>
          <w:trHeight w:val="318" w:hRule="atLeast"/>
        </w:trPr>
        <w:tc>
          <w:tcPr>
            <w:tcW w:w="1791" w:type="dxa"/>
          </w:tcPr>
          <w:p>
            <w:pPr>
              <w:pStyle w:val="TableParagraph"/>
              <w:spacing w:before="15"/>
              <w:ind w:left="114"/>
              <w:jc w:val="left"/>
              <w:rPr>
                <w:b/>
                <w:sz w:val="24"/>
              </w:rPr>
            </w:pPr>
            <w:r>
              <w:rPr>
                <w:b/>
                <w:color w:val="0D0D0D"/>
                <w:spacing w:val="-2"/>
                <w:sz w:val="24"/>
              </w:rPr>
              <w:t>Tomas</w:t>
            </w:r>
          </w:p>
        </w:tc>
        <w:tc>
          <w:tcPr>
            <w:tcW w:w="1867" w:type="dxa"/>
          </w:tcPr>
          <w:p>
            <w:pPr>
              <w:pStyle w:val="TableParagraph"/>
              <w:spacing w:before="15"/>
              <w:ind w:right="633"/>
              <w:jc w:val="right"/>
              <w:rPr>
                <w:sz w:val="24"/>
              </w:rPr>
            </w:pPr>
            <w:r>
              <w:rPr>
                <w:color w:val="0D0D0D"/>
                <w:spacing w:val="-2"/>
                <w:sz w:val="24"/>
              </w:rPr>
              <w:t>141,0</w:t>
            </w:r>
          </w:p>
        </w:tc>
        <w:tc>
          <w:tcPr>
            <w:tcW w:w="1912" w:type="dxa"/>
          </w:tcPr>
          <w:p>
            <w:pPr>
              <w:pStyle w:val="TableParagraph"/>
              <w:spacing w:before="15"/>
              <w:ind w:left="254" w:right="120"/>
              <w:rPr>
                <w:sz w:val="24"/>
              </w:rPr>
            </w:pPr>
            <w:r>
              <w:rPr>
                <w:color w:val="0D0D0D"/>
                <w:spacing w:val="-2"/>
                <w:sz w:val="24"/>
              </w:rPr>
              <w:t>142,0</w:t>
            </w:r>
          </w:p>
        </w:tc>
        <w:tc>
          <w:tcPr>
            <w:tcW w:w="1735" w:type="dxa"/>
          </w:tcPr>
          <w:p>
            <w:pPr>
              <w:pStyle w:val="TableParagraph"/>
              <w:spacing w:before="15"/>
              <w:ind w:right="150"/>
              <w:rPr>
                <w:sz w:val="24"/>
              </w:rPr>
            </w:pPr>
            <w:r>
              <w:rPr>
                <w:color w:val="0D0D0D"/>
                <w:spacing w:val="-5"/>
                <w:sz w:val="24"/>
              </w:rPr>
              <w:t>1,0</w:t>
            </w:r>
          </w:p>
        </w:tc>
      </w:tr>
      <w:tr>
        <w:trPr>
          <w:trHeight w:val="317" w:hRule="atLeast"/>
        </w:trPr>
        <w:tc>
          <w:tcPr>
            <w:tcW w:w="1791" w:type="dxa"/>
          </w:tcPr>
          <w:p>
            <w:pPr>
              <w:pStyle w:val="TableParagraph"/>
              <w:spacing w:before="17"/>
              <w:ind w:left="114"/>
              <w:jc w:val="left"/>
              <w:rPr>
                <w:b/>
                <w:sz w:val="24"/>
              </w:rPr>
            </w:pPr>
            <w:r>
              <w:rPr>
                <w:b/>
                <w:color w:val="0D0D0D"/>
                <w:spacing w:val="-2"/>
                <w:sz w:val="24"/>
              </w:rPr>
              <w:t>Micky</w:t>
            </w:r>
          </w:p>
        </w:tc>
        <w:tc>
          <w:tcPr>
            <w:tcW w:w="1867" w:type="dxa"/>
          </w:tcPr>
          <w:p>
            <w:pPr>
              <w:pStyle w:val="TableParagraph"/>
              <w:spacing w:before="17"/>
              <w:ind w:right="633"/>
              <w:jc w:val="right"/>
              <w:rPr>
                <w:sz w:val="24"/>
              </w:rPr>
            </w:pPr>
            <w:r>
              <w:rPr>
                <w:color w:val="0D0D0D"/>
                <w:spacing w:val="-2"/>
                <w:sz w:val="24"/>
              </w:rPr>
              <w:t>130,0</w:t>
            </w:r>
          </w:p>
        </w:tc>
        <w:tc>
          <w:tcPr>
            <w:tcW w:w="1912" w:type="dxa"/>
          </w:tcPr>
          <w:p>
            <w:pPr>
              <w:pStyle w:val="TableParagraph"/>
              <w:spacing w:before="17"/>
              <w:ind w:left="254" w:right="112"/>
              <w:rPr>
                <w:sz w:val="24"/>
              </w:rPr>
            </w:pPr>
            <w:r>
              <w:rPr>
                <w:color w:val="0D0D0D"/>
                <w:spacing w:val="-2"/>
                <w:sz w:val="24"/>
              </w:rPr>
              <w:t>117,8</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12,2</w:t>
            </w:r>
          </w:p>
        </w:tc>
      </w:tr>
      <w:tr>
        <w:trPr>
          <w:trHeight w:val="315" w:hRule="atLeast"/>
        </w:trPr>
        <w:tc>
          <w:tcPr>
            <w:tcW w:w="1791" w:type="dxa"/>
          </w:tcPr>
          <w:p>
            <w:pPr>
              <w:pStyle w:val="TableParagraph"/>
              <w:spacing w:before="15"/>
              <w:ind w:left="114"/>
              <w:jc w:val="left"/>
              <w:rPr>
                <w:b/>
                <w:sz w:val="24"/>
              </w:rPr>
            </w:pPr>
            <w:r>
              <w:rPr>
                <w:b/>
                <w:color w:val="0D0D0D"/>
                <w:spacing w:val="-2"/>
                <w:sz w:val="24"/>
              </w:rPr>
              <w:t>Sally</w:t>
            </w:r>
          </w:p>
        </w:tc>
        <w:tc>
          <w:tcPr>
            <w:tcW w:w="1867" w:type="dxa"/>
          </w:tcPr>
          <w:p>
            <w:pPr>
              <w:pStyle w:val="TableParagraph"/>
              <w:spacing w:before="15"/>
              <w:ind w:right="633"/>
              <w:jc w:val="right"/>
              <w:rPr>
                <w:sz w:val="24"/>
              </w:rPr>
            </w:pPr>
            <w:r>
              <w:rPr>
                <w:color w:val="0D0D0D"/>
                <w:spacing w:val="-2"/>
                <w:sz w:val="24"/>
              </w:rPr>
              <w:t>144,0</w:t>
            </w:r>
          </w:p>
        </w:tc>
        <w:tc>
          <w:tcPr>
            <w:tcW w:w="1912" w:type="dxa"/>
          </w:tcPr>
          <w:p>
            <w:pPr>
              <w:pStyle w:val="TableParagraph"/>
              <w:spacing w:before="15"/>
              <w:ind w:left="254" w:right="120"/>
              <w:rPr>
                <w:sz w:val="24"/>
              </w:rPr>
            </w:pPr>
            <w:r>
              <w:rPr>
                <w:color w:val="0D0D0D"/>
                <w:spacing w:val="-2"/>
                <w:sz w:val="24"/>
              </w:rPr>
              <w:t>123,8</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20,2</w:t>
            </w:r>
          </w:p>
        </w:tc>
      </w:tr>
      <w:tr>
        <w:trPr>
          <w:trHeight w:val="318" w:hRule="atLeast"/>
        </w:trPr>
        <w:tc>
          <w:tcPr>
            <w:tcW w:w="1791" w:type="dxa"/>
          </w:tcPr>
          <w:p>
            <w:pPr>
              <w:pStyle w:val="TableParagraph"/>
              <w:spacing w:before="15"/>
              <w:ind w:left="114"/>
              <w:jc w:val="left"/>
              <w:rPr>
                <w:b/>
                <w:sz w:val="24"/>
              </w:rPr>
            </w:pPr>
            <w:r>
              <w:rPr>
                <w:b/>
                <w:color w:val="0D0D0D"/>
                <w:spacing w:val="-2"/>
                <w:sz w:val="24"/>
              </w:rPr>
              <w:t>Osito</w:t>
            </w:r>
          </w:p>
        </w:tc>
        <w:tc>
          <w:tcPr>
            <w:tcW w:w="1867" w:type="dxa"/>
          </w:tcPr>
          <w:p>
            <w:pPr>
              <w:pStyle w:val="TableParagraph"/>
              <w:spacing w:before="15"/>
              <w:ind w:right="633"/>
              <w:jc w:val="right"/>
              <w:rPr>
                <w:sz w:val="24"/>
              </w:rPr>
            </w:pPr>
            <w:r>
              <w:rPr>
                <w:color w:val="0D0D0D"/>
                <w:spacing w:val="-2"/>
                <w:sz w:val="24"/>
              </w:rPr>
              <w:t>137,0</w:t>
            </w:r>
          </w:p>
        </w:tc>
        <w:tc>
          <w:tcPr>
            <w:tcW w:w="1912" w:type="dxa"/>
          </w:tcPr>
          <w:p>
            <w:pPr>
              <w:pStyle w:val="TableParagraph"/>
              <w:spacing w:before="15"/>
              <w:ind w:left="254" w:right="120"/>
              <w:rPr>
                <w:sz w:val="24"/>
              </w:rPr>
            </w:pPr>
            <w:r>
              <w:rPr>
                <w:color w:val="0D0D0D"/>
                <w:spacing w:val="-2"/>
                <w:sz w:val="24"/>
              </w:rPr>
              <w:t>120,2</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16,8</w:t>
            </w:r>
          </w:p>
        </w:tc>
      </w:tr>
      <w:tr>
        <w:trPr>
          <w:trHeight w:val="317" w:hRule="atLeast"/>
        </w:trPr>
        <w:tc>
          <w:tcPr>
            <w:tcW w:w="1791" w:type="dxa"/>
          </w:tcPr>
          <w:p>
            <w:pPr>
              <w:pStyle w:val="TableParagraph"/>
              <w:spacing w:before="17"/>
              <w:ind w:left="114"/>
              <w:jc w:val="left"/>
              <w:rPr>
                <w:b/>
                <w:sz w:val="24"/>
              </w:rPr>
            </w:pPr>
            <w:r>
              <w:rPr>
                <w:b/>
                <w:color w:val="0D0D0D"/>
                <w:spacing w:val="-2"/>
                <w:sz w:val="24"/>
              </w:rPr>
              <w:t>Flunke</w:t>
            </w:r>
          </w:p>
        </w:tc>
        <w:tc>
          <w:tcPr>
            <w:tcW w:w="1867" w:type="dxa"/>
          </w:tcPr>
          <w:p>
            <w:pPr>
              <w:pStyle w:val="TableParagraph"/>
              <w:spacing w:before="17"/>
              <w:ind w:right="633"/>
              <w:jc w:val="right"/>
              <w:rPr>
                <w:sz w:val="24"/>
              </w:rPr>
            </w:pPr>
            <w:r>
              <w:rPr>
                <w:color w:val="0D0D0D"/>
                <w:spacing w:val="-2"/>
                <w:sz w:val="24"/>
              </w:rPr>
              <w:t>137,0</w:t>
            </w:r>
          </w:p>
        </w:tc>
        <w:tc>
          <w:tcPr>
            <w:tcW w:w="1912" w:type="dxa"/>
          </w:tcPr>
          <w:p>
            <w:pPr>
              <w:pStyle w:val="TableParagraph"/>
              <w:spacing w:before="17"/>
              <w:ind w:left="254" w:right="120"/>
              <w:rPr>
                <w:sz w:val="24"/>
              </w:rPr>
            </w:pPr>
            <w:r>
              <w:rPr>
                <w:color w:val="0D0D0D"/>
                <w:spacing w:val="-2"/>
                <w:sz w:val="24"/>
              </w:rPr>
              <w:t>124,5</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12,5</w:t>
            </w:r>
          </w:p>
        </w:tc>
      </w:tr>
      <w:tr>
        <w:trPr>
          <w:trHeight w:val="315" w:hRule="atLeast"/>
        </w:trPr>
        <w:tc>
          <w:tcPr>
            <w:tcW w:w="1791" w:type="dxa"/>
          </w:tcPr>
          <w:p>
            <w:pPr>
              <w:pStyle w:val="TableParagraph"/>
              <w:spacing w:before="15"/>
              <w:ind w:left="114"/>
              <w:jc w:val="left"/>
              <w:rPr>
                <w:b/>
                <w:sz w:val="24"/>
              </w:rPr>
            </w:pPr>
            <w:r>
              <w:rPr>
                <w:b/>
                <w:color w:val="0D0D0D"/>
                <w:spacing w:val="-5"/>
                <w:sz w:val="24"/>
              </w:rPr>
              <w:t>Mia</w:t>
            </w:r>
          </w:p>
        </w:tc>
        <w:tc>
          <w:tcPr>
            <w:tcW w:w="1867" w:type="dxa"/>
          </w:tcPr>
          <w:p>
            <w:pPr>
              <w:pStyle w:val="TableParagraph"/>
              <w:spacing w:before="15"/>
              <w:ind w:right="633"/>
              <w:jc w:val="right"/>
              <w:rPr>
                <w:sz w:val="24"/>
              </w:rPr>
            </w:pPr>
            <w:r>
              <w:rPr>
                <w:color w:val="0D0D0D"/>
                <w:spacing w:val="-2"/>
                <w:sz w:val="24"/>
              </w:rPr>
              <w:t>128,0</w:t>
            </w:r>
          </w:p>
        </w:tc>
        <w:tc>
          <w:tcPr>
            <w:tcW w:w="1912" w:type="dxa"/>
          </w:tcPr>
          <w:p>
            <w:pPr>
              <w:pStyle w:val="TableParagraph"/>
              <w:spacing w:before="15"/>
              <w:ind w:left="254" w:right="120"/>
              <w:rPr>
                <w:sz w:val="24"/>
              </w:rPr>
            </w:pPr>
            <w:r>
              <w:rPr>
                <w:color w:val="0D0D0D"/>
                <w:spacing w:val="-2"/>
                <w:sz w:val="24"/>
              </w:rPr>
              <w:t>103,0</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25,0</w:t>
            </w:r>
          </w:p>
        </w:tc>
      </w:tr>
      <w:tr>
        <w:trPr>
          <w:trHeight w:val="318" w:hRule="atLeast"/>
        </w:trPr>
        <w:tc>
          <w:tcPr>
            <w:tcW w:w="1791" w:type="dxa"/>
          </w:tcPr>
          <w:p>
            <w:pPr>
              <w:pStyle w:val="TableParagraph"/>
              <w:spacing w:before="15"/>
              <w:ind w:left="114"/>
              <w:jc w:val="left"/>
              <w:rPr>
                <w:b/>
                <w:sz w:val="24"/>
              </w:rPr>
            </w:pPr>
            <w:r>
              <w:rPr>
                <w:b/>
                <w:color w:val="0D0D0D"/>
                <w:spacing w:val="-4"/>
                <w:sz w:val="24"/>
              </w:rPr>
              <w:t>Aris</w:t>
            </w:r>
          </w:p>
        </w:tc>
        <w:tc>
          <w:tcPr>
            <w:tcW w:w="1867" w:type="dxa"/>
          </w:tcPr>
          <w:p>
            <w:pPr>
              <w:pStyle w:val="TableParagraph"/>
              <w:spacing w:before="15"/>
              <w:ind w:right="633"/>
              <w:jc w:val="right"/>
              <w:rPr>
                <w:sz w:val="24"/>
              </w:rPr>
            </w:pPr>
            <w:r>
              <w:rPr>
                <w:color w:val="0D0D0D"/>
                <w:spacing w:val="-2"/>
                <w:sz w:val="24"/>
              </w:rPr>
              <w:t>142,0</w:t>
            </w:r>
          </w:p>
        </w:tc>
        <w:tc>
          <w:tcPr>
            <w:tcW w:w="1912" w:type="dxa"/>
          </w:tcPr>
          <w:p>
            <w:pPr>
              <w:pStyle w:val="TableParagraph"/>
              <w:spacing w:before="15"/>
              <w:ind w:left="254" w:right="120"/>
              <w:rPr>
                <w:sz w:val="24"/>
              </w:rPr>
            </w:pPr>
            <w:r>
              <w:rPr>
                <w:color w:val="0D0D0D"/>
                <w:spacing w:val="-2"/>
                <w:sz w:val="24"/>
              </w:rPr>
              <w:t>131,0</w:t>
            </w:r>
          </w:p>
        </w:tc>
        <w:tc>
          <w:tcPr>
            <w:tcW w:w="1735" w:type="dxa"/>
          </w:tcPr>
          <w:p>
            <w:pPr>
              <w:pStyle w:val="TableParagraph"/>
              <w:spacing w:before="15"/>
              <w:ind w:left="449"/>
              <w:jc w:val="left"/>
              <w:rPr>
                <w:sz w:val="24"/>
              </w:rPr>
            </w:pPr>
            <w:r>
              <w:rPr>
                <w:color w:val="0D0D0D"/>
                <w:sz w:val="24"/>
              </w:rPr>
              <w:t>-</w:t>
            </w:r>
            <w:r>
              <w:rPr>
                <w:color w:val="0D0D0D"/>
                <w:spacing w:val="-4"/>
                <w:sz w:val="24"/>
              </w:rPr>
              <w:t>11,0</w:t>
            </w:r>
          </w:p>
        </w:tc>
      </w:tr>
      <w:tr>
        <w:trPr>
          <w:trHeight w:val="318" w:hRule="atLeast"/>
        </w:trPr>
        <w:tc>
          <w:tcPr>
            <w:tcW w:w="1791" w:type="dxa"/>
          </w:tcPr>
          <w:p>
            <w:pPr>
              <w:pStyle w:val="TableParagraph"/>
              <w:spacing w:before="17"/>
              <w:ind w:left="114"/>
              <w:jc w:val="left"/>
              <w:rPr>
                <w:b/>
                <w:sz w:val="24"/>
              </w:rPr>
            </w:pPr>
            <w:r>
              <w:rPr>
                <w:b/>
                <w:color w:val="0D0D0D"/>
                <w:spacing w:val="-2"/>
                <w:sz w:val="24"/>
              </w:rPr>
              <w:t>Dominique</w:t>
            </w:r>
          </w:p>
        </w:tc>
        <w:tc>
          <w:tcPr>
            <w:tcW w:w="1867" w:type="dxa"/>
          </w:tcPr>
          <w:p>
            <w:pPr>
              <w:pStyle w:val="TableParagraph"/>
              <w:spacing w:before="17"/>
              <w:ind w:right="633"/>
              <w:jc w:val="right"/>
              <w:rPr>
                <w:sz w:val="24"/>
              </w:rPr>
            </w:pPr>
            <w:r>
              <w:rPr>
                <w:color w:val="0D0D0D"/>
                <w:spacing w:val="-2"/>
                <w:sz w:val="24"/>
              </w:rPr>
              <w:t>126,0</w:t>
            </w:r>
          </w:p>
        </w:tc>
        <w:tc>
          <w:tcPr>
            <w:tcW w:w="1912" w:type="dxa"/>
          </w:tcPr>
          <w:p>
            <w:pPr>
              <w:pStyle w:val="TableParagraph"/>
              <w:spacing w:before="17"/>
              <w:ind w:left="254" w:right="120"/>
              <w:rPr>
                <w:sz w:val="24"/>
              </w:rPr>
            </w:pPr>
            <w:r>
              <w:rPr>
                <w:color w:val="0D0D0D"/>
                <w:spacing w:val="-2"/>
                <w:sz w:val="24"/>
              </w:rPr>
              <w:t>103,8</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22,2</w:t>
            </w:r>
          </w:p>
        </w:tc>
      </w:tr>
      <w:tr>
        <w:trPr>
          <w:trHeight w:val="315" w:hRule="atLeast"/>
        </w:trPr>
        <w:tc>
          <w:tcPr>
            <w:tcW w:w="1791" w:type="dxa"/>
          </w:tcPr>
          <w:p>
            <w:pPr>
              <w:pStyle w:val="TableParagraph"/>
              <w:spacing w:before="15"/>
              <w:ind w:left="114"/>
              <w:jc w:val="left"/>
              <w:rPr>
                <w:b/>
                <w:sz w:val="24"/>
              </w:rPr>
            </w:pPr>
            <w:r>
              <w:rPr>
                <w:b/>
                <w:color w:val="0D0D0D"/>
                <w:spacing w:val="-5"/>
                <w:sz w:val="24"/>
              </w:rPr>
              <w:t>Eco</w:t>
            </w:r>
          </w:p>
        </w:tc>
        <w:tc>
          <w:tcPr>
            <w:tcW w:w="1867" w:type="dxa"/>
          </w:tcPr>
          <w:p>
            <w:pPr>
              <w:pStyle w:val="TableParagraph"/>
              <w:spacing w:before="15"/>
              <w:ind w:right="633"/>
              <w:jc w:val="right"/>
              <w:rPr>
                <w:sz w:val="24"/>
              </w:rPr>
            </w:pPr>
            <w:r>
              <w:rPr>
                <w:color w:val="0D0D0D"/>
                <w:spacing w:val="-2"/>
                <w:sz w:val="24"/>
              </w:rPr>
              <w:t>139,0</w:t>
            </w:r>
          </w:p>
        </w:tc>
        <w:tc>
          <w:tcPr>
            <w:tcW w:w="1912" w:type="dxa"/>
          </w:tcPr>
          <w:p>
            <w:pPr>
              <w:pStyle w:val="TableParagraph"/>
              <w:spacing w:before="15"/>
              <w:ind w:left="254" w:right="120"/>
              <w:rPr>
                <w:sz w:val="24"/>
              </w:rPr>
            </w:pPr>
            <w:r>
              <w:rPr>
                <w:color w:val="0D0D0D"/>
                <w:spacing w:val="-2"/>
                <w:sz w:val="24"/>
              </w:rPr>
              <w:t>121,0</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18,0</w:t>
            </w:r>
          </w:p>
        </w:tc>
      </w:tr>
      <w:tr>
        <w:trPr>
          <w:trHeight w:val="318" w:hRule="atLeast"/>
        </w:trPr>
        <w:tc>
          <w:tcPr>
            <w:tcW w:w="1791" w:type="dxa"/>
          </w:tcPr>
          <w:p>
            <w:pPr>
              <w:pStyle w:val="TableParagraph"/>
              <w:spacing w:before="15"/>
              <w:ind w:left="114"/>
              <w:jc w:val="left"/>
              <w:rPr>
                <w:b/>
                <w:sz w:val="24"/>
              </w:rPr>
            </w:pPr>
            <w:r>
              <w:rPr>
                <w:b/>
                <w:color w:val="0D0D0D"/>
                <w:spacing w:val="-2"/>
                <w:sz w:val="24"/>
              </w:rPr>
              <w:t>Henchi</w:t>
            </w:r>
          </w:p>
        </w:tc>
        <w:tc>
          <w:tcPr>
            <w:tcW w:w="1867" w:type="dxa"/>
          </w:tcPr>
          <w:p>
            <w:pPr>
              <w:pStyle w:val="TableParagraph"/>
              <w:spacing w:before="15"/>
              <w:ind w:right="633"/>
              <w:jc w:val="right"/>
              <w:rPr>
                <w:sz w:val="24"/>
              </w:rPr>
            </w:pPr>
            <w:r>
              <w:rPr>
                <w:color w:val="0D0D0D"/>
                <w:spacing w:val="-2"/>
                <w:sz w:val="24"/>
              </w:rPr>
              <w:t>143,0</w:t>
            </w:r>
          </w:p>
        </w:tc>
        <w:tc>
          <w:tcPr>
            <w:tcW w:w="1912" w:type="dxa"/>
          </w:tcPr>
          <w:p>
            <w:pPr>
              <w:pStyle w:val="TableParagraph"/>
              <w:spacing w:before="15"/>
              <w:ind w:left="254" w:right="120"/>
              <w:rPr>
                <w:sz w:val="24"/>
              </w:rPr>
            </w:pPr>
            <w:r>
              <w:rPr>
                <w:color w:val="0D0D0D"/>
                <w:spacing w:val="-2"/>
                <w:sz w:val="24"/>
              </w:rPr>
              <w:t>124,5</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18,5</w:t>
            </w:r>
          </w:p>
        </w:tc>
      </w:tr>
      <w:tr>
        <w:trPr>
          <w:trHeight w:val="317" w:hRule="atLeast"/>
        </w:trPr>
        <w:tc>
          <w:tcPr>
            <w:tcW w:w="1791" w:type="dxa"/>
          </w:tcPr>
          <w:p>
            <w:pPr>
              <w:pStyle w:val="TableParagraph"/>
              <w:spacing w:before="17"/>
              <w:ind w:left="114"/>
              <w:jc w:val="left"/>
              <w:rPr>
                <w:b/>
                <w:sz w:val="24"/>
              </w:rPr>
            </w:pPr>
            <w:r>
              <w:rPr>
                <w:b/>
                <w:color w:val="0D0D0D"/>
                <w:spacing w:val="-2"/>
                <w:sz w:val="24"/>
              </w:rPr>
              <w:t>Cooper</w:t>
            </w:r>
          </w:p>
        </w:tc>
        <w:tc>
          <w:tcPr>
            <w:tcW w:w="1867" w:type="dxa"/>
          </w:tcPr>
          <w:p>
            <w:pPr>
              <w:pStyle w:val="TableParagraph"/>
              <w:spacing w:before="17"/>
              <w:ind w:right="633"/>
              <w:jc w:val="right"/>
              <w:rPr>
                <w:sz w:val="24"/>
              </w:rPr>
            </w:pPr>
            <w:r>
              <w:rPr>
                <w:color w:val="0D0D0D"/>
                <w:spacing w:val="-2"/>
                <w:sz w:val="24"/>
              </w:rPr>
              <w:t>125,0</w:t>
            </w:r>
          </w:p>
        </w:tc>
        <w:tc>
          <w:tcPr>
            <w:tcW w:w="1912" w:type="dxa"/>
          </w:tcPr>
          <w:p>
            <w:pPr>
              <w:pStyle w:val="TableParagraph"/>
              <w:spacing w:before="17"/>
              <w:ind w:left="254" w:right="112"/>
              <w:rPr>
                <w:sz w:val="24"/>
              </w:rPr>
            </w:pPr>
            <w:r>
              <w:rPr>
                <w:color w:val="0D0D0D"/>
                <w:spacing w:val="-2"/>
                <w:sz w:val="24"/>
              </w:rPr>
              <w:t>114,5</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10,5</w:t>
            </w:r>
          </w:p>
        </w:tc>
      </w:tr>
      <w:tr>
        <w:trPr>
          <w:trHeight w:val="315" w:hRule="atLeast"/>
        </w:trPr>
        <w:tc>
          <w:tcPr>
            <w:tcW w:w="1791" w:type="dxa"/>
          </w:tcPr>
          <w:p>
            <w:pPr>
              <w:pStyle w:val="TableParagraph"/>
              <w:spacing w:before="15"/>
              <w:ind w:left="114"/>
              <w:jc w:val="left"/>
              <w:rPr>
                <w:b/>
                <w:sz w:val="24"/>
              </w:rPr>
            </w:pPr>
            <w:r>
              <w:rPr>
                <w:b/>
                <w:color w:val="0D0D0D"/>
                <w:spacing w:val="-2"/>
                <w:sz w:val="24"/>
              </w:rPr>
              <w:t>Milla</w:t>
            </w:r>
          </w:p>
        </w:tc>
        <w:tc>
          <w:tcPr>
            <w:tcW w:w="1867" w:type="dxa"/>
          </w:tcPr>
          <w:p>
            <w:pPr>
              <w:pStyle w:val="TableParagraph"/>
              <w:spacing w:before="15"/>
              <w:ind w:right="633"/>
              <w:jc w:val="right"/>
              <w:rPr>
                <w:sz w:val="24"/>
              </w:rPr>
            </w:pPr>
            <w:r>
              <w:rPr>
                <w:color w:val="0D0D0D"/>
                <w:spacing w:val="-2"/>
                <w:sz w:val="24"/>
              </w:rPr>
              <w:t>138,0</w:t>
            </w:r>
          </w:p>
        </w:tc>
        <w:tc>
          <w:tcPr>
            <w:tcW w:w="1912" w:type="dxa"/>
          </w:tcPr>
          <w:p>
            <w:pPr>
              <w:pStyle w:val="TableParagraph"/>
              <w:spacing w:before="15"/>
              <w:ind w:left="254" w:right="120"/>
              <w:rPr>
                <w:sz w:val="24"/>
              </w:rPr>
            </w:pPr>
            <w:r>
              <w:rPr>
                <w:color w:val="0D0D0D"/>
                <w:spacing w:val="-2"/>
                <w:sz w:val="24"/>
              </w:rPr>
              <w:t>120,8</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17,2</w:t>
            </w:r>
          </w:p>
        </w:tc>
      </w:tr>
      <w:tr>
        <w:trPr>
          <w:trHeight w:val="317" w:hRule="atLeast"/>
        </w:trPr>
        <w:tc>
          <w:tcPr>
            <w:tcW w:w="1791" w:type="dxa"/>
          </w:tcPr>
          <w:p>
            <w:pPr>
              <w:pStyle w:val="TableParagraph"/>
              <w:spacing w:before="15"/>
              <w:ind w:left="114"/>
              <w:jc w:val="left"/>
              <w:rPr>
                <w:b/>
                <w:sz w:val="24"/>
              </w:rPr>
            </w:pPr>
            <w:r>
              <w:rPr>
                <w:b/>
                <w:color w:val="0D0D0D"/>
                <w:spacing w:val="-2"/>
                <w:sz w:val="24"/>
              </w:rPr>
              <w:t>Molly</w:t>
            </w:r>
          </w:p>
        </w:tc>
        <w:tc>
          <w:tcPr>
            <w:tcW w:w="1867" w:type="dxa"/>
          </w:tcPr>
          <w:p>
            <w:pPr>
              <w:pStyle w:val="TableParagraph"/>
              <w:spacing w:before="15"/>
              <w:ind w:right="633"/>
              <w:jc w:val="right"/>
              <w:rPr>
                <w:sz w:val="24"/>
              </w:rPr>
            </w:pPr>
            <w:r>
              <w:rPr>
                <w:color w:val="0D0D0D"/>
                <w:spacing w:val="-2"/>
                <w:sz w:val="24"/>
              </w:rPr>
              <w:t>135,0</w:t>
            </w:r>
          </w:p>
        </w:tc>
        <w:tc>
          <w:tcPr>
            <w:tcW w:w="1912" w:type="dxa"/>
          </w:tcPr>
          <w:p>
            <w:pPr>
              <w:pStyle w:val="TableParagraph"/>
              <w:spacing w:before="15"/>
              <w:ind w:left="254" w:right="120"/>
              <w:rPr>
                <w:sz w:val="24"/>
              </w:rPr>
            </w:pPr>
            <w:r>
              <w:rPr>
                <w:color w:val="0D0D0D"/>
                <w:spacing w:val="-2"/>
                <w:sz w:val="24"/>
              </w:rPr>
              <w:t>125,2</w:t>
            </w:r>
          </w:p>
        </w:tc>
        <w:tc>
          <w:tcPr>
            <w:tcW w:w="1735" w:type="dxa"/>
          </w:tcPr>
          <w:p>
            <w:pPr>
              <w:pStyle w:val="TableParagraph"/>
              <w:spacing w:before="15"/>
              <w:ind w:left="561"/>
              <w:jc w:val="left"/>
              <w:rPr>
                <w:sz w:val="24"/>
              </w:rPr>
            </w:pPr>
            <w:r>
              <w:rPr>
                <w:color w:val="0D0D0D"/>
                <w:sz w:val="24"/>
              </w:rPr>
              <w:t>-</w:t>
            </w:r>
            <w:r>
              <w:rPr>
                <w:color w:val="0D0D0D"/>
                <w:spacing w:val="-5"/>
                <w:sz w:val="24"/>
              </w:rPr>
              <w:t>9,8</w:t>
            </w:r>
          </w:p>
        </w:tc>
      </w:tr>
      <w:tr>
        <w:trPr>
          <w:trHeight w:val="318" w:hRule="atLeast"/>
        </w:trPr>
        <w:tc>
          <w:tcPr>
            <w:tcW w:w="1791" w:type="dxa"/>
          </w:tcPr>
          <w:p>
            <w:pPr>
              <w:pStyle w:val="TableParagraph"/>
              <w:spacing w:before="17"/>
              <w:ind w:left="114"/>
              <w:jc w:val="left"/>
              <w:rPr>
                <w:b/>
                <w:sz w:val="24"/>
              </w:rPr>
            </w:pPr>
            <w:r>
              <w:rPr>
                <w:b/>
                <w:color w:val="0D0D0D"/>
                <w:spacing w:val="-4"/>
                <w:sz w:val="24"/>
              </w:rPr>
              <w:t>Luna</w:t>
            </w:r>
          </w:p>
        </w:tc>
        <w:tc>
          <w:tcPr>
            <w:tcW w:w="1867" w:type="dxa"/>
          </w:tcPr>
          <w:p>
            <w:pPr>
              <w:pStyle w:val="TableParagraph"/>
              <w:spacing w:before="17"/>
              <w:ind w:right="633"/>
              <w:jc w:val="right"/>
              <w:rPr>
                <w:sz w:val="24"/>
              </w:rPr>
            </w:pPr>
            <w:r>
              <w:rPr>
                <w:color w:val="0D0D0D"/>
                <w:spacing w:val="-2"/>
                <w:sz w:val="24"/>
              </w:rPr>
              <w:t>111,0</w:t>
            </w:r>
          </w:p>
        </w:tc>
        <w:tc>
          <w:tcPr>
            <w:tcW w:w="1912" w:type="dxa"/>
          </w:tcPr>
          <w:p>
            <w:pPr>
              <w:pStyle w:val="TableParagraph"/>
              <w:spacing w:before="17"/>
              <w:ind w:left="254"/>
              <w:rPr>
                <w:sz w:val="24"/>
              </w:rPr>
            </w:pPr>
            <w:r>
              <w:rPr>
                <w:color w:val="0D0D0D"/>
                <w:spacing w:val="-4"/>
                <w:sz w:val="24"/>
              </w:rPr>
              <w:t>91,8</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19,2</w:t>
            </w:r>
          </w:p>
        </w:tc>
      </w:tr>
      <w:tr>
        <w:trPr>
          <w:trHeight w:val="316" w:hRule="atLeast"/>
        </w:trPr>
        <w:tc>
          <w:tcPr>
            <w:tcW w:w="1791" w:type="dxa"/>
          </w:tcPr>
          <w:p>
            <w:pPr>
              <w:pStyle w:val="TableParagraph"/>
              <w:spacing w:before="15"/>
              <w:ind w:left="114"/>
              <w:jc w:val="left"/>
              <w:rPr>
                <w:b/>
                <w:sz w:val="24"/>
              </w:rPr>
            </w:pPr>
            <w:r>
              <w:rPr>
                <w:b/>
                <w:color w:val="0D0D0D"/>
                <w:spacing w:val="-2"/>
                <w:sz w:val="24"/>
              </w:rPr>
              <w:t>Rocky</w:t>
            </w:r>
          </w:p>
        </w:tc>
        <w:tc>
          <w:tcPr>
            <w:tcW w:w="1867" w:type="dxa"/>
          </w:tcPr>
          <w:p>
            <w:pPr>
              <w:pStyle w:val="TableParagraph"/>
              <w:spacing w:before="15"/>
              <w:ind w:right="633"/>
              <w:jc w:val="right"/>
              <w:rPr>
                <w:sz w:val="24"/>
              </w:rPr>
            </w:pPr>
            <w:r>
              <w:rPr>
                <w:color w:val="0D0D0D"/>
                <w:spacing w:val="-2"/>
                <w:sz w:val="24"/>
              </w:rPr>
              <w:t>110,0</w:t>
            </w:r>
          </w:p>
        </w:tc>
        <w:tc>
          <w:tcPr>
            <w:tcW w:w="1912" w:type="dxa"/>
          </w:tcPr>
          <w:p>
            <w:pPr>
              <w:pStyle w:val="TableParagraph"/>
              <w:spacing w:before="15"/>
              <w:ind w:left="254"/>
              <w:rPr>
                <w:sz w:val="24"/>
              </w:rPr>
            </w:pPr>
            <w:r>
              <w:rPr>
                <w:color w:val="0D0D0D"/>
                <w:spacing w:val="-4"/>
                <w:sz w:val="24"/>
              </w:rPr>
              <w:t>95,2</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14,8</w:t>
            </w:r>
          </w:p>
        </w:tc>
      </w:tr>
      <w:tr>
        <w:trPr>
          <w:trHeight w:val="317" w:hRule="atLeast"/>
        </w:trPr>
        <w:tc>
          <w:tcPr>
            <w:tcW w:w="1791" w:type="dxa"/>
          </w:tcPr>
          <w:p>
            <w:pPr>
              <w:pStyle w:val="TableParagraph"/>
              <w:spacing w:before="15"/>
              <w:ind w:left="114"/>
              <w:jc w:val="left"/>
              <w:rPr>
                <w:b/>
                <w:sz w:val="24"/>
              </w:rPr>
            </w:pPr>
            <w:r>
              <w:rPr>
                <w:b/>
                <w:color w:val="0D0D0D"/>
                <w:spacing w:val="-2"/>
                <w:sz w:val="24"/>
              </w:rPr>
              <w:t>Kiara</w:t>
            </w:r>
          </w:p>
        </w:tc>
        <w:tc>
          <w:tcPr>
            <w:tcW w:w="1867" w:type="dxa"/>
          </w:tcPr>
          <w:p>
            <w:pPr>
              <w:pStyle w:val="TableParagraph"/>
              <w:spacing w:before="15"/>
              <w:ind w:right="633"/>
              <w:jc w:val="right"/>
              <w:rPr>
                <w:sz w:val="24"/>
              </w:rPr>
            </w:pPr>
            <w:r>
              <w:rPr>
                <w:color w:val="0D0D0D"/>
                <w:spacing w:val="-2"/>
                <w:sz w:val="24"/>
              </w:rPr>
              <w:t>111,0</w:t>
            </w:r>
          </w:p>
        </w:tc>
        <w:tc>
          <w:tcPr>
            <w:tcW w:w="1912" w:type="dxa"/>
          </w:tcPr>
          <w:p>
            <w:pPr>
              <w:pStyle w:val="TableParagraph"/>
              <w:spacing w:before="15"/>
              <w:ind w:left="254" w:right="120"/>
              <w:rPr>
                <w:sz w:val="24"/>
              </w:rPr>
            </w:pPr>
            <w:r>
              <w:rPr>
                <w:color w:val="0D0D0D"/>
                <w:spacing w:val="-2"/>
                <w:sz w:val="24"/>
              </w:rPr>
              <w:t>100,3</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10,7</w:t>
            </w:r>
          </w:p>
        </w:tc>
      </w:tr>
      <w:tr>
        <w:trPr>
          <w:trHeight w:val="317" w:hRule="atLeast"/>
        </w:trPr>
        <w:tc>
          <w:tcPr>
            <w:tcW w:w="1791" w:type="dxa"/>
          </w:tcPr>
          <w:p>
            <w:pPr>
              <w:pStyle w:val="TableParagraph"/>
              <w:spacing w:before="17"/>
              <w:ind w:left="114"/>
              <w:jc w:val="left"/>
              <w:rPr>
                <w:b/>
                <w:sz w:val="24"/>
              </w:rPr>
            </w:pPr>
            <w:r>
              <w:rPr>
                <w:b/>
                <w:color w:val="0D0D0D"/>
                <w:spacing w:val="-2"/>
                <w:sz w:val="24"/>
              </w:rPr>
              <w:t>Dexter</w:t>
            </w:r>
          </w:p>
        </w:tc>
        <w:tc>
          <w:tcPr>
            <w:tcW w:w="1867" w:type="dxa"/>
          </w:tcPr>
          <w:p>
            <w:pPr>
              <w:pStyle w:val="TableParagraph"/>
              <w:spacing w:before="17"/>
              <w:ind w:right="633"/>
              <w:jc w:val="right"/>
              <w:rPr>
                <w:sz w:val="24"/>
              </w:rPr>
            </w:pPr>
            <w:r>
              <w:rPr>
                <w:color w:val="0D0D0D"/>
                <w:spacing w:val="-2"/>
                <w:sz w:val="24"/>
              </w:rPr>
              <w:t>152,0</w:t>
            </w:r>
          </w:p>
        </w:tc>
        <w:tc>
          <w:tcPr>
            <w:tcW w:w="1912" w:type="dxa"/>
          </w:tcPr>
          <w:p>
            <w:pPr>
              <w:pStyle w:val="TableParagraph"/>
              <w:spacing w:before="17"/>
              <w:ind w:left="254" w:right="120"/>
              <w:rPr>
                <w:sz w:val="24"/>
              </w:rPr>
            </w:pPr>
            <w:r>
              <w:rPr>
                <w:color w:val="0D0D0D"/>
                <w:spacing w:val="-2"/>
                <w:sz w:val="24"/>
              </w:rPr>
              <w:t>131,0</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21,0</w:t>
            </w:r>
          </w:p>
        </w:tc>
      </w:tr>
      <w:tr>
        <w:trPr>
          <w:trHeight w:val="316" w:hRule="atLeast"/>
        </w:trPr>
        <w:tc>
          <w:tcPr>
            <w:tcW w:w="1791" w:type="dxa"/>
          </w:tcPr>
          <w:p>
            <w:pPr>
              <w:pStyle w:val="TableParagraph"/>
              <w:spacing w:before="15"/>
              <w:ind w:left="114"/>
              <w:jc w:val="left"/>
              <w:rPr>
                <w:b/>
                <w:sz w:val="24"/>
              </w:rPr>
            </w:pPr>
            <w:r>
              <w:rPr>
                <w:b/>
                <w:color w:val="0D0D0D"/>
                <w:spacing w:val="-2"/>
                <w:sz w:val="24"/>
              </w:rPr>
              <w:t>Perla</w:t>
            </w:r>
          </w:p>
        </w:tc>
        <w:tc>
          <w:tcPr>
            <w:tcW w:w="1867" w:type="dxa"/>
          </w:tcPr>
          <w:p>
            <w:pPr>
              <w:pStyle w:val="TableParagraph"/>
              <w:spacing w:before="15"/>
              <w:ind w:right="633"/>
              <w:jc w:val="right"/>
              <w:rPr>
                <w:sz w:val="24"/>
              </w:rPr>
            </w:pPr>
            <w:r>
              <w:rPr>
                <w:color w:val="0D0D0D"/>
                <w:spacing w:val="-2"/>
                <w:sz w:val="24"/>
              </w:rPr>
              <w:t>119,0</w:t>
            </w:r>
          </w:p>
        </w:tc>
        <w:tc>
          <w:tcPr>
            <w:tcW w:w="1912" w:type="dxa"/>
          </w:tcPr>
          <w:p>
            <w:pPr>
              <w:pStyle w:val="TableParagraph"/>
              <w:spacing w:before="15"/>
              <w:ind w:left="254" w:right="120"/>
              <w:rPr>
                <w:sz w:val="24"/>
              </w:rPr>
            </w:pPr>
            <w:r>
              <w:rPr>
                <w:color w:val="0D0D0D"/>
                <w:spacing w:val="-2"/>
                <w:sz w:val="24"/>
              </w:rPr>
              <w:t>104,8</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14,2</w:t>
            </w:r>
          </w:p>
        </w:tc>
      </w:tr>
      <w:tr>
        <w:trPr>
          <w:trHeight w:val="317" w:hRule="atLeast"/>
        </w:trPr>
        <w:tc>
          <w:tcPr>
            <w:tcW w:w="1791" w:type="dxa"/>
          </w:tcPr>
          <w:p>
            <w:pPr>
              <w:pStyle w:val="TableParagraph"/>
              <w:spacing w:before="15"/>
              <w:ind w:left="114"/>
              <w:jc w:val="left"/>
              <w:rPr>
                <w:b/>
                <w:sz w:val="24"/>
              </w:rPr>
            </w:pPr>
            <w:r>
              <w:rPr>
                <w:b/>
                <w:color w:val="0D0D0D"/>
                <w:spacing w:val="-2"/>
                <w:sz w:val="24"/>
              </w:rPr>
              <w:t>Tango</w:t>
            </w:r>
          </w:p>
        </w:tc>
        <w:tc>
          <w:tcPr>
            <w:tcW w:w="1867" w:type="dxa"/>
          </w:tcPr>
          <w:p>
            <w:pPr>
              <w:pStyle w:val="TableParagraph"/>
              <w:spacing w:before="15"/>
              <w:ind w:right="633"/>
              <w:jc w:val="right"/>
              <w:rPr>
                <w:sz w:val="24"/>
              </w:rPr>
            </w:pPr>
            <w:r>
              <w:rPr>
                <w:color w:val="0D0D0D"/>
                <w:spacing w:val="-2"/>
                <w:sz w:val="24"/>
              </w:rPr>
              <w:t>122,0</w:t>
            </w:r>
          </w:p>
        </w:tc>
        <w:tc>
          <w:tcPr>
            <w:tcW w:w="1912" w:type="dxa"/>
          </w:tcPr>
          <w:p>
            <w:pPr>
              <w:pStyle w:val="TableParagraph"/>
              <w:spacing w:before="15"/>
              <w:ind w:left="254" w:right="120"/>
              <w:rPr>
                <w:sz w:val="24"/>
              </w:rPr>
            </w:pPr>
            <w:r>
              <w:rPr>
                <w:color w:val="0D0D0D"/>
                <w:spacing w:val="-2"/>
                <w:sz w:val="24"/>
              </w:rPr>
              <w:t>108,0</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14,0</w:t>
            </w:r>
          </w:p>
        </w:tc>
      </w:tr>
      <w:tr>
        <w:trPr>
          <w:trHeight w:val="317" w:hRule="atLeast"/>
        </w:trPr>
        <w:tc>
          <w:tcPr>
            <w:tcW w:w="1791" w:type="dxa"/>
          </w:tcPr>
          <w:p>
            <w:pPr>
              <w:pStyle w:val="TableParagraph"/>
              <w:spacing w:before="17"/>
              <w:ind w:left="114"/>
              <w:jc w:val="left"/>
              <w:rPr>
                <w:b/>
                <w:sz w:val="24"/>
              </w:rPr>
            </w:pPr>
            <w:r>
              <w:rPr>
                <w:b/>
                <w:color w:val="0D0D0D"/>
                <w:spacing w:val="-4"/>
                <w:sz w:val="24"/>
              </w:rPr>
              <w:t>Nala</w:t>
            </w:r>
          </w:p>
        </w:tc>
        <w:tc>
          <w:tcPr>
            <w:tcW w:w="1867" w:type="dxa"/>
          </w:tcPr>
          <w:p>
            <w:pPr>
              <w:pStyle w:val="TableParagraph"/>
              <w:spacing w:before="17"/>
              <w:ind w:right="633"/>
              <w:jc w:val="right"/>
              <w:rPr>
                <w:sz w:val="24"/>
              </w:rPr>
            </w:pPr>
            <w:r>
              <w:rPr>
                <w:color w:val="0D0D0D"/>
                <w:spacing w:val="-2"/>
                <w:sz w:val="24"/>
              </w:rPr>
              <w:t>119,0</w:t>
            </w:r>
          </w:p>
        </w:tc>
        <w:tc>
          <w:tcPr>
            <w:tcW w:w="1912" w:type="dxa"/>
          </w:tcPr>
          <w:p>
            <w:pPr>
              <w:pStyle w:val="TableParagraph"/>
              <w:spacing w:before="17"/>
              <w:ind w:left="254" w:right="120"/>
              <w:rPr>
                <w:sz w:val="24"/>
              </w:rPr>
            </w:pPr>
            <w:r>
              <w:rPr>
                <w:color w:val="0D0D0D"/>
                <w:spacing w:val="-2"/>
                <w:sz w:val="24"/>
              </w:rPr>
              <w:t>103,7</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15,3</w:t>
            </w:r>
          </w:p>
        </w:tc>
      </w:tr>
      <w:tr>
        <w:trPr>
          <w:trHeight w:val="318" w:hRule="atLeast"/>
        </w:trPr>
        <w:tc>
          <w:tcPr>
            <w:tcW w:w="1791" w:type="dxa"/>
          </w:tcPr>
          <w:p>
            <w:pPr>
              <w:pStyle w:val="TableParagraph"/>
              <w:spacing w:before="15"/>
              <w:ind w:left="114"/>
              <w:jc w:val="left"/>
              <w:rPr>
                <w:b/>
                <w:sz w:val="24"/>
              </w:rPr>
            </w:pPr>
            <w:r>
              <w:rPr>
                <w:b/>
                <w:color w:val="0D0D0D"/>
                <w:spacing w:val="-2"/>
                <w:sz w:val="24"/>
              </w:rPr>
              <w:t>Bruno</w:t>
            </w:r>
          </w:p>
        </w:tc>
        <w:tc>
          <w:tcPr>
            <w:tcW w:w="1867" w:type="dxa"/>
          </w:tcPr>
          <w:p>
            <w:pPr>
              <w:pStyle w:val="TableParagraph"/>
              <w:spacing w:before="15"/>
              <w:ind w:right="633"/>
              <w:jc w:val="right"/>
              <w:rPr>
                <w:sz w:val="24"/>
              </w:rPr>
            </w:pPr>
            <w:r>
              <w:rPr>
                <w:color w:val="0D0D0D"/>
                <w:spacing w:val="-2"/>
                <w:sz w:val="24"/>
              </w:rPr>
              <w:t>114,0</w:t>
            </w:r>
          </w:p>
        </w:tc>
        <w:tc>
          <w:tcPr>
            <w:tcW w:w="1912" w:type="dxa"/>
          </w:tcPr>
          <w:p>
            <w:pPr>
              <w:pStyle w:val="TableParagraph"/>
              <w:spacing w:before="15"/>
              <w:ind w:left="254"/>
              <w:rPr>
                <w:sz w:val="24"/>
              </w:rPr>
            </w:pPr>
            <w:r>
              <w:rPr>
                <w:color w:val="0D0D0D"/>
                <w:spacing w:val="-4"/>
                <w:sz w:val="24"/>
              </w:rPr>
              <w:t>73,3</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40,7</w:t>
            </w:r>
          </w:p>
        </w:tc>
      </w:tr>
      <w:tr>
        <w:trPr>
          <w:trHeight w:val="318" w:hRule="atLeast"/>
        </w:trPr>
        <w:tc>
          <w:tcPr>
            <w:tcW w:w="1791" w:type="dxa"/>
          </w:tcPr>
          <w:p>
            <w:pPr>
              <w:pStyle w:val="TableParagraph"/>
              <w:spacing w:before="17"/>
              <w:ind w:left="114"/>
              <w:jc w:val="left"/>
              <w:rPr>
                <w:b/>
                <w:sz w:val="24"/>
              </w:rPr>
            </w:pPr>
            <w:r>
              <w:rPr>
                <w:b/>
                <w:color w:val="0D0D0D"/>
                <w:spacing w:val="-4"/>
                <w:sz w:val="24"/>
              </w:rPr>
              <w:t>Tita</w:t>
            </w:r>
          </w:p>
        </w:tc>
        <w:tc>
          <w:tcPr>
            <w:tcW w:w="1867" w:type="dxa"/>
          </w:tcPr>
          <w:p>
            <w:pPr>
              <w:pStyle w:val="TableParagraph"/>
              <w:spacing w:before="17"/>
              <w:ind w:right="633"/>
              <w:jc w:val="right"/>
              <w:rPr>
                <w:sz w:val="24"/>
              </w:rPr>
            </w:pPr>
            <w:r>
              <w:rPr>
                <w:color w:val="0D0D0D"/>
                <w:spacing w:val="-2"/>
                <w:sz w:val="24"/>
              </w:rPr>
              <w:t>106,0</w:t>
            </w:r>
          </w:p>
        </w:tc>
        <w:tc>
          <w:tcPr>
            <w:tcW w:w="1912" w:type="dxa"/>
          </w:tcPr>
          <w:p>
            <w:pPr>
              <w:pStyle w:val="TableParagraph"/>
              <w:spacing w:before="17"/>
              <w:ind w:left="254"/>
              <w:rPr>
                <w:sz w:val="24"/>
              </w:rPr>
            </w:pPr>
            <w:r>
              <w:rPr>
                <w:color w:val="0D0D0D"/>
                <w:spacing w:val="-4"/>
                <w:sz w:val="24"/>
              </w:rPr>
              <w:t>94,8</w:t>
            </w:r>
          </w:p>
        </w:tc>
        <w:tc>
          <w:tcPr>
            <w:tcW w:w="1735" w:type="dxa"/>
          </w:tcPr>
          <w:p>
            <w:pPr>
              <w:pStyle w:val="TableParagraph"/>
              <w:spacing w:before="17"/>
              <w:ind w:left="449"/>
              <w:jc w:val="left"/>
              <w:rPr>
                <w:sz w:val="24"/>
              </w:rPr>
            </w:pPr>
            <w:r>
              <w:rPr>
                <w:color w:val="0D0D0D"/>
                <w:sz w:val="24"/>
              </w:rPr>
              <w:t>-</w:t>
            </w:r>
            <w:r>
              <w:rPr>
                <w:color w:val="0D0D0D"/>
                <w:spacing w:val="-4"/>
                <w:sz w:val="24"/>
              </w:rPr>
              <w:t>11,2</w:t>
            </w:r>
          </w:p>
        </w:tc>
      </w:tr>
      <w:tr>
        <w:trPr>
          <w:trHeight w:val="315" w:hRule="atLeast"/>
        </w:trPr>
        <w:tc>
          <w:tcPr>
            <w:tcW w:w="1791" w:type="dxa"/>
          </w:tcPr>
          <w:p>
            <w:pPr>
              <w:pStyle w:val="TableParagraph"/>
              <w:spacing w:before="15"/>
              <w:ind w:left="114"/>
              <w:jc w:val="left"/>
              <w:rPr>
                <w:b/>
                <w:sz w:val="24"/>
              </w:rPr>
            </w:pPr>
            <w:r>
              <w:rPr>
                <w:b/>
                <w:color w:val="0D0D0D"/>
                <w:spacing w:val="-4"/>
                <w:sz w:val="24"/>
              </w:rPr>
              <w:t>Samy</w:t>
            </w:r>
          </w:p>
        </w:tc>
        <w:tc>
          <w:tcPr>
            <w:tcW w:w="1867" w:type="dxa"/>
          </w:tcPr>
          <w:p>
            <w:pPr>
              <w:pStyle w:val="TableParagraph"/>
              <w:spacing w:before="15"/>
              <w:ind w:right="633"/>
              <w:jc w:val="right"/>
              <w:rPr>
                <w:sz w:val="24"/>
              </w:rPr>
            </w:pPr>
            <w:r>
              <w:rPr>
                <w:color w:val="0D0D0D"/>
                <w:spacing w:val="-2"/>
                <w:sz w:val="24"/>
              </w:rPr>
              <w:t>124,0</w:t>
            </w:r>
          </w:p>
        </w:tc>
        <w:tc>
          <w:tcPr>
            <w:tcW w:w="1912" w:type="dxa"/>
          </w:tcPr>
          <w:p>
            <w:pPr>
              <w:pStyle w:val="TableParagraph"/>
              <w:spacing w:before="15"/>
              <w:ind w:left="254" w:right="104"/>
              <w:rPr>
                <w:sz w:val="24"/>
              </w:rPr>
            </w:pPr>
            <w:r>
              <w:rPr>
                <w:color w:val="0D0D0D"/>
                <w:spacing w:val="-2"/>
                <w:sz w:val="24"/>
              </w:rPr>
              <w:t>111,2</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12,8</w:t>
            </w:r>
          </w:p>
        </w:tc>
      </w:tr>
      <w:tr>
        <w:trPr>
          <w:trHeight w:val="318" w:hRule="atLeast"/>
        </w:trPr>
        <w:tc>
          <w:tcPr>
            <w:tcW w:w="1791" w:type="dxa"/>
          </w:tcPr>
          <w:p>
            <w:pPr>
              <w:pStyle w:val="TableParagraph"/>
              <w:spacing w:before="15"/>
              <w:ind w:left="114"/>
              <w:jc w:val="left"/>
              <w:rPr>
                <w:b/>
                <w:sz w:val="24"/>
              </w:rPr>
            </w:pPr>
            <w:r>
              <w:rPr>
                <w:b/>
                <w:color w:val="0D0D0D"/>
                <w:spacing w:val="-5"/>
                <w:sz w:val="24"/>
              </w:rPr>
              <w:t>Max</w:t>
            </w:r>
          </w:p>
        </w:tc>
        <w:tc>
          <w:tcPr>
            <w:tcW w:w="1867" w:type="dxa"/>
          </w:tcPr>
          <w:p>
            <w:pPr>
              <w:pStyle w:val="TableParagraph"/>
              <w:spacing w:before="15"/>
              <w:ind w:right="633"/>
              <w:jc w:val="right"/>
              <w:rPr>
                <w:sz w:val="24"/>
              </w:rPr>
            </w:pPr>
            <w:r>
              <w:rPr>
                <w:color w:val="0D0D0D"/>
                <w:spacing w:val="-2"/>
                <w:sz w:val="24"/>
              </w:rPr>
              <w:t>141,0</w:t>
            </w:r>
          </w:p>
        </w:tc>
        <w:tc>
          <w:tcPr>
            <w:tcW w:w="1912" w:type="dxa"/>
          </w:tcPr>
          <w:p>
            <w:pPr>
              <w:pStyle w:val="TableParagraph"/>
              <w:spacing w:before="15"/>
              <w:ind w:left="254" w:right="104"/>
              <w:rPr>
                <w:sz w:val="24"/>
              </w:rPr>
            </w:pPr>
            <w:r>
              <w:rPr>
                <w:color w:val="0D0D0D"/>
                <w:spacing w:val="-2"/>
                <w:sz w:val="24"/>
              </w:rPr>
              <w:t>111,7</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29,3</w:t>
            </w:r>
          </w:p>
        </w:tc>
      </w:tr>
      <w:tr>
        <w:trPr>
          <w:trHeight w:val="318" w:hRule="atLeast"/>
        </w:trPr>
        <w:tc>
          <w:tcPr>
            <w:tcW w:w="1791" w:type="dxa"/>
          </w:tcPr>
          <w:p>
            <w:pPr>
              <w:pStyle w:val="TableParagraph"/>
              <w:spacing w:before="17"/>
              <w:ind w:left="114"/>
              <w:jc w:val="left"/>
              <w:rPr>
                <w:b/>
                <w:sz w:val="24"/>
              </w:rPr>
            </w:pPr>
            <w:r>
              <w:rPr>
                <w:b/>
                <w:color w:val="0D0D0D"/>
                <w:spacing w:val="-4"/>
                <w:sz w:val="24"/>
              </w:rPr>
              <w:t>Lulu</w:t>
            </w:r>
          </w:p>
        </w:tc>
        <w:tc>
          <w:tcPr>
            <w:tcW w:w="1867" w:type="dxa"/>
          </w:tcPr>
          <w:p>
            <w:pPr>
              <w:pStyle w:val="TableParagraph"/>
              <w:spacing w:before="17"/>
              <w:ind w:right="633"/>
              <w:jc w:val="right"/>
              <w:rPr>
                <w:sz w:val="24"/>
              </w:rPr>
            </w:pPr>
            <w:r>
              <w:rPr>
                <w:color w:val="0D0D0D"/>
                <w:spacing w:val="-2"/>
                <w:sz w:val="24"/>
              </w:rPr>
              <w:t>133,0</w:t>
            </w:r>
          </w:p>
        </w:tc>
        <w:tc>
          <w:tcPr>
            <w:tcW w:w="1912" w:type="dxa"/>
          </w:tcPr>
          <w:p>
            <w:pPr>
              <w:pStyle w:val="TableParagraph"/>
              <w:spacing w:before="17"/>
              <w:ind w:left="254"/>
              <w:rPr>
                <w:sz w:val="24"/>
              </w:rPr>
            </w:pPr>
            <w:r>
              <w:rPr>
                <w:color w:val="0D0D0D"/>
                <w:spacing w:val="-4"/>
                <w:sz w:val="24"/>
              </w:rPr>
              <w:t>99,8</w:t>
            </w:r>
          </w:p>
        </w:tc>
        <w:tc>
          <w:tcPr>
            <w:tcW w:w="1735" w:type="dxa"/>
          </w:tcPr>
          <w:p>
            <w:pPr>
              <w:pStyle w:val="TableParagraph"/>
              <w:spacing w:before="17"/>
              <w:ind w:left="441"/>
              <w:jc w:val="left"/>
              <w:rPr>
                <w:sz w:val="24"/>
              </w:rPr>
            </w:pPr>
            <w:r>
              <w:rPr>
                <w:color w:val="0D0D0D"/>
                <w:spacing w:val="-2"/>
                <w:sz w:val="24"/>
              </w:rPr>
              <w:t>-</w:t>
            </w:r>
            <w:r>
              <w:rPr>
                <w:color w:val="0D0D0D"/>
                <w:spacing w:val="-4"/>
                <w:sz w:val="24"/>
              </w:rPr>
              <w:t>33,2</w:t>
            </w:r>
          </w:p>
        </w:tc>
      </w:tr>
      <w:tr>
        <w:trPr>
          <w:trHeight w:val="315" w:hRule="atLeast"/>
        </w:trPr>
        <w:tc>
          <w:tcPr>
            <w:tcW w:w="1791" w:type="dxa"/>
          </w:tcPr>
          <w:p>
            <w:pPr>
              <w:pStyle w:val="TableParagraph"/>
              <w:spacing w:before="15"/>
              <w:ind w:left="114"/>
              <w:jc w:val="left"/>
              <w:rPr>
                <w:b/>
                <w:sz w:val="24"/>
              </w:rPr>
            </w:pPr>
            <w:r>
              <w:rPr>
                <w:b/>
                <w:color w:val="0D0D0D"/>
                <w:spacing w:val="-2"/>
                <w:sz w:val="24"/>
              </w:rPr>
              <w:t>Orión</w:t>
            </w:r>
          </w:p>
        </w:tc>
        <w:tc>
          <w:tcPr>
            <w:tcW w:w="1867" w:type="dxa"/>
          </w:tcPr>
          <w:p>
            <w:pPr>
              <w:pStyle w:val="TableParagraph"/>
              <w:spacing w:before="15"/>
              <w:ind w:right="633"/>
              <w:jc w:val="right"/>
              <w:rPr>
                <w:sz w:val="24"/>
              </w:rPr>
            </w:pPr>
            <w:r>
              <w:rPr>
                <w:color w:val="0D0D0D"/>
                <w:spacing w:val="-2"/>
                <w:sz w:val="24"/>
              </w:rPr>
              <w:t>104,0</w:t>
            </w:r>
          </w:p>
        </w:tc>
        <w:tc>
          <w:tcPr>
            <w:tcW w:w="1912" w:type="dxa"/>
          </w:tcPr>
          <w:p>
            <w:pPr>
              <w:pStyle w:val="TableParagraph"/>
              <w:spacing w:before="15"/>
              <w:ind w:left="254"/>
              <w:rPr>
                <w:sz w:val="24"/>
              </w:rPr>
            </w:pPr>
            <w:r>
              <w:rPr>
                <w:color w:val="0D0D0D"/>
                <w:spacing w:val="-4"/>
                <w:sz w:val="24"/>
              </w:rPr>
              <w:t>89,8</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14,2</w:t>
            </w:r>
          </w:p>
        </w:tc>
      </w:tr>
      <w:tr>
        <w:trPr>
          <w:trHeight w:val="317" w:hRule="atLeast"/>
        </w:trPr>
        <w:tc>
          <w:tcPr>
            <w:tcW w:w="1791" w:type="dxa"/>
          </w:tcPr>
          <w:p>
            <w:pPr>
              <w:pStyle w:val="TableParagraph"/>
              <w:spacing w:before="15"/>
              <w:ind w:left="114"/>
              <w:jc w:val="left"/>
              <w:rPr>
                <w:b/>
                <w:sz w:val="24"/>
              </w:rPr>
            </w:pPr>
            <w:r>
              <w:rPr>
                <w:b/>
                <w:color w:val="0D0D0D"/>
                <w:spacing w:val="-2"/>
                <w:sz w:val="24"/>
              </w:rPr>
              <w:t>Princesa</w:t>
            </w:r>
          </w:p>
        </w:tc>
        <w:tc>
          <w:tcPr>
            <w:tcW w:w="1867" w:type="dxa"/>
          </w:tcPr>
          <w:p>
            <w:pPr>
              <w:pStyle w:val="TableParagraph"/>
              <w:spacing w:before="15"/>
              <w:ind w:right="633"/>
              <w:jc w:val="right"/>
              <w:rPr>
                <w:sz w:val="24"/>
              </w:rPr>
            </w:pPr>
            <w:r>
              <w:rPr>
                <w:color w:val="0D0D0D"/>
                <w:spacing w:val="-2"/>
                <w:sz w:val="24"/>
              </w:rPr>
              <w:t>109,0</w:t>
            </w:r>
          </w:p>
        </w:tc>
        <w:tc>
          <w:tcPr>
            <w:tcW w:w="1912" w:type="dxa"/>
          </w:tcPr>
          <w:p>
            <w:pPr>
              <w:pStyle w:val="TableParagraph"/>
              <w:spacing w:before="15"/>
              <w:ind w:left="254"/>
              <w:rPr>
                <w:sz w:val="24"/>
              </w:rPr>
            </w:pPr>
            <w:r>
              <w:rPr>
                <w:color w:val="0D0D0D"/>
                <w:spacing w:val="-4"/>
                <w:sz w:val="24"/>
              </w:rPr>
              <w:t>95,3</w:t>
            </w:r>
          </w:p>
        </w:tc>
        <w:tc>
          <w:tcPr>
            <w:tcW w:w="1735" w:type="dxa"/>
          </w:tcPr>
          <w:p>
            <w:pPr>
              <w:pStyle w:val="TableParagraph"/>
              <w:spacing w:before="15"/>
              <w:ind w:left="441"/>
              <w:jc w:val="left"/>
              <w:rPr>
                <w:sz w:val="24"/>
              </w:rPr>
            </w:pPr>
            <w:r>
              <w:rPr>
                <w:color w:val="0D0D0D"/>
                <w:spacing w:val="-2"/>
                <w:sz w:val="24"/>
              </w:rPr>
              <w:t>-</w:t>
            </w:r>
            <w:r>
              <w:rPr>
                <w:color w:val="0D0D0D"/>
                <w:spacing w:val="-4"/>
                <w:sz w:val="24"/>
              </w:rPr>
              <w:t>13,7</w:t>
            </w:r>
          </w:p>
        </w:tc>
      </w:tr>
      <w:tr>
        <w:trPr>
          <w:trHeight w:val="292" w:hRule="atLeast"/>
        </w:trPr>
        <w:tc>
          <w:tcPr>
            <w:tcW w:w="1791" w:type="dxa"/>
            <w:tcBorders>
              <w:bottom w:val="single" w:sz="4" w:space="0" w:color="000000"/>
            </w:tcBorders>
          </w:tcPr>
          <w:p>
            <w:pPr>
              <w:pStyle w:val="TableParagraph"/>
              <w:spacing w:line="255" w:lineRule="exact" w:before="17"/>
              <w:ind w:left="114"/>
              <w:jc w:val="left"/>
              <w:rPr>
                <w:b/>
                <w:sz w:val="24"/>
              </w:rPr>
            </w:pPr>
            <w:r>
              <w:rPr>
                <w:b/>
                <w:color w:val="0D0D0D"/>
                <w:spacing w:val="-4"/>
                <w:sz w:val="24"/>
              </w:rPr>
              <w:t>Duke</w:t>
            </w:r>
          </w:p>
        </w:tc>
        <w:tc>
          <w:tcPr>
            <w:tcW w:w="1867" w:type="dxa"/>
            <w:tcBorders>
              <w:bottom w:val="single" w:sz="4" w:space="0" w:color="000000"/>
            </w:tcBorders>
          </w:tcPr>
          <w:p>
            <w:pPr>
              <w:pStyle w:val="TableParagraph"/>
              <w:spacing w:line="255" w:lineRule="exact" w:before="17"/>
              <w:ind w:right="633"/>
              <w:jc w:val="right"/>
              <w:rPr>
                <w:sz w:val="24"/>
              </w:rPr>
            </w:pPr>
            <w:r>
              <w:rPr>
                <w:color w:val="0D0D0D"/>
                <w:spacing w:val="-2"/>
                <w:sz w:val="24"/>
              </w:rPr>
              <w:t>132,0</w:t>
            </w:r>
          </w:p>
        </w:tc>
        <w:tc>
          <w:tcPr>
            <w:tcW w:w="1912" w:type="dxa"/>
            <w:tcBorders>
              <w:bottom w:val="single" w:sz="4" w:space="0" w:color="000000"/>
            </w:tcBorders>
          </w:tcPr>
          <w:p>
            <w:pPr>
              <w:pStyle w:val="TableParagraph"/>
              <w:spacing w:line="255" w:lineRule="exact" w:before="17"/>
              <w:ind w:left="254" w:right="120"/>
              <w:rPr>
                <w:sz w:val="24"/>
              </w:rPr>
            </w:pPr>
            <w:r>
              <w:rPr>
                <w:color w:val="0D0D0D"/>
                <w:spacing w:val="-2"/>
                <w:sz w:val="24"/>
              </w:rPr>
              <w:t>103,8</w:t>
            </w:r>
          </w:p>
        </w:tc>
        <w:tc>
          <w:tcPr>
            <w:tcW w:w="1735" w:type="dxa"/>
            <w:tcBorders>
              <w:bottom w:val="single" w:sz="4" w:space="0" w:color="000000"/>
            </w:tcBorders>
          </w:tcPr>
          <w:p>
            <w:pPr>
              <w:pStyle w:val="TableParagraph"/>
              <w:spacing w:line="255" w:lineRule="exact" w:before="17"/>
              <w:ind w:left="441"/>
              <w:jc w:val="left"/>
              <w:rPr>
                <w:sz w:val="24"/>
              </w:rPr>
            </w:pPr>
            <w:r>
              <w:rPr>
                <w:color w:val="0D0D0D"/>
                <w:spacing w:val="-2"/>
                <w:sz w:val="24"/>
              </w:rPr>
              <w:t>-</w:t>
            </w:r>
            <w:r>
              <w:rPr>
                <w:color w:val="0D0D0D"/>
                <w:spacing w:val="-4"/>
                <w:sz w:val="24"/>
              </w:rPr>
              <w:t>28,2</w:t>
            </w:r>
          </w:p>
        </w:tc>
      </w:tr>
    </w:tbl>
    <w:p>
      <w:pPr>
        <w:spacing w:before="249"/>
        <w:ind w:left="993" w:right="0" w:firstLine="0"/>
        <w:jc w:val="left"/>
        <w:rPr>
          <w:i/>
          <w:sz w:val="20"/>
        </w:rPr>
      </w:pPr>
      <w:r>
        <w:rPr>
          <w:b/>
          <w:i/>
          <w:color w:val="0D0D0D"/>
          <w:sz w:val="20"/>
        </w:rPr>
        <w:t>Nota.</w:t>
      </w:r>
      <w:r>
        <w:rPr>
          <w:b/>
          <w:i/>
          <w:color w:val="0D0D0D"/>
          <w:spacing w:val="-4"/>
          <w:sz w:val="20"/>
        </w:rPr>
        <w:t> </w:t>
      </w:r>
      <w:r>
        <w:rPr>
          <w:i/>
          <w:color w:val="0D0D0D"/>
          <w:sz w:val="20"/>
        </w:rPr>
        <w:t>Valores</w:t>
      </w:r>
      <w:r>
        <w:rPr>
          <w:i/>
          <w:color w:val="0D0D0D"/>
          <w:spacing w:val="-8"/>
          <w:sz w:val="20"/>
        </w:rPr>
        <w:t> </w:t>
      </w:r>
      <w:r>
        <w:rPr>
          <w:i/>
          <w:color w:val="0D0D0D"/>
          <w:sz w:val="20"/>
        </w:rPr>
        <w:t>negativos</w:t>
      </w:r>
      <w:r>
        <w:rPr>
          <w:i/>
          <w:color w:val="0D0D0D"/>
          <w:spacing w:val="-8"/>
          <w:sz w:val="20"/>
        </w:rPr>
        <w:t> </w:t>
      </w:r>
      <w:r>
        <w:rPr>
          <w:i/>
          <w:color w:val="0D0D0D"/>
          <w:sz w:val="20"/>
        </w:rPr>
        <w:t>indican</w:t>
      </w:r>
      <w:r>
        <w:rPr>
          <w:i/>
          <w:color w:val="0D0D0D"/>
          <w:spacing w:val="-7"/>
          <w:sz w:val="20"/>
        </w:rPr>
        <w:t> </w:t>
      </w:r>
      <w:r>
        <w:rPr>
          <w:i/>
          <w:color w:val="0D0D0D"/>
          <w:sz w:val="20"/>
        </w:rPr>
        <w:t>descenso</w:t>
      </w:r>
      <w:r>
        <w:rPr>
          <w:i/>
          <w:color w:val="0D0D0D"/>
          <w:spacing w:val="-6"/>
          <w:sz w:val="20"/>
        </w:rPr>
        <w:t> </w:t>
      </w:r>
      <w:r>
        <w:rPr>
          <w:i/>
          <w:color w:val="0D0D0D"/>
          <w:sz w:val="20"/>
        </w:rPr>
        <w:t>de</w:t>
      </w:r>
      <w:r>
        <w:rPr>
          <w:i/>
          <w:color w:val="0D0D0D"/>
          <w:spacing w:val="-6"/>
          <w:sz w:val="20"/>
        </w:rPr>
        <w:t> </w:t>
      </w:r>
      <w:r>
        <w:rPr>
          <w:i/>
          <w:color w:val="0D0D0D"/>
          <w:sz w:val="20"/>
        </w:rPr>
        <w:t>la</w:t>
      </w:r>
      <w:r>
        <w:rPr>
          <w:i/>
          <w:color w:val="0D0D0D"/>
          <w:spacing w:val="-6"/>
          <w:sz w:val="20"/>
        </w:rPr>
        <w:t> </w:t>
      </w:r>
      <w:r>
        <w:rPr>
          <w:i/>
          <w:color w:val="0D0D0D"/>
          <w:sz w:val="20"/>
        </w:rPr>
        <w:t>frecuencia</w:t>
      </w:r>
      <w:r>
        <w:rPr>
          <w:i/>
          <w:color w:val="0D0D0D"/>
          <w:spacing w:val="-5"/>
          <w:sz w:val="20"/>
        </w:rPr>
        <w:t> </w:t>
      </w:r>
      <w:r>
        <w:rPr>
          <w:i/>
          <w:color w:val="0D0D0D"/>
          <w:sz w:val="20"/>
        </w:rPr>
        <w:t>cardiaca</w:t>
      </w:r>
      <w:r>
        <w:rPr>
          <w:i/>
          <w:color w:val="0D0D0D"/>
          <w:spacing w:val="-7"/>
          <w:sz w:val="20"/>
        </w:rPr>
        <w:t> </w:t>
      </w:r>
      <w:r>
        <w:rPr>
          <w:i/>
          <w:color w:val="0D0D0D"/>
          <w:sz w:val="20"/>
        </w:rPr>
        <w:t>respecto</w:t>
      </w:r>
      <w:r>
        <w:rPr>
          <w:i/>
          <w:color w:val="0D0D0D"/>
          <w:spacing w:val="-5"/>
          <w:sz w:val="20"/>
        </w:rPr>
        <w:t> </w:t>
      </w:r>
      <w:r>
        <w:rPr>
          <w:i/>
          <w:color w:val="0D0D0D"/>
          <w:sz w:val="20"/>
        </w:rPr>
        <w:t>del</w:t>
      </w:r>
      <w:r>
        <w:rPr>
          <w:i/>
          <w:color w:val="0D0D0D"/>
          <w:spacing w:val="-5"/>
          <w:sz w:val="20"/>
        </w:rPr>
        <w:t> </w:t>
      </w:r>
      <w:r>
        <w:rPr>
          <w:i/>
          <w:color w:val="0D0D0D"/>
          <w:spacing w:val="-2"/>
          <w:sz w:val="20"/>
        </w:rPr>
        <w:t>basal</w:t>
      </w:r>
    </w:p>
    <w:p>
      <w:pPr>
        <w:spacing w:after="0"/>
        <w:jc w:val="left"/>
        <w:rPr>
          <w:i/>
          <w:sz w:val="20"/>
        </w:rPr>
        <w:sectPr>
          <w:footerReference w:type="default" r:id="rId47"/>
          <w:pgSz w:w="11910" w:h="16840"/>
          <w:pgMar w:header="0" w:footer="0" w:top="1620" w:bottom="280" w:left="1275" w:right="566"/>
        </w:sectPr>
      </w:pPr>
    </w:p>
    <w:p>
      <w:pPr>
        <w:spacing w:line="360" w:lineRule="auto" w:before="63"/>
        <w:ind w:left="993" w:right="1251" w:firstLine="0"/>
        <w:jc w:val="left"/>
        <w:rPr>
          <w:sz w:val="22"/>
        </w:rPr>
      </w:pPr>
      <w:bookmarkStart w:name="_bookmark85" w:id="86"/>
      <w:bookmarkEnd w:id="86"/>
      <w:r>
        <w:rPr/>
      </w:r>
      <w:r>
        <w:rPr>
          <w:b/>
          <w:i/>
          <w:sz w:val="22"/>
        </w:rPr>
        <w:t>Anexos</w:t>
      </w:r>
      <w:r>
        <w:rPr>
          <w:b/>
          <w:i/>
          <w:spacing w:val="-9"/>
          <w:sz w:val="22"/>
        </w:rPr>
        <w:t> </w:t>
      </w:r>
      <w:r>
        <w:rPr>
          <w:b/>
          <w:i/>
          <w:sz w:val="22"/>
        </w:rPr>
        <w:t>5.</w:t>
      </w:r>
      <w:r>
        <w:rPr>
          <w:b/>
          <w:i/>
          <w:spacing w:val="-3"/>
          <w:sz w:val="22"/>
        </w:rPr>
        <w:t> </w:t>
      </w:r>
      <w:r>
        <w:rPr>
          <w:sz w:val="22"/>
        </w:rPr>
        <w:t>Tiempo</w:t>
      </w:r>
      <w:r>
        <w:rPr>
          <w:spacing w:val="-7"/>
          <w:sz w:val="22"/>
        </w:rPr>
        <w:t> </w:t>
      </w:r>
      <w:r>
        <w:rPr>
          <w:sz w:val="22"/>
        </w:rPr>
        <w:t>de</w:t>
      </w:r>
      <w:r>
        <w:rPr>
          <w:spacing w:val="-6"/>
          <w:sz w:val="22"/>
        </w:rPr>
        <w:t> </w:t>
      </w:r>
      <w:r>
        <w:rPr>
          <w:sz w:val="22"/>
        </w:rPr>
        <w:t>llenado</w:t>
      </w:r>
      <w:r>
        <w:rPr>
          <w:spacing w:val="-3"/>
          <w:sz w:val="22"/>
        </w:rPr>
        <w:t> </w:t>
      </w:r>
      <w:r>
        <w:rPr>
          <w:sz w:val="22"/>
        </w:rPr>
        <w:t>capilar</w:t>
      </w:r>
      <w:r>
        <w:rPr>
          <w:spacing w:val="-6"/>
          <w:sz w:val="22"/>
        </w:rPr>
        <w:t> </w:t>
      </w:r>
      <w:r>
        <w:rPr>
          <w:sz w:val="22"/>
        </w:rPr>
        <w:t>basal,</w:t>
      </w:r>
      <w:r>
        <w:rPr>
          <w:spacing w:val="-4"/>
          <w:sz w:val="22"/>
        </w:rPr>
        <w:t> </w:t>
      </w:r>
      <w:r>
        <w:rPr>
          <w:sz w:val="22"/>
        </w:rPr>
        <w:t>promedio</w:t>
      </w:r>
      <w:r>
        <w:rPr>
          <w:spacing w:val="-3"/>
          <w:sz w:val="22"/>
        </w:rPr>
        <w:t> </w:t>
      </w:r>
      <w:r>
        <w:rPr>
          <w:sz w:val="22"/>
        </w:rPr>
        <w:t>intraoperatorio</w:t>
      </w:r>
      <w:r>
        <w:rPr>
          <w:spacing w:val="-3"/>
          <w:sz w:val="22"/>
        </w:rPr>
        <w:t> </w:t>
      </w:r>
      <w:r>
        <w:rPr>
          <w:sz w:val="22"/>
        </w:rPr>
        <w:t>y</w:t>
      </w:r>
      <w:r>
        <w:rPr>
          <w:spacing w:val="-7"/>
          <w:sz w:val="22"/>
        </w:rPr>
        <w:t> </w:t>
      </w:r>
      <w:r>
        <w:rPr>
          <w:sz w:val="22"/>
        </w:rPr>
        <w:t>diferencia</w:t>
      </w:r>
      <w:r>
        <w:rPr>
          <w:spacing w:val="-6"/>
          <w:sz w:val="22"/>
        </w:rPr>
        <w:t> </w:t>
      </w:r>
      <w:r>
        <w:rPr>
          <w:sz w:val="22"/>
        </w:rPr>
        <w:t>por </w:t>
      </w:r>
      <w:r>
        <w:rPr>
          <w:spacing w:val="-2"/>
          <w:sz w:val="22"/>
        </w:rPr>
        <w:t>paciente.</w:t>
      </w:r>
    </w:p>
    <w:p>
      <w:pPr>
        <w:pStyle w:val="BodyText"/>
        <w:spacing w:before="10" w:after="1"/>
        <w:rPr>
          <w:sz w:val="17"/>
        </w:rPr>
      </w:pPr>
    </w:p>
    <w:tbl>
      <w:tblPr>
        <w:tblW w:w="0" w:type="auto"/>
        <w:jc w:val="left"/>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44"/>
        <w:gridCol w:w="1230"/>
        <w:gridCol w:w="1976"/>
        <w:gridCol w:w="1508"/>
      </w:tblGrid>
      <w:tr>
        <w:trPr>
          <w:trHeight w:val="826" w:hRule="atLeast"/>
        </w:trPr>
        <w:tc>
          <w:tcPr>
            <w:tcW w:w="1744" w:type="dxa"/>
            <w:tcBorders>
              <w:top w:val="single" w:sz="4" w:space="0" w:color="000000"/>
              <w:bottom w:val="single" w:sz="4" w:space="0" w:color="000000"/>
            </w:tcBorders>
          </w:tcPr>
          <w:p>
            <w:pPr>
              <w:pStyle w:val="TableParagraph"/>
              <w:spacing w:line="275" w:lineRule="exact" w:before="0"/>
              <w:ind w:left="114"/>
              <w:jc w:val="left"/>
              <w:rPr>
                <w:b/>
                <w:sz w:val="24"/>
              </w:rPr>
            </w:pPr>
            <w:r>
              <w:rPr>
                <w:b/>
                <w:color w:val="0D0D0D"/>
                <w:spacing w:val="-2"/>
                <w:sz w:val="24"/>
              </w:rPr>
              <w:t>Nombre</w:t>
            </w:r>
          </w:p>
        </w:tc>
        <w:tc>
          <w:tcPr>
            <w:tcW w:w="1230" w:type="dxa"/>
            <w:tcBorders>
              <w:top w:val="single" w:sz="4" w:space="0" w:color="000000"/>
              <w:bottom w:val="single" w:sz="4" w:space="0" w:color="000000"/>
            </w:tcBorders>
          </w:tcPr>
          <w:p>
            <w:pPr>
              <w:pStyle w:val="TableParagraph"/>
              <w:spacing w:line="275" w:lineRule="exact" w:before="0"/>
              <w:ind w:right="144"/>
              <w:jc w:val="right"/>
              <w:rPr>
                <w:b/>
                <w:sz w:val="24"/>
              </w:rPr>
            </w:pPr>
            <w:r>
              <w:rPr>
                <w:b/>
                <w:color w:val="0D0D0D"/>
                <w:spacing w:val="-2"/>
                <w:sz w:val="24"/>
              </w:rPr>
              <w:t>Antes</w:t>
            </w:r>
          </w:p>
        </w:tc>
        <w:tc>
          <w:tcPr>
            <w:tcW w:w="1976" w:type="dxa"/>
            <w:tcBorders>
              <w:top w:val="single" w:sz="4" w:space="0" w:color="000000"/>
              <w:bottom w:val="single" w:sz="4" w:space="0" w:color="000000"/>
            </w:tcBorders>
          </w:tcPr>
          <w:p>
            <w:pPr>
              <w:pStyle w:val="TableParagraph"/>
              <w:spacing w:line="275" w:lineRule="exact" w:before="0"/>
              <w:ind w:left="729"/>
              <w:jc w:val="left"/>
              <w:rPr>
                <w:b/>
                <w:sz w:val="24"/>
              </w:rPr>
            </w:pPr>
            <w:r>
              <w:rPr>
                <w:b/>
                <w:color w:val="0D0D0D"/>
                <w:spacing w:val="-2"/>
                <w:sz w:val="24"/>
              </w:rPr>
              <w:t>Promedio</w:t>
            </w:r>
          </w:p>
          <w:p>
            <w:pPr>
              <w:pStyle w:val="TableParagraph"/>
              <w:spacing w:before="140"/>
              <w:ind w:left="141"/>
              <w:jc w:val="left"/>
              <w:rPr>
                <w:b/>
                <w:sz w:val="24"/>
              </w:rPr>
            </w:pPr>
            <w:r>
              <w:rPr>
                <w:b/>
                <w:color w:val="0D0D0D"/>
                <w:spacing w:val="-2"/>
                <w:sz w:val="24"/>
              </w:rPr>
              <w:t>intraoperatorio</w:t>
            </w:r>
          </w:p>
        </w:tc>
        <w:tc>
          <w:tcPr>
            <w:tcW w:w="1508" w:type="dxa"/>
            <w:tcBorders>
              <w:top w:val="single" w:sz="4" w:space="0" w:color="000000"/>
              <w:bottom w:val="single" w:sz="4" w:space="0" w:color="000000"/>
            </w:tcBorders>
          </w:tcPr>
          <w:p>
            <w:pPr>
              <w:pStyle w:val="TableParagraph"/>
              <w:spacing w:line="275" w:lineRule="exact" w:before="0"/>
              <w:ind w:right="108"/>
              <w:jc w:val="right"/>
              <w:rPr>
                <w:b/>
                <w:sz w:val="24"/>
              </w:rPr>
            </w:pPr>
            <w:r>
              <w:rPr>
                <w:b/>
                <w:color w:val="0D0D0D"/>
                <w:spacing w:val="-2"/>
                <w:sz w:val="24"/>
              </w:rPr>
              <w:t>Diferencias</w:t>
            </w:r>
          </w:p>
        </w:tc>
      </w:tr>
      <w:tr>
        <w:trPr>
          <w:trHeight w:val="304" w:hRule="atLeast"/>
        </w:trPr>
        <w:tc>
          <w:tcPr>
            <w:tcW w:w="1744" w:type="dxa"/>
            <w:tcBorders>
              <w:top w:val="single" w:sz="4" w:space="0" w:color="000000"/>
            </w:tcBorders>
          </w:tcPr>
          <w:p>
            <w:pPr>
              <w:pStyle w:val="TableParagraph"/>
              <w:spacing w:before="3"/>
              <w:ind w:left="114"/>
              <w:jc w:val="left"/>
              <w:rPr>
                <w:b/>
                <w:sz w:val="24"/>
              </w:rPr>
            </w:pPr>
            <w:r>
              <w:rPr>
                <w:b/>
                <w:color w:val="0D0D0D"/>
                <w:spacing w:val="-2"/>
                <w:sz w:val="24"/>
              </w:rPr>
              <w:t>Apolo</w:t>
            </w:r>
          </w:p>
        </w:tc>
        <w:tc>
          <w:tcPr>
            <w:tcW w:w="1230" w:type="dxa"/>
            <w:tcBorders>
              <w:top w:val="single" w:sz="4" w:space="0" w:color="000000"/>
            </w:tcBorders>
          </w:tcPr>
          <w:p>
            <w:pPr>
              <w:pStyle w:val="TableParagraph"/>
              <w:spacing w:before="3"/>
              <w:ind w:right="142"/>
              <w:jc w:val="right"/>
              <w:rPr>
                <w:sz w:val="24"/>
              </w:rPr>
            </w:pPr>
            <w:r>
              <w:rPr>
                <w:color w:val="0D0D0D"/>
                <w:spacing w:val="-5"/>
                <w:sz w:val="24"/>
              </w:rPr>
              <w:t>2,0</w:t>
            </w:r>
          </w:p>
        </w:tc>
        <w:tc>
          <w:tcPr>
            <w:tcW w:w="1976" w:type="dxa"/>
            <w:tcBorders>
              <w:top w:val="single" w:sz="4" w:space="0" w:color="000000"/>
            </w:tcBorders>
          </w:tcPr>
          <w:p>
            <w:pPr>
              <w:pStyle w:val="TableParagraph"/>
              <w:spacing w:before="3"/>
              <w:ind w:right="244"/>
              <w:jc w:val="right"/>
              <w:rPr>
                <w:sz w:val="24"/>
              </w:rPr>
            </w:pPr>
            <w:r>
              <w:rPr>
                <w:color w:val="0D0D0D"/>
                <w:spacing w:val="-5"/>
                <w:sz w:val="24"/>
              </w:rPr>
              <w:t>2,3</w:t>
            </w:r>
          </w:p>
        </w:tc>
        <w:tc>
          <w:tcPr>
            <w:tcW w:w="1508" w:type="dxa"/>
            <w:tcBorders>
              <w:top w:val="single" w:sz="4" w:space="0" w:color="000000"/>
            </w:tcBorders>
          </w:tcPr>
          <w:p>
            <w:pPr>
              <w:pStyle w:val="TableParagraph"/>
              <w:spacing w:before="3"/>
              <w:ind w:right="108"/>
              <w:jc w:val="right"/>
              <w:rPr>
                <w:sz w:val="24"/>
              </w:rPr>
            </w:pPr>
            <w:r>
              <w:rPr>
                <w:color w:val="0D0D0D"/>
                <w:spacing w:val="-5"/>
                <w:sz w:val="24"/>
              </w:rPr>
              <w:t>0,3</w:t>
            </w:r>
          </w:p>
        </w:tc>
      </w:tr>
      <w:tr>
        <w:trPr>
          <w:trHeight w:val="317" w:hRule="atLeast"/>
        </w:trPr>
        <w:tc>
          <w:tcPr>
            <w:tcW w:w="1744" w:type="dxa"/>
          </w:tcPr>
          <w:p>
            <w:pPr>
              <w:pStyle w:val="TableParagraph"/>
              <w:spacing w:before="15"/>
              <w:ind w:left="114"/>
              <w:jc w:val="left"/>
              <w:rPr>
                <w:b/>
                <w:sz w:val="24"/>
              </w:rPr>
            </w:pPr>
            <w:r>
              <w:rPr>
                <w:b/>
                <w:color w:val="0D0D0D"/>
                <w:spacing w:val="-2"/>
                <w:sz w:val="24"/>
              </w:rPr>
              <w:t>Chiquitin</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7" w:hRule="atLeast"/>
        </w:trPr>
        <w:tc>
          <w:tcPr>
            <w:tcW w:w="1744" w:type="dxa"/>
          </w:tcPr>
          <w:p>
            <w:pPr>
              <w:pStyle w:val="TableParagraph"/>
              <w:spacing w:before="17"/>
              <w:ind w:left="114"/>
              <w:jc w:val="left"/>
              <w:rPr>
                <w:b/>
                <w:sz w:val="24"/>
              </w:rPr>
            </w:pPr>
            <w:r>
              <w:rPr>
                <w:b/>
                <w:color w:val="0D0D0D"/>
                <w:spacing w:val="-2"/>
                <w:sz w:val="24"/>
              </w:rPr>
              <w:t>Tomas</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6" w:hRule="atLeast"/>
        </w:trPr>
        <w:tc>
          <w:tcPr>
            <w:tcW w:w="1744" w:type="dxa"/>
          </w:tcPr>
          <w:p>
            <w:pPr>
              <w:pStyle w:val="TableParagraph"/>
              <w:spacing w:before="15"/>
              <w:ind w:left="114"/>
              <w:jc w:val="left"/>
              <w:rPr>
                <w:b/>
                <w:sz w:val="24"/>
              </w:rPr>
            </w:pPr>
            <w:r>
              <w:rPr>
                <w:b/>
                <w:color w:val="0D0D0D"/>
                <w:spacing w:val="-2"/>
                <w:sz w:val="24"/>
              </w:rPr>
              <w:t>Micky</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7" w:hRule="atLeast"/>
        </w:trPr>
        <w:tc>
          <w:tcPr>
            <w:tcW w:w="1744" w:type="dxa"/>
          </w:tcPr>
          <w:p>
            <w:pPr>
              <w:pStyle w:val="TableParagraph"/>
              <w:spacing w:before="15"/>
              <w:ind w:left="114"/>
              <w:jc w:val="left"/>
              <w:rPr>
                <w:b/>
                <w:sz w:val="24"/>
              </w:rPr>
            </w:pPr>
            <w:r>
              <w:rPr>
                <w:b/>
                <w:color w:val="0D0D0D"/>
                <w:spacing w:val="-2"/>
                <w:sz w:val="24"/>
              </w:rPr>
              <w:t>Sally</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7"/>
              <w:ind w:left="114"/>
              <w:jc w:val="left"/>
              <w:rPr>
                <w:b/>
                <w:sz w:val="24"/>
              </w:rPr>
            </w:pPr>
            <w:r>
              <w:rPr>
                <w:b/>
                <w:color w:val="0D0D0D"/>
                <w:spacing w:val="-2"/>
                <w:sz w:val="24"/>
              </w:rPr>
              <w:t>Osito</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6" w:hRule="atLeast"/>
        </w:trPr>
        <w:tc>
          <w:tcPr>
            <w:tcW w:w="1744" w:type="dxa"/>
          </w:tcPr>
          <w:p>
            <w:pPr>
              <w:pStyle w:val="TableParagraph"/>
              <w:spacing w:before="15"/>
              <w:ind w:left="114"/>
              <w:jc w:val="left"/>
              <w:rPr>
                <w:b/>
                <w:sz w:val="24"/>
              </w:rPr>
            </w:pPr>
            <w:r>
              <w:rPr>
                <w:b/>
                <w:color w:val="0D0D0D"/>
                <w:spacing w:val="-2"/>
                <w:sz w:val="24"/>
              </w:rPr>
              <w:t>Flunke</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7" w:hRule="atLeast"/>
        </w:trPr>
        <w:tc>
          <w:tcPr>
            <w:tcW w:w="1744" w:type="dxa"/>
          </w:tcPr>
          <w:p>
            <w:pPr>
              <w:pStyle w:val="TableParagraph"/>
              <w:spacing w:before="15"/>
              <w:ind w:left="114"/>
              <w:jc w:val="left"/>
              <w:rPr>
                <w:b/>
                <w:sz w:val="24"/>
              </w:rPr>
            </w:pPr>
            <w:r>
              <w:rPr>
                <w:b/>
                <w:color w:val="0D0D0D"/>
                <w:spacing w:val="-5"/>
                <w:sz w:val="24"/>
              </w:rPr>
              <w:t>Mia</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7"/>
              <w:ind w:left="114"/>
              <w:jc w:val="left"/>
              <w:rPr>
                <w:b/>
                <w:sz w:val="24"/>
              </w:rPr>
            </w:pPr>
            <w:r>
              <w:rPr>
                <w:b/>
                <w:color w:val="0D0D0D"/>
                <w:spacing w:val="-4"/>
                <w:sz w:val="24"/>
              </w:rPr>
              <w:t>Aris</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6" w:hRule="atLeast"/>
        </w:trPr>
        <w:tc>
          <w:tcPr>
            <w:tcW w:w="1744" w:type="dxa"/>
          </w:tcPr>
          <w:p>
            <w:pPr>
              <w:pStyle w:val="TableParagraph"/>
              <w:spacing w:before="15"/>
              <w:ind w:left="114"/>
              <w:jc w:val="left"/>
              <w:rPr>
                <w:b/>
                <w:sz w:val="24"/>
              </w:rPr>
            </w:pPr>
            <w:r>
              <w:rPr>
                <w:b/>
                <w:color w:val="0D0D0D"/>
                <w:spacing w:val="-2"/>
                <w:sz w:val="24"/>
              </w:rPr>
              <w:t>Dominique</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5"/>
              <w:ind w:left="114"/>
              <w:jc w:val="left"/>
              <w:rPr>
                <w:b/>
                <w:sz w:val="24"/>
              </w:rPr>
            </w:pPr>
            <w:r>
              <w:rPr>
                <w:b/>
                <w:color w:val="0D0D0D"/>
                <w:spacing w:val="-5"/>
                <w:sz w:val="24"/>
              </w:rPr>
              <w:t>Eco</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7" w:hRule="atLeast"/>
        </w:trPr>
        <w:tc>
          <w:tcPr>
            <w:tcW w:w="1744" w:type="dxa"/>
          </w:tcPr>
          <w:p>
            <w:pPr>
              <w:pStyle w:val="TableParagraph"/>
              <w:spacing w:before="17"/>
              <w:ind w:left="114"/>
              <w:jc w:val="left"/>
              <w:rPr>
                <w:b/>
                <w:sz w:val="24"/>
              </w:rPr>
            </w:pPr>
            <w:r>
              <w:rPr>
                <w:b/>
                <w:color w:val="0D0D0D"/>
                <w:spacing w:val="-2"/>
                <w:sz w:val="24"/>
              </w:rPr>
              <w:t>Henchi</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6" w:hRule="atLeast"/>
        </w:trPr>
        <w:tc>
          <w:tcPr>
            <w:tcW w:w="1744" w:type="dxa"/>
          </w:tcPr>
          <w:p>
            <w:pPr>
              <w:pStyle w:val="TableParagraph"/>
              <w:spacing w:before="15"/>
              <w:ind w:left="114"/>
              <w:jc w:val="left"/>
              <w:rPr>
                <w:b/>
                <w:sz w:val="24"/>
              </w:rPr>
            </w:pPr>
            <w:r>
              <w:rPr>
                <w:b/>
                <w:color w:val="0D0D0D"/>
                <w:spacing w:val="-2"/>
                <w:sz w:val="24"/>
              </w:rPr>
              <w:t>Cooper</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5"/>
              <w:ind w:left="114"/>
              <w:jc w:val="left"/>
              <w:rPr>
                <w:b/>
                <w:sz w:val="24"/>
              </w:rPr>
            </w:pPr>
            <w:r>
              <w:rPr>
                <w:b/>
                <w:color w:val="0D0D0D"/>
                <w:spacing w:val="-2"/>
                <w:sz w:val="24"/>
              </w:rPr>
              <w:t>Milla</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7" w:hRule="atLeast"/>
        </w:trPr>
        <w:tc>
          <w:tcPr>
            <w:tcW w:w="1744" w:type="dxa"/>
          </w:tcPr>
          <w:p>
            <w:pPr>
              <w:pStyle w:val="TableParagraph"/>
              <w:spacing w:before="17"/>
              <w:ind w:left="114"/>
              <w:jc w:val="left"/>
              <w:rPr>
                <w:b/>
                <w:sz w:val="24"/>
              </w:rPr>
            </w:pPr>
            <w:r>
              <w:rPr>
                <w:b/>
                <w:color w:val="0D0D0D"/>
                <w:spacing w:val="-2"/>
                <w:sz w:val="24"/>
              </w:rPr>
              <w:t>Molly</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5" w:hRule="atLeast"/>
        </w:trPr>
        <w:tc>
          <w:tcPr>
            <w:tcW w:w="1744" w:type="dxa"/>
          </w:tcPr>
          <w:p>
            <w:pPr>
              <w:pStyle w:val="TableParagraph"/>
              <w:spacing w:before="15"/>
              <w:ind w:left="114"/>
              <w:jc w:val="left"/>
              <w:rPr>
                <w:b/>
                <w:sz w:val="24"/>
              </w:rPr>
            </w:pPr>
            <w:r>
              <w:rPr>
                <w:b/>
                <w:color w:val="0D0D0D"/>
                <w:spacing w:val="-4"/>
                <w:sz w:val="24"/>
              </w:rPr>
              <w:t>Luna</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5"/>
              <w:ind w:left="114"/>
              <w:jc w:val="left"/>
              <w:rPr>
                <w:b/>
                <w:sz w:val="24"/>
              </w:rPr>
            </w:pPr>
            <w:r>
              <w:rPr>
                <w:b/>
                <w:color w:val="0D0D0D"/>
                <w:spacing w:val="-2"/>
                <w:sz w:val="24"/>
              </w:rPr>
              <w:t>Rocky</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7"/>
              <w:ind w:left="114"/>
              <w:jc w:val="left"/>
              <w:rPr>
                <w:b/>
                <w:sz w:val="24"/>
              </w:rPr>
            </w:pPr>
            <w:r>
              <w:rPr>
                <w:b/>
                <w:color w:val="0D0D0D"/>
                <w:spacing w:val="-2"/>
                <w:sz w:val="24"/>
              </w:rPr>
              <w:t>Kiara</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5" w:hRule="atLeast"/>
        </w:trPr>
        <w:tc>
          <w:tcPr>
            <w:tcW w:w="1744" w:type="dxa"/>
          </w:tcPr>
          <w:p>
            <w:pPr>
              <w:pStyle w:val="TableParagraph"/>
              <w:spacing w:before="15"/>
              <w:ind w:left="114"/>
              <w:jc w:val="left"/>
              <w:rPr>
                <w:b/>
                <w:sz w:val="24"/>
              </w:rPr>
            </w:pPr>
            <w:r>
              <w:rPr>
                <w:b/>
                <w:color w:val="0D0D0D"/>
                <w:spacing w:val="-2"/>
                <w:sz w:val="24"/>
              </w:rPr>
              <w:t>Dexter</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5"/>
              <w:ind w:left="114"/>
              <w:jc w:val="left"/>
              <w:rPr>
                <w:b/>
                <w:sz w:val="24"/>
              </w:rPr>
            </w:pPr>
            <w:r>
              <w:rPr>
                <w:b/>
                <w:color w:val="0D0D0D"/>
                <w:spacing w:val="-2"/>
                <w:sz w:val="24"/>
              </w:rPr>
              <w:t>Perla</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7"/>
              <w:ind w:left="114"/>
              <w:jc w:val="left"/>
              <w:rPr>
                <w:b/>
                <w:sz w:val="24"/>
              </w:rPr>
            </w:pPr>
            <w:r>
              <w:rPr>
                <w:b/>
                <w:color w:val="0D0D0D"/>
                <w:spacing w:val="-2"/>
                <w:sz w:val="24"/>
              </w:rPr>
              <w:t>Tango</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7" w:hRule="atLeast"/>
        </w:trPr>
        <w:tc>
          <w:tcPr>
            <w:tcW w:w="1744" w:type="dxa"/>
          </w:tcPr>
          <w:p>
            <w:pPr>
              <w:pStyle w:val="TableParagraph"/>
              <w:spacing w:before="15"/>
              <w:ind w:left="114"/>
              <w:jc w:val="left"/>
              <w:rPr>
                <w:b/>
                <w:sz w:val="24"/>
              </w:rPr>
            </w:pPr>
            <w:r>
              <w:rPr>
                <w:b/>
                <w:color w:val="0D0D0D"/>
                <w:spacing w:val="-4"/>
                <w:sz w:val="24"/>
              </w:rPr>
              <w:t>Nala</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7" w:hRule="atLeast"/>
        </w:trPr>
        <w:tc>
          <w:tcPr>
            <w:tcW w:w="1744" w:type="dxa"/>
          </w:tcPr>
          <w:p>
            <w:pPr>
              <w:pStyle w:val="TableParagraph"/>
              <w:spacing w:before="17"/>
              <w:ind w:left="114"/>
              <w:jc w:val="left"/>
              <w:rPr>
                <w:b/>
                <w:sz w:val="24"/>
              </w:rPr>
            </w:pPr>
            <w:r>
              <w:rPr>
                <w:b/>
                <w:color w:val="0D0D0D"/>
                <w:spacing w:val="-2"/>
                <w:sz w:val="24"/>
              </w:rPr>
              <w:t>Bruno</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3,0</w:t>
            </w:r>
          </w:p>
        </w:tc>
        <w:tc>
          <w:tcPr>
            <w:tcW w:w="1508" w:type="dxa"/>
          </w:tcPr>
          <w:p>
            <w:pPr>
              <w:pStyle w:val="TableParagraph"/>
              <w:spacing w:before="17"/>
              <w:ind w:right="108"/>
              <w:jc w:val="right"/>
              <w:rPr>
                <w:sz w:val="24"/>
              </w:rPr>
            </w:pPr>
            <w:r>
              <w:rPr>
                <w:color w:val="0D0D0D"/>
                <w:spacing w:val="-5"/>
                <w:sz w:val="24"/>
              </w:rPr>
              <w:t>1,0</w:t>
            </w:r>
          </w:p>
        </w:tc>
      </w:tr>
      <w:tr>
        <w:trPr>
          <w:trHeight w:val="316" w:hRule="atLeast"/>
        </w:trPr>
        <w:tc>
          <w:tcPr>
            <w:tcW w:w="1744" w:type="dxa"/>
          </w:tcPr>
          <w:p>
            <w:pPr>
              <w:pStyle w:val="TableParagraph"/>
              <w:spacing w:before="15"/>
              <w:ind w:left="114"/>
              <w:jc w:val="left"/>
              <w:rPr>
                <w:b/>
                <w:sz w:val="24"/>
              </w:rPr>
            </w:pPr>
            <w:r>
              <w:rPr>
                <w:b/>
                <w:color w:val="0D0D0D"/>
                <w:spacing w:val="-4"/>
                <w:sz w:val="24"/>
              </w:rPr>
              <w:t>Tita</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5"/>
              <w:ind w:left="114"/>
              <w:jc w:val="left"/>
              <w:rPr>
                <w:b/>
                <w:sz w:val="24"/>
              </w:rPr>
            </w:pPr>
            <w:r>
              <w:rPr>
                <w:b/>
                <w:color w:val="0D0D0D"/>
                <w:spacing w:val="-4"/>
                <w:sz w:val="24"/>
              </w:rPr>
              <w:t>Samy</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7" w:hRule="atLeast"/>
        </w:trPr>
        <w:tc>
          <w:tcPr>
            <w:tcW w:w="1744" w:type="dxa"/>
          </w:tcPr>
          <w:p>
            <w:pPr>
              <w:pStyle w:val="TableParagraph"/>
              <w:spacing w:before="17"/>
              <w:ind w:left="114"/>
              <w:jc w:val="left"/>
              <w:rPr>
                <w:b/>
                <w:sz w:val="24"/>
              </w:rPr>
            </w:pPr>
            <w:r>
              <w:rPr>
                <w:b/>
                <w:color w:val="0D0D0D"/>
                <w:spacing w:val="-5"/>
                <w:sz w:val="24"/>
              </w:rPr>
              <w:t>Max</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16" w:hRule="atLeast"/>
        </w:trPr>
        <w:tc>
          <w:tcPr>
            <w:tcW w:w="1744" w:type="dxa"/>
          </w:tcPr>
          <w:p>
            <w:pPr>
              <w:pStyle w:val="TableParagraph"/>
              <w:spacing w:before="15"/>
              <w:ind w:left="114"/>
              <w:jc w:val="left"/>
              <w:rPr>
                <w:b/>
                <w:sz w:val="24"/>
              </w:rPr>
            </w:pPr>
            <w:r>
              <w:rPr>
                <w:b/>
                <w:color w:val="0D0D0D"/>
                <w:spacing w:val="-4"/>
                <w:sz w:val="24"/>
              </w:rPr>
              <w:t>Lulu</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5"/>
              <w:ind w:left="114"/>
              <w:jc w:val="left"/>
              <w:rPr>
                <w:b/>
                <w:sz w:val="24"/>
              </w:rPr>
            </w:pPr>
            <w:r>
              <w:rPr>
                <w:b/>
                <w:color w:val="0D0D0D"/>
                <w:spacing w:val="-2"/>
                <w:sz w:val="24"/>
              </w:rPr>
              <w:t>Orión</w:t>
            </w:r>
          </w:p>
        </w:tc>
        <w:tc>
          <w:tcPr>
            <w:tcW w:w="1230" w:type="dxa"/>
          </w:tcPr>
          <w:p>
            <w:pPr>
              <w:pStyle w:val="TableParagraph"/>
              <w:spacing w:before="15"/>
              <w:ind w:right="142"/>
              <w:jc w:val="right"/>
              <w:rPr>
                <w:sz w:val="24"/>
              </w:rPr>
            </w:pPr>
            <w:r>
              <w:rPr>
                <w:color w:val="0D0D0D"/>
                <w:spacing w:val="-5"/>
                <w:sz w:val="24"/>
              </w:rPr>
              <w:t>2,0</w:t>
            </w:r>
          </w:p>
        </w:tc>
        <w:tc>
          <w:tcPr>
            <w:tcW w:w="1976" w:type="dxa"/>
          </w:tcPr>
          <w:p>
            <w:pPr>
              <w:pStyle w:val="TableParagraph"/>
              <w:spacing w:before="15"/>
              <w:ind w:right="244"/>
              <w:jc w:val="right"/>
              <w:rPr>
                <w:sz w:val="24"/>
              </w:rPr>
            </w:pPr>
            <w:r>
              <w:rPr>
                <w:color w:val="0D0D0D"/>
                <w:spacing w:val="-5"/>
                <w:sz w:val="24"/>
              </w:rPr>
              <w:t>2,0</w:t>
            </w:r>
          </w:p>
        </w:tc>
        <w:tc>
          <w:tcPr>
            <w:tcW w:w="1508" w:type="dxa"/>
          </w:tcPr>
          <w:p>
            <w:pPr>
              <w:pStyle w:val="TableParagraph"/>
              <w:spacing w:before="15"/>
              <w:ind w:right="108"/>
              <w:jc w:val="right"/>
              <w:rPr>
                <w:sz w:val="24"/>
              </w:rPr>
            </w:pPr>
            <w:r>
              <w:rPr>
                <w:color w:val="0D0D0D"/>
                <w:spacing w:val="-5"/>
                <w:sz w:val="24"/>
              </w:rPr>
              <w:t>0,0</w:t>
            </w:r>
          </w:p>
        </w:tc>
      </w:tr>
      <w:tr>
        <w:trPr>
          <w:trHeight w:val="318" w:hRule="atLeast"/>
        </w:trPr>
        <w:tc>
          <w:tcPr>
            <w:tcW w:w="1744" w:type="dxa"/>
          </w:tcPr>
          <w:p>
            <w:pPr>
              <w:pStyle w:val="TableParagraph"/>
              <w:spacing w:before="17"/>
              <w:ind w:left="114"/>
              <w:jc w:val="left"/>
              <w:rPr>
                <w:b/>
                <w:sz w:val="24"/>
              </w:rPr>
            </w:pPr>
            <w:r>
              <w:rPr>
                <w:b/>
                <w:color w:val="0D0D0D"/>
                <w:spacing w:val="-2"/>
                <w:sz w:val="24"/>
              </w:rPr>
              <w:t>Princesa</w:t>
            </w:r>
          </w:p>
        </w:tc>
        <w:tc>
          <w:tcPr>
            <w:tcW w:w="1230" w:type="dxa"/>
          </w:tcPr>
          <w:p>
            <w:pPr>
              <w:pStyle w:val="TableParagraph"/>
              <w:spacing w:before="17"/>
              <w:ind w:right="142"/>
              <w:jc w:val="right"/>
              <w:rPr>
                <w:sz w:val="24"/>
              </w:rPr>
            </w:pPr>
            <w:r>
              <w:rPr>
                <w:color w:val="0D0D0D"/>
                <w:spacing w:val="-5"/>
                <w:sz w:val="24"/>
              </w:rPr>
              <w:t>2,0</w:t>
            </w:r>
          </w:p>
        </w:tc>
        <w:tc>
          <w:tcPr>
            <w:tcW w:w="1976" w:type="dxa"/>
          </w:tcPr>
          <w:p>
            <w:pPr>
              <w:pStyle w:val="TableParagraph"/>
              <w:spacing w:before="17"/>
              <w:ind w:right="244"/>
              <w:jc w:val="right"/>
              <w:rPr>
                <w:sz w:val="24"/>
              </w:rPr>
            </w:pPr>
            <w:r>
              <w:rPr>
                <w:color w:val="0D0D0D"/>
                <w:spacing w:val="-5"/>
                <w:sz w:val="24"/>
              </w:rPr>
              <w:t>2,0</w:t>
            </w:r>
          </w:p>
        </w:tc>
        <w:tc>
          <w:tcPr>
            <w:tcW w:w="1508" w:type="dxa"/>
          </w:tcPr>
          <w:p>
            <w:pPr>
              <w:pStyle w:val="TableParagraph"/>
              <w:spacing w:before="17"/>
              <w:ind w:right="108"/>
              <w:jc w:val="right"/>
              <w:rPr>
                <w:sz w:val="24"/>
              </w:rPr>
            </w:pPr>
            <w:r>
              <w:rPr>
                <w:color w:val="0D0D0D"/>
                <w:spacing w:val="-5"/>
                <w:sz w:val="24"/>
              </w:rPr>
              <w:t>0,0</w:t>
            </w:r>
          </w:p>
        </w:tc>
      </w:tr>
      <w:tr>
        <w:trPr>
          <w:trHeight w:val="333" w:hRule="atLeast"/>
        </w:trPr>
        <w:tc>
          <w:tcPr>
            <w:tcW w:w="1744" w:type="dxa"/>
            <w:tcBorders>
              <w:bottom w:val="single" w:sz="4" w:space="0" w:color="000000"/>
            </w:tcBorders>
          </w:tcPr>
          <w:p>
            <w:pPr>
              <w:pStyle w:val="TableParagraph"/>
              <w:spacing w:before="15"/>
              <w:ind w:left="114"/>
              <w:jc w:val="left"/>
              <w:rPr>
                <w:b/>
                <w:sz w:val="24"/>
              </w:rPr>
            </w:pPr>
            <w:r>
              <w:rPr>
                <w:b/>
                <w:color w:val="0D0D0D"/>
                <w:spacing w:val="-4"/>
                <w:sz w:val="24"/>
              </w:rPr>
              <w:t>Duke</w:t>
            </w:r>
          </w:p>
        </w:tc>
        <w:tc>
          <w:tcPr>
            <w:tcW w:w="1230" w:type="dxa"/>
            <w:tcBorders>
              <w:bottom w:val="single" w:sz="4" w:space="0" w:color="000000"/>
            </w:tcBorders>
          </w:tcPr>
          <w:p>
            <w:pPr>
              <w:pStyle w:val="TableParagraph"/>
              <w:spacing w:before="15"/>
              <w:ind w:right="142"/>
              <w:jc w:val="right"/>
              <w:rPr>
                <w:sz w:val="24"/>
              </w:rPr>
            </w:pPr>
            <w:r>
              <w:rPr>
                <w:color w:val="0D0D0D"/>
                <w:spacing w:val="-5"/>
                <w:sz w:val="24"/>
              </w:rPr>
              <w:t>2,0</w:t>
            </w:r>
          </w:p>
        </w:tc>
        <w:tc>
          <w:tcPr>
            <w:tcW w:w="1976" w:type="dxa"/>
            <w:tcBorders>
              <w:bottom w:val="single" w:sz="4" w:space="0" w:color="000000"/>
            </w:tcBorders>
          </w:tcPr>
          <w:p>
            <w:pPr>
              <w:pStyle w:val="TableParagraph"/>
              <w:spacing w:before="15"/>
              <w:ind w:right="244"/>
              <w:jc w:val="right"/>
              <w:rPr>
                <w:sz w:val="24"/>
              </w:rPr>
            </w:pPr>
            <w:r>
              <w:rPr>
                <w:color w:val="0D0D0D"/>
                <w:spacing w:val="-5"/>
                <w:sz w:val="24"/>
              </w:rPr>
              <w:t>2,0</w:t>
            </w:r>
          </w:p>
        </w:tc>
        <w:tc>
          <w:tcPr>
            <w:tcW w:w="1508" w:type="dxa"/>
            <w:tcBorders>
              <w:bottom w:val="single" w:sz="4" w:space="0" w:color="000000"/>
            </w:tcBorders>
          </w:tcPr>
          <w:p>
            <w:pPr>
              <w:pStyle w:val="TableParagraph"/>
              <w:spacing w:before="15"/>
              <w:ind w:right="108"/>
              <w:jc w:val="right"/>
              <w:rPr>
                <w:sz w:val="24"/>
              </w:rPr>
            </w:pPr>
            <w:r>
              <w:rPr>
                <w:color w:val="0D0D0D"/>
                <w:spacing w:val="-5"/>
                <w:sz w:val="24"/>
              </w:rPr>
              <w:t>0,0</w:t>
            </w:r>
          </w:p>
        </w:tc>
      </w:tr>
    </w:tbl>
    <w:p>
      <w:pPr>
        <w:pStyle w:val="TableParagraph"/>
        <w:spacing w:after="0"/>
        <w:jc w:val="right"/>
        <w:rPr>
          <w:sz w:val="24"/>
        </w:rPr>
        <w:sectPr>
          <w:footerReference w:type="default" r:id="rId48"/>
          <w:pgSz w:w="11910" w:h="16840"/>
          <w:pgMar w:header="0" w:footer="0" w:top="1620" w:bottom="280" w:left="1275" w:right="566"/>
        </w:sectPr>
      </w:pPr>
    </w:p>
    <w:p>
      <w:pPr>
        <w:spacing w:before="207"/>
        <w:ind w:left="961" w:right="0" w:firstLine="0"/>
        <w:jc w:val="left"/>
        <w:rPr>
          <w:sz w:val="22"/>
        </w:rPr>
      </w:pPr>
      <w:bookmarkStart w:name="_bookmark86" w:id="87"/>
      <w:bookmarkEnd w:id="87"/>
      <w:r>
        <w:rPr/>
      </w:r>
      <w:r>
        <w:rPr>
          <w:b/>
          <w:i/>
          <w:sz w:val="22"/>
        </w:rPr>
        <w:t>Anexos</w:t>
      </w:r>
      <w:r>
        <w:rPr>
          <w:b/>
          <w:i/>
          <w:spacing w:val="-3"/>
          <w:sz w:val="22"/>
        </w:rPr>
        <w:t> </w:t>
      </w:r>
      <w:r>
        <w:rPr>
          <w:b/>
          <w:i/>
          <w:sz w:val="22"/>
        </w:rPr>
        <w:t>6</w:t>
      </w:r>
      <w:r>
        <w:rPr>
          <w:b/>
          <w:sz w:val="22"/>
        </w:rPr>
        <w:t>.</w:t>
      </w:r>
      <w:r>
        <w:rPr>
          <w:b/>
          <w:spacing w:val="57"/>
          <w:sz w:val="22"/>
        </w:rPr>
        <w:t> </w:t>
      </w:r>
      <w:r>
        <w:rPr>
          <w:spacing w:val="-2"/>
          <w:sz w:val="22"/>
        </w:rPr>
        <w:t>Fotografías</w:t>
      </w:r>
    </w:p>
    <w:p>
      <w:pPr>
        <w:pStyle w:val="BodyText"/>
        <w:spacing w:before="215"/>
        <w:rPr>
          <w:sz w:val="20"/>
        </w:rPr>
      </w:pPr>
      <w:r>
        <w:rPr>
          <w:sz w:val="20"/>
        </w:rPr>
        <w:drawing>
          <wp:anchor distT="0" distB="0" distL="0" distR="0" allowOverlap="1" layoutInCell="1" locked="0" behindDoc="1" simplePos="0" relativeHeight="487609856">
            <wp:simplePos x="0" y="0"/>
            <wp:positionH relativeFrom="page">
              <wp:posOffset>1419225</wp:posOffset>
            </wp:positionH>
            <wp:positionV relativeFrom="paragraph">
              <wp:posOffset>297828</wp:posOffset>
            </wp:positionV>
            <wp:extent cx="2805178" cy="2183511"/>
            <wp:effectExtent l="0" t="0" r="0" b="0"/>
            <wp:wrapTopAndBottom/>
            <wp:docPr id="49" name="Image 49"/>
            <wp:cNvGraphicFramePr>
              <a:graphicFrameLocks/>
            </wp:cNvGraphicFramePr>
            <a:graphic>
              <a:graphicData uri="http://schemas.openxmlformats.org/drawingml/2006/picture">
                <pic:pic>
                  <pic:nvPicPr>
                    <pic:cNvPr id="49" name="Image 49"/>
                    <pic:cNvPicPr/>
                  </pic:nvPicPr>
                  <pic:blipFill>
                    <a:blip r:embed="rId50" cstate="print"/>
                    <a:stretch>
                      <a:fillRect/>
                    </a:stretch>
                  </pic:blipFill>
                  <pic:spPr>
                    <a:xfrm>
                      <a:off x="0" y="0"/>
                      <a:ext cx="2805178" cy="2183511"/>
                    </a:xfrm>
                    <a:prstGeom prst="rect">
                      <a:avLst/>
                    </a:prstGeom>
                  </pic:spPr>
                </pic:pic>
              </a:graphicData>
            </a:graphic>
          </wp:anchor>
        </w:drawing>
      </w:r>
      <w:r>
        <w:rPr>
          <w:sz w:val="20"/>
        </w:rPr>
        <w:drawing>
          <wp:anchor distT="0" distB="0" distL="0" distR="0" allowOverlap="1" layoutInCell="1" locked="0" behindDoc="1" simplePos="0" relativeHeight="487610368">
            <wp:simplePos x="0" y="0"/>
            <wp:positionH relativeFrom="page">
              <wp:posOffset>4572000</wp:posOffset>
            </wp:positionH>
            <wp:positionV relativeFrom="paragraph">
              <wp:posOffset>312433</wp:posOffset>
            </wp:positionV>
            <wp:extent cx="2044304" cy="2204466"/>
            <wp:effectExtent l="0" t="0" r="0" b="0"/>
            <wp:wrapTopAndBottom/>
            <wp:docPr id="50" name="Image 50"/>
            <wp:cNvGraphicFramePr>
              <a:graphicFrameLocks/>
            </wp:cNvGraphicFramePr>
            <a:graphic>
              <a:graphicData uri="http://schemas.openxmlformats.org/drawingml/2006/picture">
                <pic:pic>
                  <pic:nvPicPr>
                    <pic:cNvPr id="50" name="Image 50"/>
                    <pic:cNvPicPr/>
                  </pic:nvPicPr>
                  <pic:blipFill>
                    <a:blip r:embed="rId51" cstate="print"/>
                    <a:stretch>
                      <a:fillRect/>
                    </a:stretch>
                  </pic:blipFill>
                  <pic:spPr>
                    <a:xfrm>
                      <a:off x="0" y="0"/>
                      <a:ext cx="2044304" cy="2204466"/>
                    </a:xfrm>
                    <a:prstGeom prst="rect">
                      <a:avLst/>
                    </a:prstGeom>
                  </pic:spPr>
                </pic:pic>
              </a:graphicData>
            </a:graphic>
          </wp:anchor>
        </w:drawing>
      </w:r>
    </w:p>
    <w:p>
      <w:pPr>
        <w:tabs>
          <w:tab w:pos="5846" w:val="left" w:leader="none"/>
        </w:tabs>
        <w:spacing w:before="164"/>
        <w:ind w:left="1065" w:right="0" w:firstLine="0"/>
        <w:jc w:val="left"/>
        <w:rPr>
          <w:position w:val="-3"/>
          <w:sz w:val="24"/>
        </w:rPr>
      </w:pPr>
      <w:r>
        <w:rPr>
          <w:sz w:val="22"/>
        </w:rPr>
        <w:t>Defensa</w:t>
      </w:r>
      <w:r>
        <w:rPr>
          <w:spacing w:val="-4"/>
          <w:sz w:val="22"/>
        </w:rPr>
        <w:t> </w:t>
      </w:r>
      <w:r>
        <w:rPr>
          <w:sz w:val="22"/>
        </w:rPr>
        <w:t>de</w:t>
      </w:r>
      <w:r>
        <w:rPr>
          <w:spacing w:val="-3"/>
          <w:sz w:val="22"/>
        </w:rPr>
        <w:t> </w:t>
      </w:r>
      <w:r>
        <w:rPr>
          <w:sz w:val="22"/>
        </w:rPr>
        <w:t>perfil</w:t>
      </w:r>
      <w:r>
        <w:rPr>
          <w:spacing w:val="-3"/>
          <w:sz w:val="22"/>
        </w:rPr>
        <w:t> </w:t>
      </w:r>
      <w:r>
        <w:rPr>
          <w:sz w:val="22"/>
        </w:rPr>
        <w:t>del</w:t>
      </w:r>
      <w:r>
        <w:rPr>
          <w:spacing w:val="-4"/>
          <w:sz w:val="22"/>
        </w:rPr>
        <w:t> </w:t>
      </w:r>
      <w:r>
        <w:rPr>
          <w:sz w:val="22"/>
        </w:rPr>
        <w:t>proyecto de</w:t>
      </w:r>
      <w:r>
        <w:rPr>
          <w:spacing w:val="-3"/>
          <w:sz w:val="22"/>
        </w:rPr>
        <w:t> </w:t>
      </w:r>
      <w:r>
        <w:rPr>
          <w:spacing w:val="-2"/>
          <w:sz w:val="22"/>
        </w:rPr>
        <w:t>investigación</w:t>
      </w:r>
      <w:r>
        <w:rPr>
          <w:sz w:val="22"/>
        </w:rPr>
        <w:tab/>
      </w:r>
      <w:r>
        <w:rPr>
          <w:position w:val="-3"/>
          <w:sz w:val="24"/>
        </w:rPr>
        <w:t>Revisión</w:t>
      </w:r>
      <w:r>
        <w:rPr>
          <w:spacing w:val="-1"/>
          <w:position w:val="-3"/>
          <w:sz w:val="24"/>
        </w:rPr>
        <w:t> </w:t>
      </w:r>
      <w:r>
        <w:rPr>
          <w:position w:val="-3"/>
          <w:sz w:val="24"/>
        </w:rPr>
        <w:t>clínica general</w:t>
      </w:r>
      <w:r>
        <w:rPr>
          <w:spacing w:val="3"/>
          <w:position w:val="-3"/>
          <w:sz w:val="24"/>
        </w:rPr>
        <w:t> </w:t>
      </w:r>
      <w:r>
        <w:rPr>
          <w:spacing w:val="-2"/>
          <w:position w:val="-3"/>
          <w:sz w:val="24"/>
        </w:rPr>
        <w:t>realizada</w:t>
      </w:r>
    </w:p>
    <w:p>
      <w:pPr>
        <w:pStyle w:val="BodyText"/>
        <w:spacing w:before="4"/>
        <w:ind w:left="6479"/>
      </w:pPr>
      <w:r>
        <w:rPr/>
        <w:t>a todos</w:t>
      </w:r>
      <w:r>
        <w:rPr>
          <w:spacing w:val="-3"/>
        </w:rPr>
        <w:t> </w:t>
      </w:r>
      <w:r>
        <w:rPr/>
        <w:t>los</w:t>
      </w:r>
      <w:r>
        <w:rPr>
          <w:spacing w:val="-2"/>
        </w:rPr>
        <w:t> pacientes</w:t>
      </w:r>
    </w:p>
    <w:p>
      <w:pPr>
        <w:pStyle w:val="BodyText"/>
        <w:rPr>
          <w:sz w:val="20"/>
        </w:rPr>
      </w:pPr>
    </w:p>
    <w:p>
      <w:pPr>
        <w:pStyle w:val="BodyText"/>
        <w:rPr>
          <w:sz w:val="20"/>
        </w:rPr>
      </w:pPr>
    </w:p>
    <w:p>
      <w:pPr>
        <w:pStyle w:val="BodyText"/>
        <w:rPr>
          <w:sz w:val="20"/>
        </w:rPr>
      </w:pPr>
    </w:p>
    <w:p>
      <w:pPr>
        <w:pStyle w:val="BodyText"/>
        <w:spacing w:before="114"/>
        <w:rPr>
          <w:sz w:val="20"/>
        </w:rPr>
      </w:pPr>
      <w:r>
        <w:rPr>
          <w:sz w:val="20"/>
        </w:rPr>
        <w:drawing>
          <wp:anchor distT="0" distB="0" distL="0" distR="0" allowOverlap="1" layoutInCell="1" locked="0" behindDoc="1" simplePos="0" relativeHeight="487610880">
            <wp:simplePos x="0" y="0"/>
            <wp:positionH relativeFrom="page">
              <wp:posOffset>1531619</wp:posOffset>
            </wp:positionH>
            <wp:positionV relativeFrom="paragraph">
              <wp:posOffset>288783</wp:posOffset>
            </wp:positionV>
            <wp:extent cx="2409083" cy="3025902"/>
            <wp:effectExtent l="0" t="0" r="0" b="0"/>
            <wp:wrapTopAndBottom/>
            <wp:docPr id="51" name="Image 51" descr="Un perro dentro de una jaula  Descripción generada automáticamente con confianza media"/>
            <wp:cNvGraphicFramePr>
              <a:graphicFrameLocks/>
            </wp:cNvGraphicFramePr>
            <a:graphic>
              <a:graphicData uri="http://schemas.openxmlformats.org/drawingml/2006/picture">
                <pic:pic>
                  <pic:nvPicPr>
                    <pic:cNvPr id="51" name="Image 51" descr="Un perro dentro de una jaula  Descripción generada automáticamente con confianza media"/>
                    <pic:cNvPicPr/>
                  </pic:nvPicPr>
                  <pic:blipFill>
                    <a:blip r:embed="rId52" cstate="print"/>
                    <a:stretch>
                      <a:fillRect/>
                    </a:stretch>
                  </pic:blipFill>
                  <pic:spPr>
                    <a:xfrm>
                      <a:off x="0" y="0"/>
                      <a:ext cx="2409083" cy="3025902"/>
                    </a:xfrm>
                    <a:prstGeom prst="rect">
                      <a:avLst/>
                    </a:prstGeom>
                  </pic:spPr>
                </pic:pic>
              </a:graphicData>
            </a:graphic>
          </wp:anchor>
        </w:drawing>
      </w:r>
      <w:r>
        <w:rPr>
          <w:sz w:val="20"/>
        </w:rPr>
        <w:drawing>
          <wp:anchor distT="0" distB="0" distL="0" distR="0" allowOverlap="1" layoutInCell="1" locked="0" behindDoc="1" simplePos="0" relativeHeight="487611392">
            <wp:simplePos x="0" y="0"/>
            <wp:positionH relativeFrom="page">
              <wp:posOffset>4236720</wp:posOffset>
            </wp:positionH>
            <wp:positionV relativeFrom="paragraph">
              <wp:posOffset>234173</wp:posOffset>
            </wp:positionV>
            <wp:extent cx="2401726" cy="3143250"/>
            <wp:effectExtent l="0" t="0" r="0" b="0"/>
            <wp:wrapTopAndBottom/>
            <wp:docPr id="52" name="Image 52" descr="Acesso Venoso Veterinário: Dicas e Técnicas"/>
            <wp:cNvGraphicFramePr>
              <a:graphicFrameLocks/>
            </wp:cNvGraphicFramePr>
            <a:graphic>
              <a:graphicData uri="http://schemas.openxmlformats.org/drawingml/2006/picture">
                <pic:pic>
                  <pic:nvPicPr>
                    <pic:cNvPr id="52" name="Image 52" descr="Acesso Venoso Veterinário: Dicas e Técnicas"/>
                    <pic:cNvPicPr/>
                  </pic:nvPicPr>
                  <pic:blipFill>
                    <a:blip r:embed="rId53" cstate="print"/>
                    <a:stretch>
                      <a:fillRect/>
                    </a:stretch>
                  </pic:blipFill>
                  <pic:spPr>
                    <a:xfrm>
                      <a:off x="0" y="0"/>
                      <a:ext cx="2401726" cy="3143250"/>
                    </a:xfrm>
                    <a:prstGeom prst="rect">
                      <a:avLst/>
                    </a:prstGeom>
                  </pic:spPr>
                </pic:pic>
              </a:graphicData>
            </a:graphic>
          </wp:anchor>
        </w:drawing>
      </w:r>
    </w:p>
    <w:p>
      <w:pPr>
        <w:pStyle w:val="BodyText"/>
        <w:spacing w:before="29"/>
        <w:rPr>
          <w:sz w:val="20"/>
        </w:rPr>
      </w:pPr>
    </w:p>
    <w:p>
      <w:pPr>
        <w:pStyle w:val="BodyText"/>
        <w:spacing w:after="0"/>
        <w:rPr>
          <w:sz w:val="20"/>
        </w:rPr>
        <w:sectPr>
          <w:footerReference w:type="default" r:id="rId49"/>
          <w:pgSz w:w="11910" w:h="16840"/>
          <w:pgMar w:header="0" w:footer="0" w:top="1920" w:bottom="280" w:left="1275" w:right="566"/>
        </w:sectPr>
      </w:pPr>
    </w:p>
    <w:p>
      <w:pPr>
        <w:pStyle w:val="BodyText"/>
        <w:spacing w:before="90"/>
        <w:ind w:left="2218" w:hanging="1012"/>
      </w:pPr>
      <w:r>
        <w:rPr/>
        <w:t>Algunos</w:t>
      </w:r>
      <w:r>
        <w:rPr>
          <w:spacing w:val="-9"/>
        </w:rPr>
        <w:t> </w:t>
      </w:r>
      <w:r>
        <w:rPr/>
        <w:t>de</w:t>
      </w:r>
      <w:r>
        <w:rPr>
          <w:spacing w:val="-7"/>
        </w:rPr>
        <w:t> </w:t>
      </w:r>
      <w:r>
        <w:rPr/>
        <w:t>los</w:t>
      </w:r>
      <w:r>
        <w:rPr>
          <w:spacing w:val="-9"/>
        </w:rPr>
        <w:t> </w:t>
      </w:r>
      <w:r>
        <w:rPr/>
        <w:t>pacientes</w:t>
      </w:r>
      <w:r>
        <w:rPr>
          <w:spacing w:val="-9"/>
        </w:rPr>
        <w:t> </w:t>
      </w:r>
      <w:r>
        <w:rPr/>
        <w:t>elegidos</w:t>
      </w:r>
      <w:r>
        <w:rPr>
          <w:spacing w:val="-9"/>
        </w:rPr>
        <w:t> </w:t>
      </w:r>
      <w:r>
        <w:rPr/>
        <w:t>para realizar el estudio</w:t>
      </w:r>
    </w:p>
    <w:p>
      <w:pPr>
        <w:pStyle w:val="BodyText"/>
        <w:spacing w:before="110"/>
        <w:ind w:left="1173" w:right="751" w:hanging="501"/>
      </w:pPr>
      <w:r>
        <w:rPr/>
        <w:br w:type="column"/>
      </w:r>
      <w:r>
        <w:rPr/>
        <w:t>Colocación</w:t>
      </w:r>
      <w:r>
        <w:rPr>
          <w:spacing w:val="-9"/>
        </w:rPr>
        <w:t> </w:t>
      </w:r>
      <w:r>
        <w:rPr/>
        <w:t>de</w:t>
      </w:r>
      <w:r>
        <w:rPr>
          <w:spacing w:val="-8"/>
        </w:rPr>
        <w:t> </w:t>
      </w:r>
      <w:r>
        <w:rPr/>
        <w:t>una</w:t>
      </w:r>
      <w:r>
        <w:rPr>
          <w:spacing w:val="-8"/>
        </w:rPr>
        <w:t> </w:t>
      </w:r>
      <w:r>
        <w:rPr/>
        <w:t>vía</w:t>
      </w:r>
      <w:r>
        <w:rPr>
          <w:spacing w:val="-8"/>
        </w:rPr>
        <w:t> </w:t>
      </w:r>
      <w:r>
        <w:rPr/>
        <w:t>permeable</w:t>
      </w:r>
      <w:r>
        <w:rPr>
          <w:spacing w:val="-8"/>
        </w:rPr>
        <w:t> </w:t>
      </w:r>
      <w:r>
        <w:rPr/>
        <w:t>para el procedimiento quirúrgico</w:t>
      </w:r>
    </w:p>
    <w:p>
      <w:pPr>
        <w:pStyle w:val="BodyText"/>
        <w:spacing w:after="0"/>
        <w:sectPr>
          <w:type w:val="continuous"/>
          <w:pgSz w:w="11910" w:h="16840"/>
          <w:pgMar w:header="0" w:footer="0" w:top="1920" w:bottom="280" w:left="1275" w:right="566"/>
          <w:cols w:num="2" w:equalWidth="0">
            <w:col w:w="4931" w:space="40"/>
            <w:col w:w="5098"/>
          </w:cols>
        </w:sectPr>
      </w:pPr>
    </w:p>
    <w:p>
      <w:pPr>
        <w:pStyle w:val="BodyText"/>
        <w:spacing w:before="24"/>
        <w:rPr>
          <w:sz w:val="20"/>
        </w:rPr>
      </w:pPr>
    </w:p>
    <w:p>
      <w:pPr>
        <w:tabs>
          <w:tab w:pos="4807" w:val="left" w:leader="none"/>
        </w:tabs>
        <w:spacing w:line="240" w:lineRule="auto"/>
        <w:ind w:left="487" w:right="0" w:firstLine="0"/>
        <w:rPr>
          <w:position w:val="12"/>
          <w:sz w:val="20"/>
        </w:rPr>
      </w:pPr>
      <w:r>
        <w:rPr>
          <w:sz w:val="20"/>
        </w:rPr>
        <w:drawing>
          <wp:inline distT="0" distB="0" distL="0" distR="0">
            <wp:extent cx="2410744" cy="2845689"/>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55" cstate="print"/>
                    <a:stretch>
                      <a:fillRect/>
                    </a:stretch>
                  </pic:blipFill>
                  <pic:spPr>
                    <a:xfrm>
                      <a:off x="0" y="0"/>
                      <a:ext cx="2410744" cy="2845689"/>
                    </a:xfrm>
                    <a:prstGeom prst="rect">
                      <a:avLst/>
                    </a:prstGeom>
                  </pic:spPr>
                </pic:pic>
              </a:graphicData>
            </a:graphic>
          </wp:inline>
        </w:drawing>
      </w:r>
      <w:r>
        <w:rPr>
          <w:sz w:val="20"/>
        </w:rPr>
      </w:r>
      <w:r>
        <w:rPr>
          <w:sz w:val="20"/>
        </w:rPr>
        <w:tab/>
      </w:r>
      <w:r>
        <w:rPr>
          <w:position w:val="12"/>
          <w:sz w:val="20"/>
        </w:rPr>
        <w:drawing>
          <wp:inline distT="0" distB="0" distL="0" distR="0">
            <wp:extent cx="2537635" cy="2743200"/>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56" cstate="print"/>
                    <a:stretch>
                      <a:fillRect/>
                    </a:stretch>
                  </pic:blipFill>
                  <pic:spPr>
                    <a:xfrm>
                      <a:off x="0" y="0"/>
                      <a:ext cx="2537635" cy="2743200"/>
                    </a:xfrm>
                    <a:prstGeom prst="rect">
                      <a:avLst/>
                    </a:prstGeom>
                  </pic:spPr>
                </pic:pic>
              </a:graphicData>
            </a:graphic>
          </wp:inline>
        </w:drawing>
      </w:r>
      <w:r>
        <w:rPr>
          <w:position w:val="12"/>
          <w:sz w:val="20"/>
        </w:rPr>
      </w:r>
    </w:p>
    <w:p>
      <w:pPr>
        <w:pStyle w:val="BodyText"/>
        <w:spacing w:before="1"/>
        <w:rPr>
          <w:sz w:val="6"/>
        </w:rPr>
      </w:pPr>
    </w:p>
    <w:p>
      <w:pPr>
        <w:pStyle w:val="BodyText"/>
        <w:spacing w:after="0"/>
        <w:rPr>
          <w:sz w:val="6"/>
        </w:rPr>
        <w:sectPr>
          <w:footerReference w:type="default" r:id="rId54"/>
          <w:pgSz w:w="11910" w:h="16840"/>
          <w:pgMar w:header="0" w:footer="0" w:top="1920" w:bottom="280" w:left="1275" w:right="566"/>
        </w:sectPr>
      </w:pPr>
    </w:p>
    <w:p>
      <w:pPr>
        <w:pStyle w:val="BodyText"/>
        <w:spacing w:before="31"/>
        <w:ind w:left="841" w:right="337" w:hanging="336"/>
      </w:pPr>
      <w:r>
        <w:rPr/>
        <w:t>Depilación</w:t>
      </w:r>
      <w:r>
        <w:rPr>
          <w:spacing w:val="-7"/>
        </w:rPr>
        <w:t> </w:t>
      </w:r>
      <w:r>
        <w:rPr/>
        <w:t>y</w:t>
      </w:r>
      <w:r>
        <w:rPr>
          <w:spacing w:val="-7"/>
        </w:rPr>
        <w:t> </w:t>
      </w:r>
      <w:r>
        <w:rPr/>
        <w:t>lavado</w:t>
      </w:r>
      <w:r>
        <w:rPr>
          <w:spacing w:val="-7"/>
        </w:rPr>
        <w:t> </w:t>
      </w:r>
      <w:r>
        <w:rPr/>
        <w:t>en</w:t>
      </w:r>
      <w:r>
        <w:rPr>
          <w:spacing w:val="-7"/>
        </w:rPr>
        <w:t> </w:t>
      </w:r>
      <w:r>
        <w:rPr/>
        <w:t>donde</w:t>
      </w:r>
      <w:r>
        <w:rPr>
          <w:spacing w:val="-6"/>
        </w:rPr>
        <w:t> </w:t>
      </w:r>
      <w:r>
        <w:rPr/>
        <w:t>se</w:t>
      </w:r>
      <w:r>
        <w:rPr>
          <w:spacing w:val="-6"/>
        </w:rPr>
        <w:t> </w:t>
      </w:r>
      <w:r>
        <w:rPr/>
        <w:t>va a incidir en macho y hembra</w:t>
      </w:r>
    </w:p>
    <w:p>
      <w:pPr>
        <w:pStyle w:val="BodyText"/>
        <w:spacing w:before="35"/>
        <w:ind w:left="1047"/>
      </w:pPr>
      <w:r>
        <w:rPr/>
        <w:br w:type="column"/>
      </w:r>
      <w:r>
        <w:rPr/>
        <w:t>Preparación</w:t>
      </w:r>
      <w:r>
        <w:rPr>
          <w:spacing w:val="-1"/>
        </w:rPr>
        <w:t> </w:t>
      </w:r>
      <w:r>
        <w:rPr/>
        <w:t>del</w:t>
      </w:r>
      <w:r>
        <w:rPr>
          <w:spacing w:val="1"/>
        </w:rPr>
        <w:t> </w:t>
      </w:r>
      <w:r>
        <w:rPr>
          <w:spacing w:val="-2"/>
        </w:rPr>
        <w:t>quirófano</w:t>
      </w:r>
    </w:p>
    <w:p>
      <w:pPr>
        <w:pStyle w:val="BodyText"/>
        <w:spacing w:after="0"/>
        <w:sectPr>
          <w:type w:val="continuous"/>
          <w:pgSz w:w="11910" w:h="16840"/>
          <w:pgMar w:header="0" w:footer="0" w:top="1920" w:bottom="280" w:left="1275" w:right="566"/>
          <w:cols w:num="2" w:equalWidth="0">
            <w:col w:w="4256" w:space="64"/>
            <w:col w:w="5749"/>
          </w:cols>
        </w:sectPr>
      </w:pPr>
    </w:p>
    <w:p>
      <w:pPr>
        <w:pStyle w:val="BodyText"/>
        <w:rPr>
          <w:sz w:val="20"/>
        </w:rPr>
      </w:pPr>
    </w:p>
    <w:p>
      <w:pPr>
        <w:pStyle w:val="BodyText"/>
        <w:spacing w:before="124"/>
        <w:rPr>
          <w:sz w:val="20"/>
        </w:rPr>
      </w:pPr>
    </w:p>
    <w:p>
      <w:pPr>
        <w:tabs>
          <w:tab w:pos="4871" w:val="left" w:leader="none"/>
        </w:tabs>
        <w:spacing w:line="240" w:lineRule="auto"/>
        <w:ind w:left="637" w:right="0" w:firstLine="0"/>
        <w:rPr>
          <w:position w:val="3"/>
          <w:sz w:val="20"/>
        </w:rPr>
      </w:pPr>
      <w:r>
        <w:rPr>
          <w:sz w:val="20"/>
        </w:rPr>
        <w:drawing>
          <wp:inline distT="0" distB="0" distL="0" distR="0">
            <wp:extent cx="2545301" cy="2091308"/>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57" cstate="print"/>
                    <a:stretch>
                      <a:fillRect/>
                    </a:stretch>
                  </pic:blipFill>
                  <pic:spPr>
                    <a:xfrm>
                      <a:off x="0" y="0"/>
                      <a:ext cx="2545301" cy="2091308"/>
                    </a:xfrm>
                    <a:prstGeom prst="rect">
                      <a:avLst/>
                    </a:prstGeom>
                  </pic:spPr>
                </pic:pic>
              </a:graphicData>
            </a:graphic>
          </wp:inline>
        </w:drawing>
      </w:r>
      <w:r>
        <w:rPr>
          <w:sz w:val="20"/>
        </w:rPr>
      </w:r>
      <w:r>
        <w:rPr>
          <w:sz w:val="20"/>
        </w:rPr>
        <w:tab/>
      </w:r>
      <w:r>
        <w:rPr>
          <w:position w:val="3"/>
          <w:sz w:val="20"/>
        </w:rPr>
        <w:drawing>
          <wp:inline distT="0" distB="0" distL="0" distR="0">
            <wp:extent cx="2550188" cy="2071115"/>
            <wp:effectExtent l="0" t="0" r="0" b="0"/>
            <wp:docPr id="56" name="Image 56" descr="Imagen que contiene pequeño, tabla, perro, computadora  Descripción generada automáticamente"/>
            <wp:cNvGraphicFramePr>
              <a:graphicFrameLocks/>
            </wp:cNvGraphicFramePr>
            <a:graphic>
              <a:graphicData uri="http://schemas.openxmlformats.org/drawingml/2006/picture">
                <pic:pic>
                  <pic:nvPicPr>
                    <pic:cNvPr id="56" name="Image 56" descr="Imagen que contiene pequeño, tabla, perro, computadora  Descripción generada automáticamente"/>
                    <pic:cNvPicPr/>
                  </pic:nvPicPr>
                  <pic:blipFill>
                    <a:blip r:embed="rId58" cstate="print"/>
                    <a:stretch>
                      <a:fillRect/>
                    </a:stretch>
                  </pic:blipFill>
                  <pic:spPr>
                    <a:xfrm>
                      <a:off x="0" y="0"/>
                      <a:ext cx="2550188" cy="2071115"/>
                    </a:xfrm>
                    <a:prstGeom prst="rect">
                      <a:avLst/>
                    </a:prstGeom>
                  </pic:spPr>
                </pic:pic>
              </a:graphicData>
            </a:graphic>
          </wp:inline>
        </w:drawing>
      </w:r>
      <w:r>
        <w:rPr>
          <w:position w:val="3"/>
          <w:sz w:val="20"/>
        </w:rPr>
      </w:r>
    </w:p>
    <w:p>
      <w:pPr>
        <w:pStyle w:val="BodyText"/>
        <w:spacing w:before="5"/>
        <w:rPr>
          <w:sz w:val="16"/>
        </w:rPr>
      </w:pPr>
    </w:p>
    <w:p>
      <w:pPr>
        <w:pStyle w:val="BodyText"/>
        <w:spacing w:after="0"/>
        <w:rPr>
          <w:sz w:val="16"/>
        </w:rPr>
        <w:sectPr>
          <w:type w:val="continuous"/>
          <w:pgSz w:w="11910" w:h="16840"/>
          <w:pgMar w:header="0" w:footer="0" w:top="1920" w:bottom="280" w:left="1275" w:right="566"/>
        </w:sectPr>
      </w:pPr>
    </w:p>
    <w:p>
      <w:pPr>
        <w:pStyle w:val="BodyText"/>
        <w:spacing w:before="222"/>
        <w:ind w:left="729" w:right="210" w:firstLine="1"/>
        <w:jc w:val="center"/>
      </w:pPr>
      <w:r>
        <w:rPr>
          <w:color w:val="0D0D0D"/>
        </w:rPr>
        <w:t>Inducción anestésica, la intubación endotraqueal</w:t>
      </w:r>
      <w:r>
        <w:rPr>
          <w:color w:val="0D0D0D"/>
          <w:spacing w:val="-6"/>
        </w:rPr>
        <w:t> </w:t>
      </w:r>
      <w:r>
        <w:rPr>
          <w:color w:val="0D0D0D"/>
        </w:rPr>
        <w:t>y</w:t>
      </w:r>
      <w:r>
        <w:rPr>
          <w:color w:val="0D0D0D"/>
          <w:spacing w:val="-12"/>
        </w:rPr>
        <w:t> </w:t>
      </w:r>
      <w:r>
        <w:rPr>
          <w:color w:val="0D0D0D"/>
        </w:rPr>
        <w:t>el</w:t>
      </w:r>
      <w:r>
        <w:rPr>
          <w:color w:val="0D0D0D"/>
          <w:spacing w:val="-6"/>
        </w:rPr>
        <w:t> </w:t>
      </w:r>
      <w:r>
        <w:rPr>
          <w:color w:val="0D0D0D"/>
        </w:rPr>
        <w:t>mantenimiento</w:t>
      </w:r>
      <w:r>
        <w:rPr>
          <w:color w:val="0D0D0D"/>
          <w:spacing w:val="-7"/>
        </w:rPr>
        <w:t> </w:t>
      </w:r>
      <w:r>
        <w:rPr>
          <w:color w:val="0D0D0D"/>
        </w:rPr>
        <w:t>de</w:t>
      </w:r>
      <w:r>
        <w:rPr>
          <w:color w:val="0D0D0D"/>
          <w:spacing w:val="-10"/>
        </w:rPr>
        <w:t> </w:t>
      </w:r>
      <w:r>
        <w:rPr>
          <w:color w:val="0D0D0D"/>
        </w:rPr>
        <w:t>la anestesia general mediante </w:t>
      </w:r>
      <w:r>
        <w:rPr>
          <w:color w:val="0D0D0D"/>
          <w:spacing w:val="-2"/>
        </w:rPr>
        <w:t>sevoflurano</w:t>
      </w:r>
    </w:p>
    <w:p>
      <w:pPr>
        <w:pStyle w:val="BodyText"/>
        <w:spacing w:before="90"/>
        <w:ind w:left="722" w:right="1589" w:firstLine="4"/>
        <w:jc w:val="center"/>
      </w:pPr>
      <w:r>
        <w:rPr/>
        <w:br w:type="column"/>
      </w:r>
      <w:r>
        <w:rPr/>
        <w:t>Toma de parámetros hemodinámicos</w:t>
      </w:r>
      <w:r>
        <w:rPr>
          <w:spacing w:val="-12"/>
        </w:rPr>
        <w:t> </w:t>
      </w:r>
      <w:r>
        <w:rPr/>
        <w:t>desde</w:t>
      </w:r>
      <w:r>
        <w:rPr>
          <w:spacing w:val="-13"/>
        </w:rPr>
        <w:t> </w:t>
      </w:r>
      <w:r>
        <w:rPr/>
        <w:t>el</w:t>
      </w:r>
      <w:r>
        <w:rPr>
          <w:spacing w:val="-10"/>
        </w:rPr>
        <w:t> </w:t>
      </w:r>
      <w:r>
        <w:rPr/>
        <w:t>minuto </w:t>
      </w:r>
      <w:r>
        <w:rPr>
          <w:spacing w:val="-2"/>
        </w:rPr>
        <w:t>basal</w:t>
      </w:r>
    </w:p>
    <w:p>
      <w:pPr>
        <w:pStyle w:val="BodyText"/>
        <w:spacing w:after="0"/>
        <w:jc w:val="center"/>
        <w:sectPr>
          <w:type w:val="continuous"/>
          <w:pgSz w:w="11910" w:h="16840"/>
          <w:pgMar w:header="0" w:footer="0" w:top="1920" w:bottom="280" w:left="1275" w:right="566"/>
          <w:cols w:num="2" w:equalWidth="0">
            <w:col w:w="4612" w:space="40"/>
            <w:col w:w="5417"/>
          </w:cols>
        </w:sectPr>
      </w:pPr>
    </w:p>
    <w:p>
      <w:pPr>
        <w:tabs>
          <w:tab w:pos="5288" w:val="left" w:leader="none"/>
        </w:tabs>
        <w:spacing w:line="240" w:lineRule="auto"/>
        <w:ind w:left="993" w:right="0" w:firstLine="0"/>
        <w:rPr>
          <w:position w:val="6"/>
          <w:sz w:val="20"/>
        </w:rPr>
      </w:pPr>
      <w:r>
        <w:rPr>
          <w:sz w:val="20"/>
        </w:rPr>
        <w:drawing>
          <wp:inline distT="0" distB="0" distL="0" distR="0">
            <wp:extent cx="2458172" cy="3168396"/>
            <wp:effectExtent l="0" t="0" r="0" b="0"/>
            <wp:docPr id="57" name="Image 57" descr="Imagen que contiene interior, tabla, cocina, lavabo  Descripción generada automáticamente"/>
            <wp:cNvGraphicFramePr>
              <a:graphicFrameLocks/>
            </wp:cNvGraphicFramePr>
            <a:graphic>
              <a:graphicData uri="http://schemas.openxmlformats.org/drawingml/2006/picture">
                <pic:pic>
                  <pic:nvPicPr>
                    <pic:cNvPr id="57" name="Image 57" descr="Imagen que contiene interior, tabla, cocina, lavabo  Descripción generada automáticamente"/>
                    <pic:cNvPicPr/>
                  </pic:nvPicPr>
                  <pic:blipFill>
                    <a:blip r:embed="rId60" cstate="print"/>
                    <a:stretch>
                      <a:fillRect/>
                    </a:stretch>
                  </pic:blipFill>
                  <pic:spPr>
                    <a:xfrm>
                      <a:off x="0" y="0"/>
                      <a:ext cx="2458172" cy="3168396"/>
                    </a:xfrm>
                    <a:prstGeom prst="rect">
                      <a:avLst/>
                    </a:prstGeom>
                  </pic:spPr>
                </pic:pic>
              </a:graphicData>
            </a:graphic>
          </wp:inline>
        </w:drawing>
      </w:r>
      <w:r>
        <w:rPr>
          <w:sz w:val="20"/>
        </w:rPr>
      </w:r>
      <w:r>
        <w:rPr>
          <w:sz w:val="20"/>
        </w:rPr>
        <w:tab/>
      </w:r>
      <w:r>
        <w:rPr>
          <w:position w:val="6"/>
          <w:sz w:val="20"/>
        </w:rPr>
        <w:drawing>
          <wp:inline distT="0" distB="0" distL="0" distR="0">
            <wp:extent cx="2151207" cy="3178206"/>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61" cstate="print"/>
                    <a:stretch>
                      <a:fillRect/>
                    </a:stretch>
                  </pic:blipFill>
                  <pic:spPr>
                    <a:xfrm>
                      <a:off x="0" y="0"/>
                      <a:ext cx="2151207" cy="3178206"/>
                    </a:xfrm>
                    <a:prstGeom prst="rect">
                      <a:avLst/>
                    </a:prstGeom>
                  </pic:spPr>
                </pic:pic>
              </a:graphicData>
            </a:graphic>
          </wp:inline>
        </w:drawing>
      </w:r>
      <w:r>
        <w:rPr>
          <w:position w:val="6"/>
          <w:sz w:val="20"/>
        </w:rPr>
      </w:r>
    </w:p>
    <w:p>
      <w:pPr>
        <w:pStyle w:val="BodyText"/>
        <w:spacing w:before="67"/>
      </w:pPr>
    </w:p>
    <w:p>
      <w:pPr>
        <w:pStyle w:val="BodyText"/>
        <w:ind w:left="4094" w:right="1251" w:hanging="3001"/>
      </w:pPr>
      <w:r>
        <w:rPr/>
        <w:t>Posicionamiento</w:t>
      </w:r>
      <w:r>
        <w:rPr>
          <w:spacing w:val="-6"/>
        </w:rPr>
        <w:t> </w:t>
      </w:r>
      <w:r>
        <w:rPr/>
        <w:t>correcto</w:t>
      </w:r>
      <w:r>
        <w:rPr>
          <w:spacing w:val="-6"/>
        </w:rPr>
        <w:t> </w:t>
      </w:r>
      <w:r>
        <w:rPr/>
        <w:t>del</w:t>
      </w:r>
      <w:r>
        <w:rPr>
          <w:spacing w:val="-5"/>
        </w:rPr>
        <w:t> </w:t>
      </w:r>
      <w:r>
        <w:rPr/>
        <w:t>paciente</w:t>
      </w:r>
      <w:r>
        <w:rPr>
          <w:spacing w:val="-8"/>
        </w:rPr>
        <w:t> </w:t>
      </w:r>
      <w:r>
        <w:rPr/>
        <w:t>conectado</w:t>
      </w:r>
      <w:r>
        <w:rPr>
          <w:spacing w:val="-10"/>
        </w:rPr>
        <w:t> </w:t>
      </w:r>
      <w:r>
        <w:rPr/>
        <w:t>al</w:t>
      </w:r>
      <w:r>
        <w:rPr>
          <w:spacing w:val="-5"/>
        </w:rPr>
        <w:t> </w:t>
      </w:r>
      <w:r>
        <w:rPr/>
        <w:t>monitor</w:t>
      </w:r>
      <w:r>
        <w:rPr>
          <w:spacing w:val="-6"/>
        </w:rPr>
        <w:t> </w:t>
      </w:r>
      <w:r>
        <w:rPr/>
        <w:t>multiparámetros para la cirugía</w:t>
      </w:r>
    </w:p>
    <w:p>
      <w:pPr>
        <w:pStyle w:val="BodyText"/>
        <w:spacing w:before="6"/>
        <w:rPr>
          <w:sz w:val="18"/>
        </w:rPr>
      </w:pPr>
      <w:r>
        <w:rPr>
          <w:sz w:val="18"/>
        </w:rPr>
        <w:drawing>
          <wp:anchor distT="0" distB="0" distL="0" distR="0" allowOverlap="1" layoutInCell="1" locked="0" behindDoc="1" simplePos="0" relativeHeight="487611904">
            <wp:simplePos x="0" y="0"/>
            <wp:positionH relativeFrom="page">
              <wp:posOffset>1440180</wp:posOffset>
            </wp:positionH>
            <wp:positionV relativeFrom="paragraph">
              <wp:posOffset>150920</wp:posOffset>
            </wp:positionV>
            <wp:extent cx="2492073" cy="2724912"/>
            <wp:effectExtent l="0" t="0" r="0" b="0"/>
            <wp:wrapTopAndBottom/>
            <wp:docPr id="59" name="Image 59"/>
            <wp:cNvGraphicFramePr>
              <a:graphicFrameLocks/>
            </wp:cNvGraphicFramePr>
            <a:graphic>
              <a:graphicData uri="http://schemas.openxmlformats.org/drawingml/2006/picture">
                <pic:pic>
                  <pic:nvPicPr>
                    <pic:cNvPr id="59" name="Image 59"/>
                    <pic:cNvPicPr/>
                  </pic:nvPicPr>
                  <pic:blipFill>
                    <a:blip r:embed="rId62" cstate="print"/>
                    <a:stretch>
                      <a:fillRect/>
                    </a:stretch>
                  </pic:blipFill>
                  <pic:spPr>
                    <a:xfrm>
                      <a:off x="0" y="0"/>
                      <a:ext cx="2492073" cy="2724912"/>
                    </a:xfrm>
                    <a:prstGeom prst="rect">
                      <a:avLst/>
                    </a:prstGeom>
                  </pic:spPr>
                </pic:pic>
              </a:graphicData>
            </a:graphic>
          </wp:anchor>
        </w:drawing>
      </w:r>
      <w:r>
        <w:rPr>
          <w:sz w:val="18"/>
        </w:rPr>
        <w:drawing>
          <wp:anchor distT="0" distB="0" distL="0" distR="0" allowOverlap="1" layoutInCell="1" locked="0" behindDoc="1" simplePos="0" relativeHeight="487612416">
            <wp:simplePos x="0" y="0"/>
            <wp:positionH relativeFrom="page">
              <wp:posOffset>4111625</wp:posOffset>
            </wp:positionH>
            <wp:positionV relativeFrom="paragraph">
              <wp:posOffset>150920</wp:posOffset>
            </wp:positionV>
            <wp:extent cx="2280139" cy="2743962"/>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63" cstate="print"/>
                    <a:stretch>
                      <a:fillRect/>
                    </a:stretch>
                  </pic:blipFill>
                  <pic:spPr>
                    <a:xfrm>
                      <a:off x="0" y="0"/>
                      <a:ext cx="2280139" cy="2743962"/>
                    </a:xfrm>
                    <a:prstGeom prst="rect">
                      <a:avLst/>
                    </a:prstGeom>
                  </pic:spPr>
                </pic:pic>
              </a:graphicData>
            </a:graphic>
          </wp:anchor>
        </w:drawing>
      </w:r>
    </w:p>
    <w:p>
      <w:pPr>
        <w:pStyle w:val="BodyText"/>
        <w:spacing w:before="107"/>
        <w:ind w:right="150"/>
        <w:jc w:val="center"/>
      </w:pPr>
      <w:r>
        <w:rPr/>
        <w:t>Incisión</w:t>
      </w:r>
      <w:r>
        <w:rPr>
          <w:spacing w:val="-3"/>
        </w:rPr>
        <w:t> </w:t>
      </w:r>
      <w:r>
        <w:rPr/>
        <w:t>quirúrgica</w:t>
      </w:r>
      <w:r>
        <w:rPr>
          <w:spacing w:val="-1"/>
        </w:rPr>
        <w:t> </w:t>
      </w:r>
      <w:r>
        <w:rPr/>
        <w:t>de</w:t>
      </w:r>
      <w:r>
        <w:rPr>
          <w:spacing w:val="-1"/>
        </w:rPr>
        <w:t> </w:t>
      </w:r>
      <w:r>
        <w:rPr/>
        <w:t>una</w:t>
      </w:r>
      <w:r>
        <w:rPr>
          <w:spacing w:val="-1"/>
        </w:rPr>
        <w:t> </w:t>
      </w:r>
      <w:r>
        <w:rPr/>
        <w:t>ovariohisterectomía</w:t>
      </w:r>
      <w:r>
        <w:rPr>
          <w:spacing w:val="-1"/>
        </w:rPr>
        <w:t> </w:t>
      </w:r>
      <w:r>
        <w:rPr/>
        <w:t>y</w:t>
      </w:r>
      <w:r>
        <w:rPr>
          <w:spacing w:val="-2"/>
        </w:rPr>
        <w:t> castración</w:t>
      </w:r>
    </w:p>
    <w:p>
      <w:pPr>
        <w:pStyle w:val="BodyText"/>
        <w:spacing w:after="0"/>
        <w:jc w:val="center"/>
        <w:sectPr>
          <w:footerReference w:type="default" r:id="rId59"/>
          <w:pgSz w:w="11910" w:h="16840"/>
          <w:pgMar w:header="0" w:footer="0" w:top="1620" w:bottom="280" w:left="1275" w:right="566"/>
        </w:sectPr>
      </w:pPr>
    </w:p>
    <w:p>
      <w:pPr>
        <w:tabs>
          <w:tab w:pos="5066" w:val="left" w:leader="none"/>
        </w:tabs>
        <w:spacing w:line="240" w:lineRule="auto"/>
        <w:ind w:left="993" w:right="0" w:firstLine="0"/>
        <w:rPr>
          <w:sz w:val="20"/>
        </w:rPr>
      </w:pPr>
      <w:r>
        <w:rPr>
          <w:position w:val="10"/>
          <w:sz w:val="20"/>
        </w:rPr>
        <w:drawing>
          <wp:inline distT="0" distB="0" distL="0" distR="0">
            <wp:extent cx="2358586" cy="2688336"/>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65" cstate="print"/>
                    <a:stretch>
                      <a:fillRect/>
                    </a:stretch>
                  </pic:blipFill>
                  <pic:spPr>
                    <a:xfrm>
                      <a:off x="0" y="0"/>
                      <a:ext cx="2358586" cy="2688336"/>
                    </a:xfrm>
                    <a:prstGeom prst="rect">
                      <a:avLst/>
                    </a:prstGeom>
                  </pic:spPr>
                </pic:pic>
              </a:graphicData>
            </a:graphic>
          </wp:inline>
        </w:drawing>
      </w:r>
      <w:r>
        <w:rPr>
          <w:position w:val="10"/>
          <w:sz w:val="20"/>
        </w:rPr>
      </w:r>
      <w:r>
        <w:rPr>
          <w:position w:val="10"/>
          <w:sz w:val="20"/>
        </w:rPr>
        <w:tab/>
      </w:r>
      <w:r>
        <w:rPr>
          <w:sz w:val="20"/>
        </w:rPr>
        <w:drawing>
          <wp:inline distT="0" distB="0" distL="0" distR="0">
            <wp:extent cx="2812508" cy="2753486"/>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66" cstate="print"/>
                    <a:stretch>
                      <a:fillRect/>
                    </a:stretch>
                  </pic:blipFill>
                  <pic:spPr>
                    <a:xfrm>
                      <a:off x="0" y="0"/>
                      <a:ext cx="2812508" cy="2753486"/>
                    </a:xfrm>
                    <a:prstGeom prst="rect">
                      <a:avLst/>
                    </a:prstGeom>
                  </pic:spPr>
                </pic:pic>
              </a:graphicData>
            </a:graphic>
          </wp:inline>
        </w:drawing>
      </w:r>
      <w:r>
        <w:rPr>
          <w:sz w:val="20"/>
        </w:rPr>
      </w:r>
    </w:p>
    <w:p>
      <w:pPr>
        <w:pStyle w:val="BodyText"/>
        <w:spacing w:before="1"/>
        <w:rPr>
          <w:sz w:val="6"/>
        </w:rPr>
      </w:pPr>
    </w:p>
    <w:p>
      <w:pPr>
        <w:pStyle w:val="BodyText"/>
        <w:spacing w:after="0"/>
        <w:rPr>
          <w:sz w:val="6"/>
        </w:rPr>
        <w:sectPr>
          <w:footerReference w:type="default" r:id="rId64"/>
          <w:pgSz w:w="11910" w:h="16840"/>
          <w:pgMar w:header="0" w:footer="0" w:top="1700" w:bottom="280" w:left="1275" w:right="566"/>
        </w:sectPr>
      </w:pPr>
    </w:p>
    <w:p>
      <w:pPr>
        <w:pStyle w:val="BodyText"/>
        <w:spacing w:before="42"/>
        <w:ind w:left="1998" w:hanging="764"/>
      </w:pPr>
      <w:r>
        <w:rPr/>
        <w:t>Toma</w:t>
      </w:r>
      <w:r>
        <w:rPr>
          <w:spacing w:val="-15"/>
        </w:rPr>
        <w:t> </w:t>
      </w:r>
      <w:r>
        <w:rPr/>
        <w:t>de</w:t>
      </w:r>
      <w:r>
        <w:rPr>
          <w:spacing w:val="-15"/>
        </w:rPr>
        <w:t> </w:t>
      </w:r>
      <w:r>
        <w:rPr/>
        <w:t>parámetros</w:t>
      </w:r>
      <w:r>
        <w:rPr>
          <w:spacing w:val="-15"/>
        </w:rPr>
        <w:t> </w:t>
      </w:r>
      <w:r>
        <w:rPr/>
        <w:t>hemodinámicos después de la cirugía</w:t>
      </w:r>
    </w:p>
    <w:p>
      <w:pPr>
        <w:pStyle w:val="BodyText"/>
        <w:spacing w:before="134"/>
        <w:ind w:left="946"/>
      </w:pPr>
      <w:r>
        <w:rPr/>
        <w:br w:type="column"/>
      </w:r>
      <w:r>
        <w:rPr/>
        <w:t>Medicación</w:t>
      </w:r>
      <w:r>
        <w:rPr>
          <w:spacing w:val="-2"/>
        </w:rPr>
        <w:t> </w:t>
      </w:r>
      <w:r>
        <w:rPr/>
        <w:t>post</w:t>
      </w:r>
      <w:r>
        <w:rPr>
          <w:spacing w:val="-1"/>
        </w:rPr>
        <w:t> </w:t>
      </w:r>
      <w:r>
        <w:rPr>
          <w:spacing w:val="-2"/>
        </w:rPr>
        <w:t>cirugía</w:t>
      </w:r>
    </w:p>
    <w:p>
      <w:pPr>
        <w:pStyle w:val="BodyText"/>
        <w:spacing w:after="0"/>
        <w:sectPr>
          <w:type w:val="continuous"/>
          <w:pgSz w:w="11910" w:h="16840"/>
          <w:pgMar w:header="0" w:footer="0" w:top="1920" w:bottom="280" w:left="1275" w:right="566"/>
          <w:cols w:num="2" w:equalWidth="0">
            <w:col w:w="4773" w:space="40"/>
            <w:col w:w="5256"/>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0"/>
        <w:rPr>
          <w:sz w:val="20"/>
        </w:rPr>
      </w:pPr>
    </w:p>
    <w:p>
      <w:pPr>
        <w:tabs>
          <w:tab w:pos="5097" w:val="left" w:leader="none"/>
        </w:tabs>
        <w:spacing w:line="240" w:lineRule="auto"/>
        <w:ind w:left="931" w:right="0" w:firstLine="0"/>
        <w:rPr>
          <w:position w:val="2"/>
          <w:sz w:val="20"/>
        </w:rPr>
      </w:pPr>
      <w:r>
        <w:rPr>
          <w:sz w:val="20"/>
        </w:rPr>
        <w:drawing>
          <wp:inline distT="0" distB="0" distL="0" distR="0">
            <wp:extent cx="2247263" cy="2996565"/>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67" cstate="print"/>
                    <a:stretch>
                      <a:fillRect/>
                    </a:stretch>
                  </pic:blipFill>
                  <pic:spPr>
                    <a:xfrm>
                      <a:off x="0" y="0"/>
                      <a:ext cx="2247263" cy="2996565"/>
                    </a:xfrm>
                    <a:prstGeom prst="rect">
                      <a:avLst/>
                    </a:prstGeom>
                  </pic:spPr>
                </pic:pic>
              </a:graphicData>
            </a:graphic>
          </wp:inline>
        </w:drawing>
      </w:r>
      <w:r>
        <w:rPr>
          <w:sz w:val="20"/>
        </w:rPr>
      </w:r>
      <w:r>
        <w:rPr>
          <w:sz w:val="20"/>
        </w:rPr>
        <w:tab/>
      </w:r>
      <w:r>
        <w:rPr>
          <w:position w:val="2"/>
          <w:sz w:val="20"/>
        </w:rPr>
        <w:drawing>
          <wp:inline distT="0" distB="0" distL="0" distR="0">
            <wp:extent cx="2479266" cy="2980848"/>
            <wp:effectExtent l="0" t="0" r="0" b="0"/>
            <wp:docPr id="64" name="Image 64" descr="Un grupo de personas alrededor de una mesa con mantel verde  Descripción generada automáticamente con confianza baja"/>
            <wp:cNvGraphicFramePr>
              <a:graphicFrameLocks/>
            </wp:cNvGraphicFramePr>
            <a:graphic>
              <a:graphicData uri="http://schemas.openxmlformats.org/drawingml/2006/picture">
                <pic:pic>
                  <pic:nvPicPr>
                    <pic:cNvPr id="64" name="Image 64" descr="Un grupo de personas alrededor de una mesa con mantel verde  Descripción generada automáticamente con confianza baja"/>
                    <pic:cNvPicPr/>
                  </pic:nvPicPr>
                  <pic:blipFill>
                    <a:blip r:embed="rId68" cstate="print"/>
                    <a:stretch>
                      <a:fillRect/>
                    </a:stretch>
                  </pic:blipFill>
                  <pic:spPr>
                    <a:xfrm>
                      <a:off x="0" y="0"/>
                      <a:ext cx="2479266" cy="2980848"/>
                    </a:xfrm>
                    <a:prstGeom prst="rect">
                      <a:avLst/>
                    </a:prstGeom>
                  </pic:spPr>
                </pic:pic>
              </a:graphicData>
            </a:graphic>
          </wp:inline>
        </w:drawing>
      </w:r>
      <w:r>
        <w:rPr>
          <w:position w:val="2"/>
          <w:sz w:val="20"/>
        </w:rPr>
      </w:r>
    </w:p>
    <w:p>
      <w:pPr>
        <w:pStyle w:val="BodyText"/>
        <w:tabs>
          <w:tab w:pos="4220" w:val="left" w:leader="none"/>
        </w:tabs>
        <w:spacing w:before="250"/>
        <w:ind w:right="501"/>
        <w:jc w:val="center"/>
      </w:pPr>
      <w:r>
        <w:rPr>
          <w:position w:val="-2"/>
        </w:rPr>
        <w:t>Visita</w:t>
      </w:r>
      <w:r>
        <w:rPr>
          <w:spacing w:val="-8"/>
          <w:position w:val="-2"/>
        </w:rPr>
        <w:t> </w:t>
      </w:r>
      <w:r>
        <w:rPr>
          <w:position w:val="-2"/>
        </w:rPr>
        <w:t>de</w:t>
      </w:r>
      <w:r>
        <w:rPr>
          <w:spacing w:val="-8"/>
          <w:position w:val="-2"/>
        </w:rPr>
        <w:t> </w:t>
      </w:r>
      <w:r>
        <w:rPr>
          <w:spacing w:val="-2"/>
          <w:position w:val="-2"/>
        </w:rPr>
        <w:t>campo</w:t>
      </w:r>
      <w:r>
        <w:rPr>
          <w:position w:val="-2"/>
        </w:rPr>
        <w:tab/>
      </w:r>
      <w:r>
        <w:rPr/>
        <w:t>Exposición</w:t>
      </w:r>
      <w:r>
        <w:rPr>
          <w:spacing w:val="-2"/>
        </w:rPr>
        <w:t> </w:t>
      </w:r>
      <w:r>
        <w:rPr/>
        <w:t>del</w:t>
      </w:r>
      <w:r>
        <w:rPr>
          <w:spacing w:val="-1"/>
        </w:rPr>
        <w:t> </w:t>
      </w:r>
      <w:r>
        <w:rPr>
          <w:spacing w:val="-2"/>
        </w:rPr>
        <w:t>borrador</w:t>
      </w:r>
    </w:p>
    <w:p>
      <w:pPr>
        <w:pStyle w:val="BodyText"/>
        <w:spacing w:after="0"/>
        <w:jc w:val="center"/>
        <w:sectPr>
          <w:type w:val="continuous"/>
          <w:pgSz w:w="11910" w:h="16840"/>
          <w:pgMar w:header="0" w:footer="0" w:top="1920" w:bottom="280" w:left="1275" w:right="566"/>
        </w:sectPr>
      </w:pPr>
    </w:p>
    <w:p>
      <w:pPr>
        <w:spacing w:before="68"/>
        <w:ind w:left="993" w:right="0" w:firstLine="0"/>
        <w:jc w:val="left"/>
        <w:rPr>
          <w:i/>
          <w:sz w:val="24"/>
        </w:rPr>
      </w:pPr>
      <w:bookmarkStart w:name="_bookmark87" w:id="88"/>
      <w:bookmarkEnd w:id="88"/>
      <w:r>
        <w:rPr/>
      </w:r>
      <w:r>
        <w:rPr>
          <w:b/>
          <w:sz w:val="24"/>
        </w:rPr>
        <w:t>Anexos</w:t>
      </w:r>
      <w:r>
        <w:rPr>
          <w:b/>
          <w:spacing w:val="-2"/>
          <w:sz w:val="24"/>
        </w:rPr>
        <w:t> </w:t>
      </w:r>
      <w:r>
        <w:rPr>
          <w:b/>
          <w:sz w:val="24"/>
        </w:rPr>
        <w:t>7. </w:t>
      </w:r>
      <w:r>
        <w:rPr>
          <w:i/>
          <w:sz w:val="24"/>
        </w:rPr>
        <w:t>Ficha</w:t>
      </w:r>
      <w:r>
        <w:rPr>
          <w:i/>
          <w:spacing w:val="-1"/>
          <w:sz w:val="24"/>
        </w:rPr>
        <w:t> </w:t>
      </w:r>
      <w:r>
        <w:rPr>
          <w:i/>
          <w:sz w:val="24"/>
        </w:rPr>
        <w:t>clínica </w:t>
      </w:r>
      <w:r>
        <w:rPr>
          <w:i/>
          <w:spacing w:val="-2"/>
          <w:sz w:val="24"/>
        </w:rPr>
        <w:t>anestésica</w:t>
      </w:r>
    </w:p>
    <w:p>
      <w:pPr>
        <w:pStyle w:val="BodyText"/>
        <w:spacing w:before="8"/>
        <w:rPr>
          <w:i/>
          <w:sz w:val="16"/>
        </w:rPr>
      </w:pPr>
      <w:r>
        <w:rPr>
          <w:i/>
          <w:sz w:val="16"/>
        </w:rPr>
        <w:drawing>
          <wp:anchor distT="0" distB="0" distL="0" distR="0" allowOverlap="1" layoutInCell="1" locked="0" behindDoc="1" simplePos="0" relativeHeight="487612928">
            <wp:simplePos x="0" y="0"/>
            <wp:positionH relativeFrom="page">
              <wp:posOffset>837387</wp:posOffset>
            </wp:positionH>
            <wp:positionV relativeFrom="paragraph">
              <wp:posOffset>137174</wp:posOffset>
            </wp:positionV>
            <wp:extent cx="6270755" cy="8206740"/>
            <wp:effectExtent l="0" t="0" r="0" b="0"/>
            <wp:wrapTopAndBottom/>
            <wp:docPr id="65" name="Image 65"/>
            <wp:cNvGraphicFramePr>
              <a:graphicFrameLocks/>
            </wp:cNvGraphicFramePr>
            <a:graphic>
              <a:graphicData uri="http://schemas.openxmlformats.org/drawingml/2006/picture">
                <pic:pic>
                  <pic:nvPicPr>
                    <pic:cNvPr id="65" name="Image 65"/>
                    <pic:cNvPicPr/>
                  </pic:nvPicPr>
                  <pic:blipFill>
                    <a:blip r:embed="rId70" cstate="print"/>
                    <a:stretch>
                      <a:fillRect/>
                    </a:stretch>
                  </pic:blipFill>
                  <pic:spPr>
                    <a:xfrm>
                      <a:off x="0" y="0"/>
                      <a:ext cx="6270755" cy="8206740"/>
                    </a:xfrm>
                    <a:prstGeom prst="rect">
                      <a:avLst/>
                    </a:prstGeom>
                  </pic:spPr>
                </pic:pic>
              </a:graphicData>
            </a:graphic>
          </wp:anchor>
        </w:drawing>
      </w:r>
    </w:p>
    <w:p>
      <w:pPr>
        <w:pStyle w:val="BodyText"/>
        <w:spacing w:after="0"/>
        <w:rPr>
          <w:i/>
          <w:sz w:val="16"/>
        </w:rPr>
        <w:sectPr>
          <w:footerReference w:type="default" r:id="rId69"/>
          <w:pgSz w:w="11910" w:h="16840"/>
          <w:pgMar w:header="0" w:footer="0" w:top="1620" w:bottom="280" w:left="1275" w:right="566"/>
        </w:sectPr>
      </w:pPr>
    </w:p>
    <w:p>
      <w:pPr>
        <w:spacing w:line="240" w:lineRule="auto"/>
        <w:ind w:left="551" w:right="0" w:firstLine="0"/>
        <w:rPr>
          <w:sz w:val="20"/>
        </w:rPr>
      </w:pPr>
      <w:r>
        <w:rPr>
          <w:sz w:val="20"/>
        </w:rPr>
        <w:drawing>
          <wp:inline distT="0" distB="0" distL="0" distR="0">
            <wp:extent cx="5332260" cy="4006215"/>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72" cstate="print"/>
                    <a:stretch>
                      <a:fillRect/>
                    </a:stretch>
                  </pic:blipFill>
                  <pic:spPr>
                    <a:xfrm>
                      <a:off x="0" y="0"/>
                      <a:ext cx="5332260" cy="4006215"/>
                    </a:xfrm>
                    <a:prstGeom prst="rect">
                      <a:avLst/>
                    </a:prstGeom>
                  </pic:spPr>
                </pic:pic>
              </a:graphicData>
            </a:graphic>
          </wp:inline>
        </w:drawing>
      </w:r>
      <w:r>
        <w:rPr>
          <w:sz w:val="20"/>
        </w:rPr>
      </w:r>
    </w:p>
    <w:p>
      <w:pPr>
        <w:spacing w:after="0" w:line="240" w:lineRule="auto"/>
        <w:rPr>
          <w:sz w:val="20"/>
        </w:rPr>
        <w:sectPr>
          <w:footerReference w:type="default" r:id="rId71"/>
          <w:pgSz w:w="11910" w:h="16840"/>
          <w:pgMar w:header="0" w:footer="0" w:top="1680" w:bottom="280" w:left="1275" w:right="566"/>
        </w:sectPr>
      </w:pPr>
    </w:p>
    <w:p>
      <w:pPr>
        <w:spacing w:before="64"/>
        <w:ind w:left="993" w:right="0" w:firstLine="0"/>
        <w:jc w:val="left"/>
        <w:rPr>
          <w:sz w:val="24"/>
        </w:rPr>
      </w:pPr>
      <w:r>
        <w:rPr>
          <w:b/>
          <w:i/>
          <w:sz w:val="24"/>
        </w:rPr>
        <w:t>Anexo</w:t>
      </w:r>
      <w:r>
        <w:rPr>
          <w:b/>
          <w:i/>
          <w:spacing w:val="-2"/>
          <w:sz w:val="24"/>
        </w:rPr>
        <w:t> </w:t>
      </w:r>
      <w:r>
        <w:rPr>
          <w:b/>
          <w:i/>
          <w:sz w:val="24"/>
        </w:rPr>
        <w:t>8.</w:t>
      </w:r>
      <w:r>
        <w:rPr>
          <w:b/>
          <w:i/>
          <w:spacing w:val="-1"/>
          <w:sz w:val="24"/>
        </w:rPr>
        <w:t> </w:t>
      </w:r>
      <w:r>
        <w:rPr>
          <w:sz w:val="24"/>
        </w:rPr>
        <w:t>Glosario</w:t>
      </w:r>
      <w:r>
        <w:rPr>
          <w:spacing w:val="-1"/>
          <w:sz w:val="24"/>
        </w:rPr>
        <w:t> </w:t>
      </w:r>
      <w:r>
        <w:rPr>
          <w:sz w:val="24"/>
        </w:rPr>
        <w:t>de términos</w:t>
      </w:r>
      <w:r>
        <w:rPr>
          <w:spacing w:val="-3"/>
          <w:sz w:val="24"/>
        </w:rPr>
        <w:t> </w:t>
      </w:r>
      <w:r>
        <w:rPr>
          <w:spacing w:val="-2"/>
          <w:sz w:val="24"/>
        </w:rPr>
        <w:t>técnicos</w:t>
      </w:r>
    </w:p>
    <w:p>
      <w:pPr>
        <w:pStyle w:val="BodyText"/>
        <w:spacing w:before="239"/>
      </w:pPr>
    </w:p>
    <w:p>
      <w:pPr>
        <w:pStyle w:val="ListParagraph"/>
        <w:numPr>
          <w:ilvl w:val="0"/>
          <w:numId w:val="12"/>
        </w:numPr>
        <w:tabs>
          <w:tab w:pos="1277" w:val="left" w:leader="none"/>
        </w:tabs>
        <w:spacing w:line="240" w:lineRule="auto" w:before="0" w:after="0"/>
        <w:ind w:left="1277" w:right="0" w:hanging="284"/>
        <w:jc w:val="left"/>
        <w:rPr>
          <w:sz w:val="24"/>
        </w:rPr>
      </w:pPr>
      <w:r>
        <w:rPr>
          <w:b/>
          <w:sz w:val="24"/>
        </w:rPr>
        <w:t>Agonista:</w:t>
      </w:r>
      <w:r>
        <w:rPr>
          <w:b/>
          <w:spacing w:val="-2"/>
          <w:sz w:val="24"/>
        </w:rPr>
        <w:t> </w:t>
      </w:r>
      <w:r>
        <w:rPr>
          <w:sz w:val="24"/>
        </w:rPr>
        <w:t>Sustancia</w:t>
      </w:r>
      <w:r>
        <w:rPr>
          <w:spacing w:val="-1"/>
          <w:sz w:val="24"/>
        </w:rPr>
        <w:t> </w:t>
      </w:r>
      <w:r>
        <w:rPr>
          <w:sz w:val="24"/>
        </w:rPr>
        <w:t>que se</w:t>
      </w:r>
      <w:r>
        <w:rPr>
          <w:spacing w:val="-1"/>
          <w:sz w:val="24"/>
        </w:rPr>
        <w:t> </w:t>
      </w:r>
      <w:r>
        <w:rPr>
          <w:sz w:val="24"/>
        </w:rPr>
        <w:t>une a</w:t>
      </w:r>
      <w:r>
        <w:rPr>
          <w:spacing w:val="-1"/>
          <w:sz w:val="24"/>
        </w:rPr>
        <w:t> </w:t>
      </w:r>
      <w:r>
        <w:rPr>
          <w:sz w:val="24"/>
        </w:rPr>
        <w:t>un</w:t>
      </w:r>
      <w:r>
        <w:rPr>
          <w:spacing w:val="-6"/>
          <w:sz w:val="24"/>
        </w:rPr>
        <w:t> </w:t>
      </w:r>
      <w:r>
        <w:rPr>
          <w:sz w:val="24"/>
        </w:rPr>
        <w:t>receptor</w:t>
      </w:r>
      <w:r>
        <w:rPr>
          <w:spacing w:val="-2"/>
          <w:sz w:val="24"/>
        </w:rPr>
        <w:t> </w:t>
      </w:r>
      <w:r>
        <w:rPr>
          <w:sz w:val="24"/>
        </w:rPr>
        <w:t>y</w:t>
      </w:r>
      <w:r>
        <w:rPr>
          <w:spacing w:val="-1"/>
          <w:sz w:val="24"/>
        </w:rPr>
        <w:t> </w:t>
      </w:r>
      <w:r>
        <w:rPr>
          <w:sz w:val="24"/>
        </w:rPr>
        <w:t>activa</w:t>
      </w:r>
      <w:r>
        <w:rPr>
          <w:spacing w:val="-1"/>
          <w:sz w:val="24"/>
        </w:rPr>
        <w:t> </w:t>
      </w:r>
      <w:r>
        <w:rPr>
          <w:sz w:val="24"/>
        </w:rPr>
        <w:t>su</w:t>
      </w:r>
      <w:r>
        <w:rPr>
          <w:spacing w:val="-1"/>
          <w:sz w:val="24"/>
        </w:rPr>
        <w:t> </w:t>
      </w:r>
      <w:r>
        <w:rPr>
          <w:spacing w:val="-2"/>
          <w:sz w:val="24"/>
        </w:rPr>
        <w:t>efecto</w:t>
      </w:r>
    </w:p>
    <w:p>
      <w:pPr>
        <w:pStyle w:val="BodyText"/>
        <w:spacing w:before="242"/>
      </w:pPr>
    </w:p>
    <w:p>
      <w:pPr>
        <w:pStyle w:val="ListParagraph"/>
        <w:numPr>
          <w:ilvl w:val="0"/>
          <w:numId w:val="12"/>
        </w:numPr>
        <w:tabs>
          <w:tab w:pos="1277" w:val="left" w:leader="none"/>
        </w:tabs>
        <w:spacing w:line="240" w:lineRule="auto" w:before="0" w:after="0"/>
        <w:ind w:left="1277" w:right="0" w:hanging="284"/>
        <w:jc w:val="left"/>
        <w:rPr>
          <w:sz w:val="24"/>
        </w:rPr>
      </w:pPr>
      <w:r>
        <w:rPr>
          <w:b/>
          <w:sz w:val="24"/>
        </w:rPr>
        <w:t>Analgesia:</w:t>
      </w:r>
      <w:r>
        <w:rPr>
          <w:b/>
          <w:spacing w:val="-1"/>
          <w:sz w:val="24"/>
        </w:rPr>
        <w:t> </w:t>
      </w:r>
      <w:r>
        <w:rPr>
          <w:sz w:val="24"/>
        </w:rPr>
        <w:t>Ausencia</w:t>
      </w:r>
      <w:r>
        <w:rPr>
          <w:spacing w:val="-1"/>
          <w:sz w:val="24"/>
        </w:rPr>
        <w:t> </w:t>
      </w:r>
      <w:r>
        <w:rPr>
          <w:sz w:val="24"/>
        </w:rPr>
        <w:t>o</w:t>
      </w:r>
      <w:r>
        <w:rPr>
          <w:spacing w:val="-1"/>
          <w:sz w:val="24"/>
        </w:rPr>
        <w:t> </w:t>
      </w:r>
      <w:r>
        <w:rPr>
          <w:sz w:val="24"/>
        </w:rPr>
        <w:t>disminución</w:t>
      </w:r>
      <w:r>
        <w:rPr>
          <w:spacing w:val="-1"/>
          <w:sz w:val="24"/>
        </w:rPr>
        <w:t> </w:t>
      </w:r>
      <w:r>
        <w:rPr>
          <w:sz w:val="24"/>
        </w:rPr>
        <w:t>de</w:t>
      </w:r>
      <w:r>
        <w:rPr>
          <w:spacing w:val="-3"/>
          <w:sz w:val="24"/>
        </w:rPr>
        <w:t> </w:t>
      </w:r>
      <w:r>
        <w:rPr>
          <w:sz w:val="24"/>
        </w:rPr>
        <w:t>la</w:t>
      </w:r>
      <w:r>
        <w:rPr>
          <w:spacing w:val="-4"/>
          <w:sz w:val="24"/>
        </w:rPr>
        <w:t> </w:t>
      </w:r>
      <w:r>
        <w:rPr>
          <w:sz w:val="24"/>
        </w:rPr>
        <w:t>percepción</w:t>
      </w:r>
      <w:r>
        <w:rPr>
          <w:spacing w:val="-1"/>
          <w:sz w:val="24"/>
        </w:rPr>
        <w:t> </w:t>
      </w:r>
      <w:r>
        <w:rPr>
          <w:sz w:val="24"/>
        </w:rPr>
        <w:t>del </w:t>
      </w:r>
      <w:r>
        <w:rPr>
          <w:spacing w:val="-2"/>
          <w:sz w:val="24"/>
        </w:rPr>
        <w:t>dolor</w:t>
      </w:r>
    </w:p>
    <w:p>
      <w:pPr>
        <w:pStyle w:val="BodyText"/>
        <w:spacing w:before="238"/>
      </w:pPr>
    </w:p>
    <w:p>
      <w:pPr>
        <w:pStyle w:val="ListParagraph"/>
        <w:numPr>
          <w:ilvl w:val="0"/>
          <w:numId w:val="12"/>
        </w:numPr>
        <w:tabs>
          <w:tab w:pos="1278" w:val="left" w:leader="none"/>
        </w:tabs>
        <w:spacing w:line="465" w:lineRule="auto" w:before="0" w:after="0"/>
        <w:ind w:left="1278" w:right="1282" w:hanging="285"/>
        <w:jc w:val="left"/>
        <w:rPr>
          <w:sz w:val="24"/>
        </w:rPr>
      </w:pPr>
      <w:r>
        <w:rPr>
          <w:b/>
          <w:sz w:val="24"/>
        </w:rPr>
        <w:t>Anestesia</w:t>
      </w:r>
      <w:r>
        <w:rPr>
          <w:b/>
          <w:spacing w:val="-3"/>
          <w:sz w:val="24"/>
        </w:rPr>
        <w:t> </w:t>
      </w:r>
      <w:r>
        <w:rPr>
          <w:b/>
          <w:sz w:val="24"/>
        </w:rPr>
        <w:t>disociativa: </w:t>
      </w:r>
      <w:r>
        <w:rPr>
          <w:sz w:val="24"/>
        </w:rPr>
        <w:t>Estado</w:t>
      </w:r>
      <w:r>
        <w:rPr>
          <w:spacing w:val="-3"/>
          <w:sz w:val="24"/>
        </w:rPr>
        <w:t> </w:t>
      </w:r>
      <w:r>
        <w:rPr>
          <w:sz w:val="24"/>
        </w:rPr>
        <w:t>anestésico</w:t>
      </w:r>
      <w:r>
        <w:rPr>
          <w:spacing w:val="-5"/>
          <w:sz w:val="24"/>
        </w:rPr>
        <w:t> </w:t>
      </w:r>
      <w:r>
        <w:rPr>
          <w:sz w:val="24"/>
        </w:rPr>
        <w:t>caracterizado</w:t>
      </w:r>
      <w:r>
        <w:rPr>
          <w:spacing w:val="-3"/>
          <w:sz w:val="24"/>
        </w:rPr>
        <w:t> </w:t>
      </w:r>
      <w:r>
        <w:rPr>
          <w:sz w:val="24"/>
        </w:rPr>
        <w:t>por</w:t>
      </w:r>
      <w:r>
        <w:rPr>
          <w:spacing w:val="-3"/>
          <w:sz w:val="24"/>
        </w:rPr>
        <w:t> </w:t>
      </w:r>
      <w:r>
        <w:rPr>
          <w:sz w:val="24"/>
        </w:rPr>
        <w:t>desconexión</w:t>
      </w:r>
      <w:r>
        <w:rPr>
          <w:spacing w:val="-3"/>
          <w:sz w:val="24"/>
        </w:rPr>
        <w:t> </w:t>
      </w:r>
      <w:r>
        <w:rPr>
          <w:sz w:val="24"/>
        </w:rPr>
        <w:t>entre percepción sensorial y respuesta consciente</w:t>
      </w:r>
    </w:p>
    <w:p>
      <w:pPr>
        <w:pStyle w:val="ListParagraph"/>
        <w:numPr>
          <w:ilvl w:val="0"/>
          <w:numId w:val="12"/>
        </w:numPr>
        <w:tabs>
          <w:tab w:pos="1278" w:val="left" w:leader="none"/>
        </w:tabs>
        <w:spacing w:line="465" w:lineRule="auto" w:before="255" w:after="0"/>
        <w:ind w:left="1278" w:right="1286" w:hanging="285"/>
        <w:jc w:val="left"/>
        <w:rPr>
          <w:sz w:val="24"/>
        </w:rPr>
      </w:pPr>
      <w:r>
        <w:rPr>
          <w:b/>
          <w:sz w:val="24"/>
        </w:rPr>
        <w:t>Anestesia general: </w:t>
      </w:r>
      <w:r>
        <w:rPr>
          <w:sz w:val="24"/>
        </w:rPr>
        <w:t>Estado reversible de inconsciencia, analgesia, relajación muscular y pérdida de reflejos</w:t>
      </w:r>
    </w:p>
    <w:p>
      <w:pPr>
        <w:pStyle w:val="ListParagraph"/>
        <w:numPr>
          <w:ilvl w:val="0"/>
          <w:numId w:val="12"/>
        </w:numPr>
        <w:tabs>
          <w:tab w:pos="1278" w:val="left" w:leader="none"/>
        </w:tabs>
        <w:spacing w:line="468" w:lineRule="auto" w:before="254" w:after="0"/>
        <w:ind w:left="1278" w:right="1285" w:hanging="285"/>
        <w:jc w:val="left"/>
        <w:rPr>
          <w:sz w:val="24"/>
        </w:rPr>
      </w:pPr>
      <w:r>
        <w:rPr>
          <w:b/>
          <w:sz w:val="24"/>
        </w:rPr>
        <w:t>Anestésico</w:t>
      </w:r>
      <w:r>
        <w:rPr>
          <w:b/>
          <w:spacing w:val="40"/>
          <w:sz w:val="24"/>
        </w:rPr>
        <w:t> </w:t>
      </w:r>
      <w:r>
        <w:rPr>
          <w:b/>
          <w:sz w:val="24"/>
        </w:rPr>
        <w:t>inhalatorio:</w:t>
      </w:r>
      <w:r>
        <w:rPr>
          <w:b/>
          <w:spacing w:val="40"/>
          <w:sz w:val="24"/>
        </w:rPr>
        <w:t> </w:t>
      </w:r>
      <w:r>
        <w:rPr>
          <w:sz w:val="24"/>
        </w:rPr>
        <w:t>Fármaco</w:t>
      </w:r>
      <w:r>
        <w:rPr>
          <w:spacing w:val="40"/>
          <w:sz w:val="24"/>
        </w:rPr>
        <w:t> </w:t>
      </w:r>
      <w:r>
        <w:rPr>
          <w:sz w:val="24"/>
        </w:rPr>
        <w:t>administrado</w:t>
      </w:r>
      <w:r>
        <w:rPr>
          <w:spacing w:val="40"/>
          <w:sz w:val="24"/>
        </w:rPr>
        <w:t> </w:t>
      </w:r>
      <w:r>
        <w:rPr>
          <w:sz w:val="24"/>
        </w:rPr>
        <w:t>por</w:t>
      </w:r>
      <w:r>
        <w:rPr>
          <w:spacing w:val="40"/>
          <w:sz w:val="24"/>
        </w:rPr>
        <w:t> </w:t>
      </w:r>
      <w:r>
        <w:rPr>
          <w:sz w:val="24"/>
        </w:rPr>
        <w:t>vía</w:t>
      </w:r>
      <w:r>
        <w:rPr>
          <w:spacing w:val="40"/>
          <w:sz w:val="24"/>
        </w:rPr>
        <w:t> </w:t>
      </w:r>
      <w:r>
        <w:rPr>
          <w:sz w:val="24"/>
        </w:rPr>
        <w:t>respiratoria</w:t>
      </w:r>
      <w:r>
        <w:rPr>
          <w:spacing w:val="40"/>
          <w:sz w:val="24"/>
        </w:rPr>
        <w:t> </w:t>
      </w:r>
      <w:r>
        <w:rPr>
          <w:sz w:val="24"/>
        </w:rPr>
        <w:t>para</w:t>
      </w:r>
      <w:r>
        <w:rPr>
          <w:spacing w:val="80"/>
          <w:sz w:val="24"/>
        </w:rPr>
        <w:t> </w:t>
      </w:r>
      <w:r>
        <w:rPr>
          <w:sz w:val="24"/>
        </w:rPr>
        <w:t>producir o mantener anestesia.</w:t>
      </w:r>
    </w:p>
    <w:p>
      <w:pPr>
        <w:pStyle w:val="ListParagraph"/>
        <w:numPr>
          <w:ilvl w:val="0"/>
          <w:numId w:val="12"/>
        </w:numPr>
        <w:tabs>
          <w:tab w:pos="1277" w:val="left" w:leader="none"/>
        </w:tabs>
        <w:spacing w:line="240" w:lineRule="auto" w:before="253" w:after="0"/>
        <w:ind w:left="1277" w:right="0" w:hanging="284"/>
        <w:jc w:val="left"/>
        <w:rPr>
          <w:sz w:val="24"/>
        </w:rPr>
      </w:pPr>
      <w:r>
        <w:rPr>
          <w:b/>
          <w:sz w:val="24"/>
        </w:rPr>
        <w:t>Antagonista:</w:t>
      </w:r>
      <w:r>
        <w:rPr>
          <w:b/>
          <w:spacing w:val="-2"/>
          <w:sz w:val="24"/>
        </w:rPr>
        <w:t> </w:t>
      </w:r>
      <w:r>
        <w:rPr>
          <w:sz w:val="24"/>
        </w:rPr>
        <w:t>Sustancia</w:t>
      </w:r>
      <w:r>
        <w:rPr>
          <w:spacing w:val="-1"/>
          <w:sz w:val="24"/>
        </w:rPr>
        <w:t> </w:t>
      </w:r>
      <w:r>
        <w:rPr>
          <w:sz w:val="24"/>
        </w:rPr>
        <w:t>que</w:t>
      </w:r>
      <w:r>
        <w:rPr>
          <w:spacing w:val="-1"/>
          <w:sz w:val="24"/>
        </w:rPr>
        <w:t> </w:t>
      </w:r>
      <w:r>
        <w:rPr>
          <w:sz w:val="24"/>
        </w:rPr>
        <w:t>bloquea</w:t>
      </w:r>
      <w:r>
        <w:rPr>
          <w:spacing w:val="-1"/>
          <w:sz w:val="24"/>
        </w:rPr>
        <w:t> </w:t>
      </w:r>
      <w:r>
        <w:rPr>
          <w:sz w:val="24"/>
        </w:rPr>
        <w:t>o</w:t>
      </w:r>
      <w:r>
        <w:rPr>
          <w:spacing w:val="-2"/>
          <w:sz w:val="24"/>
        </w:rPr>
        <w:t> </w:t>
      </w:r>
      <w:r>
        <w:rPr>
          <w:sz w:val="24"/>
        </w:rPr>
        <w:t>revierte</w:t>
      </w:r>
      <w:r>
        <w:rPr>
          <w:spacing w:val="-5"/>
          <w:sz w:val="24"/>
        </w:rPr>
        <w:t> </w:t>
      </w:r>
      <w:r>
        <w:rPr>
          <w:sz w:val="24"/>
        </w:rPr>
        <w:t>la</w:t>
      </w:r>
      <w:r>
        <w:rPr>
          <w:spacing w:val="-1"/>
          <w:sz w:val="24"/>
        </w:rPr>
        <w:t> </w:t>
      </w:r>
      <w:r>
        <w:rPr>
          <w:sz w:val="24"/>
        </w:rPr>
        <w:t>acción</w:t>
      </w:r>
      <w:r>
        <w:rPr>
          <w:spacing w:val="-2"/>
          <w:sz w:val="24"/>
        </w:rPr>
        <w:t> </w:t>
      </w:r>
      <w:r>
        <w:rPr>
          <w:sz w:val="24"/>
        </w:rPr>
        <w:t>de</w:t>
      </w:r>
      <w:r>
        <w:rPr>
          <w:spacing w:val="-1"/>
          <w:sz w:val="24"/>
        </w:rPr>
        <w:t> </w:t>
      </w:r>
      <w:r>
        <w:rPr>
          <w:sz w:val="24"/>
        </w:rPr>
        <w:t>un</w:t>
      </w:r>
      <w:r>
        <w:rPr>
          <w:spacing w:val="-1"/>
          <w:sz w:val="24"/>
        </w:rPr>
        <w:t> </w:t>
      </w:r>
      <w:r>
        <w:rPr>
          <w:spacing w:val="-2"/>
          <w:sz w:val="24"/>
        </w:rPr>
        <w:t>receptor</w:t>
      </w:r>
    </w:p>
    <w:p>
      <w:pPr>
        <w:pStyle w:val="BodyText"/>
        <w:spacing w:before="238"/>
      </w:pPr>
    </w:p>
    <w:p>
      <w:pPr>
        <w:pStyle w:val="ListParagraph"/>
        <w:numPr>
          <w:ilvl w:val="0"/>
          <w:numId w:val="12"/>
        </w:numPr>
        <w:tabs>
          <w:tab w:pos="1278" w:val="left" w:leader="none"/>
          <w:tab w:pos="3243" w:val="left" w:leader="none"/>
          <w:tab w:pos="4921" w:val="left" w:leader="none"/>
          <w:tab w:pos="5629" w:val="left" w:leader="none"/>
          <w:tab w:pos="6579" w:val="left" w:leader="none"/>
          <w:tab w:pos="7718" w:val="left" w:leader="none"/>
        </w:tabs>
        <w:spacing w:line="465" w:lineRule="auto" w:before="0" w:after="0"/>
        <w:ind w:left="1278" w:right="1284" w:hanging="285"/>
        <w:jc w:val="left"/>
        <w:rPr>
          <w:sz w:val="24"/>
        </w:rPr>
      </w:pPr>
      <w:r>
        <w:rPr>
          <w:spacing w:val="-2"/>
          <w:sz w:val="24"/>
        </w:rPr>
        <w:t>Benzodiacepina:</w:t>
      </w:r>
      <w:r>
        <w:rPr>
          <w:sz w:val="24"/>
        </w:rPr>
        <w:tab/>
      </w:r>
      <w:r>
        <w:rPr>
          <w:spacing w:val="-2"/>
          <w:sz w:val="24"/>
        </w:rPr>
        <w:t>Medicamento</w:t>
      </w:r>
      <w:r>
        <w:rPr>
          <w:sz w:val="24"/>
        </w:rPr>
        <w:tab/>
      </w:r>
      <w:r>
        <w:rPr>
          <w:spacing w:val="-4"/>
          <w:sz w:val="24"/>
        </w:rPr>
        <w:t>con</w:t>
      </w:r>
      <w:r>
        <w:rPr>
          <w:sz w:val="24"/>
        </w:rPr>
        <w:tab/>
      </w:r>
      <w:r>
        <w:rPr>
          <w:spacing w:val="-2"/>
          <w:sz w:val="24"/>
        </w:rPr>
        <w:t>efecto</w:t>
      </w:r>
      <w:r>
        <w:rPr>
          <w:sz w:val="24"/>
        </w:rPr>
        <w:tab/>
      </w:r>
      <w:r>
        <w:rPr>
          <w:spacing w:val="-2"/>
          <w:sz w:val="24"/>
        </w:rPr>
        <w:t>sedante,</w:t>
      </w:r>
      <w:r>
        <w:rPr>
          <w:sz w:val="24"/>
        </w:rPr>
        <w:tab/>
      </w:r>
      <w:r>
        <w:rPr>
          <w:spacing w:val="-2"/>
          <w:sz w:val="24"/>
        </w:rPr>
        <w:t>ansiolítico, </w:t>
      </w:r>
      <w:r>
        <w:rPr>
          <w:sz w:val="24"/>
        </w:rPr>
        <w:t>anticonvulsivante y relajante muscular</w:t>
      </w:r>
    </w:p>
    <w:p>
      <w:pPr>
        <w:pStyle w:val="ListParagraph"/>
        <w:numPr>
          <w:ilvl w:val="0"/>
          <w:numId w:val="12"/>
        </w:numPr>
        <w:tabs>
          <w:tab w:pos="1277" w:val="left" w:leader="none"/>
        </w:tabs>
        <w:spacing w:line="240" w:lineRule="auto" w:before="255" w:after="0"/>
        <w:ind w:left="1277" w:right="0" w:hanging="284"/>
        <w:jc w:val="left"/>
        <w:rPr>
          <w:sz w:val="24"/>
        </w:rPr>
      </w:pPr>
      <w:r>
        <w:rPr>
          <w:b/>
          <w:sz w:val="24"/>
        </w:rPr>
        <w:t>Bradicardia:</w:t>
      </w:r>
      <w:r>
        <w:rPr>
          <w:b/>
          <w:spacing w:val="-2"/>
          <w:sz w:val="24"/>
        </w:rPr>
        <w:t> </w:t>
      </w:r>
      <w:r>
        <w:rPr>
          <w:sz w:val="24"/>
        </w:rPr>
        <w:t>Disminución</w:t>
      </w:r>
      <w:r>
        <w:rPr>
          <w:spacing w:val="-2"/>
          <w:sz w:val="24"/>
        </w:rPr>
        <w:t> </w:t>
      </w:r>
      <w:r>
        <w:rPr>
          <w:sz w:val="24"/>
        </w:rPr>
        <w:t>anormal</w:t>
      </w:r>
      <w:r>
        <w:rPr>
          <w:spacing w:val="-1"/>
          <w:sz w:val="24"/>
        </w:rPr>
        <w:t> </w:t>
      </w:r>
      <w:r>
        <w:rPr>
          <w:sz w:val="24"/>
        </w:rPr>
        <w:t>de</w:t>
      </w:r>
      <w:r>
        <w:rPr>
          <w:spacing w:val="-1"/>
          <w:sz w:val="24"/>
        </w:rPr>
        <w:t> </w:t>
      </w:r>
      <w:r>
        <w:rPr>
          <w:sz w:val="24"/>
        </w:rPr>
        <w:t>la</w:t>
      </w:r>
      <w:r>
        <w:rPr>
          <w:spacing w:val="-5"/>
          <w:sz w:val="24"/>
        </w:rPr>
        <w:t> </w:t>
      </w:r>
      <w:r>
        <w:rPr>
          <w:sz w:val="24"/>
        </w:rPr>
        <w:t>frecuencia</w:t>
      </w:r>
      <w:r>
        <w:rPr>
          <w:spacing w:val="-5"/>
          <w:sz w:val="24"/>
        </w:rPr>
        <w:t> </w:t>
      </w:r>
      <w:r>
        <w:rPr>
          <w:spacing w:val="-2"/>
          <w:sz w:val="24"/>
        </w:rPr>
        <w:t>cardíaca</w:t>
      </w:r>
    </w:p>
    <w:p>
      <w:pPr>
        <w:pStyle w:val="BodyText"/>
        <w:spacing w:before="242"/>
      </w:pPr>
    </w:p>
    <w:p>
      <w:pPr>
        <w:pStyle w:val="ListParagraph"/>
        <w:numPr>
          <w:ilvl w:val="0"/>
          <w:numId w:val="12"/>
        </w:numPr>
        <w:tabs>
          <w:tab w:pos="1278" w:val="left" w:leader="none"/>
        </w:tabs>
        <w:spacing w:line="465" w:lineRule="auto" w:before="0" w:after="0"/>
        <w:ind w:left="1278" w:right="1284" w:hanging="285"/>
        <w:jc w:val="left"/>
        <w:rPr>
          <w:sz w:val="24"/>
        </w:rPr>
      </w:pPr>
      <w:r>
        <w:rPr>
          <w:b/>
          <w:sz w:val="24"/>
        </w:rPr>
        <w:t>Coadyuvante anestésico: </w:t>
      </w:r>
      <w:r>
        <w:rPr>
          <w:sz w:val="24"/>
        </w:rPr>
        <w:t>Medicamento que complementa la acción de otros </w:t>
      </w:r>
      <w:r>
        <w:rPr>
          <w:spacing w:val="-2"/>
          <w:sz w:val="24"/>
        </w:rPr>
        <w:t>anestésicos</w:t>
      </w:r>
    </w:p>
    <w:p>
      <w:pPr>
        <w:pStyle w:val="ListParagraph"/>
        <w:numPr>
          <w:ilvl w:val="0"/>
          <w:numId w:val="12"/>
        </w:numPr>
        <w:tabs>
          <w:tab w:pos="1278" w:val="left" w:leader="none"/>
        </w:tabs>
        <w:spacing w:line="465" w:lineRule="auto" w:before="255" w:after="0"/>
        <w:ind w:left="1278" w:right="1283" w:hanging="285"/>
        <w:jc w:val="left"/>
        <w:rPr>
          <w:sz w:val="24"/>
        </w:rPr>
      </w:pPr>
      <w:r>
        <w:rPr>
          <w:b/>
          <w:sz w:val="24"/>
        </w:rPr>
        <w:t>Depresión</w:t>
      </w:r>
      <w:r>
        <w:rPr>
          <w:b/>
          <w:spacing w:val="80"/>
          <w:sz w:val="24"/>
        </w:rPr>
        <w:t> </w:t>
      </w:r>
      <w:r>
        <w:rPr>
          <w:b/>
          <w:sz w:val="24"/>
        </w:rPr>
        <w:t>respiratoria:</w:t>
      </w:r>
      <w:r>
        <w:rPr>
          <w:b/>
          <w:spacing w:val="80"/>
          <w:sz w:val="24"/>
        </w:rPr>
        <w:t> </w:t>
      </w:r>
      <w:r>
        <w:rPr>
          <w:sz w:val="24"/>
        </w:rPr>
        <w:t>Disminución</w:t>
      </w:r>
      <w:r>
        <w:rPr>
          <w:spacing w:val="80"/>
          <w:sz w:val="24"/>
        </w:rPr>
        <w:t> </w:t>
      </w:r>
      <w:r>
        <w:rPr>
          <w:sz w:val="24"/>
        </w:rPr>
        <w:t>de</w:t>
      </w:r>
      <w:r>
        <w:rPr>
          <w:spacing w:val="80"/>
          <w:sz w:val="24"/>
        </w:rPr>
        <w:t> </w:t>
      </w:r>
      <w:r>
        <w:rPr>
          <w:sz w:val="24"/>
        </w:rPr>
        <w:t>la</w:t>
      </w:r>
      <w:r>
        <w:rPr>
          <w:spacing w:val="80"/>
          <w:sz w:val="24"/>
        </w:rPr>
        <w:t> </w:t>
      </w:r>
      <w:r>
        <w:rPr>
          <w:sz w:val="24"/>
        </w:rPr>
        <w:t>frecuencia</w:t>
      </w:r>
      <w:r>
        <w:rPr>
          <w:spacing w:val="80"/>
          <w:sz w:val="24"/>
        </w:rPr>
        <w:t> </w:t>
      </w:r>
      <w:r>
        <w:rPr>
          <w:sz w:val="24"/>
        </w:rPr>
        <w:t>o</w:t>
      </w:r>
      <w:r>
        <w:rPr>
          <w:spacing w:val="80"/>
          <w:sz w:val="24"/>
        </w:rPr>
        <w:t> </w:t>
      </w:r>
      <w:r>
        <w:rPr>
          <w:sz w:val="24"/>
        </w:rPr>
        <w:t>profundidad</w:t>
      </w:r>
      <w:r>
        <w:rPr>
          <w:spacing w:val="40"/>
          <w:sz w:val="24"/>
        </w:rPr>
        <w:t> </w:t>
      </w:r>
      <w:r>
        <w:rPr>
          <w:spacing w:val="-2"/>
          <w:sz w:val="24"/>
        </w:rPr>
        <w:t>respiratoria</w:t>
      </w:r>
    </w:p>
    <w:p>
      <w:pPr>
        <w:pStyle w:val="ListParagraph"/>
        <w:numPr>
          <w:ilvl w:val="0"/>
          <w:numId w:val="12"/>
        </w:numPr>
        <w:tabs>
          <w:tab w:pos="1278" w:val="left" w:leader="none"/>
        </w:tabs>
        <w:spacing w:line="465" w:lineRule="auto" w:before="254" w:after="0"/>
        <w:ind w:left="1278" w:right="1277" w:hanging="285"/>
        <w:jc w:val="left"/>
        <w:rPr>
          <w:sz w:val="24"/>
        </w:rPr>
      </w:pPr>
      <w:r>
        <w:rPr>
          <w:b/>
          <w:sz w:val="24"/>
        </w:rPr>
        <w:t>Dexmedetomidina: </w:t>
      </w:r>
      <w:r>
        <w:rPr>
          <w:sz w:val="24"/>
        </w:rPr>
        <w:t>Agonista selectivo de los receptores alfa-2 adrenérgicos utilizado</w:t>
      </w:r>
      <w:r>
        <w:rPr>
          <w:spacing w:val="80"/>
          <w:sz w:val="24"/>
        </w:rPr>
        <w:t> </w:t>
      </w:r>
      <w:r>
        <w:rPr>
          <w:sz w:val="24"/>
        </w:rPr>
        <w:t>como</w:t>
      </w:r>
      <w:r>
        <w:rPr>
          <w:spacing w:val="80"/>
          <w:sz w:val="24"/>
        </w:rPr>
        <w:t> </w:t>
      </w:r>
      <w:r>
        <w:rPr>
          <w:sz w:val="24"/>
        </w:rPr>
        <w:t>sedante</w:t>
      </w:r>
      <w:r>
        <w:rPr>
          <w:spacing w:val="80"/>
          <w:sz w:val="24"/>
        </w:rPr>
        <w:t> </w:t>
      </w:r>
      <w:r>
        <w:rPr>
          <w:sz w:val="24"/>
        </w:rPr>
        <w:t>y</w:t>
      </w:r>
      <w:r>
        <w:rPr>
          <w:spacing w:val="80"/>
          <w:sz w:val="24"/>
        </w:rPr>
        <w:t> </w:t>
      </w:r>
      <w:r>
        <w:rPr>
          <w:sz w:val="24"/>
        </w:rPr>
        <w:t>analgésico</w:t>
      </w:r>
      <w:r>
        <w:rPr>
          <w:spacing w:val="80"/>
          <w:sz w:val="24"/>
        </w:rPr>
        <w:t> </w:t>
      </w:r>
      <w:r>
        <w:rPr>
          <w:sz w:val="24"/>
        </w:rPr>
        <w:t>en</w:t>
      </w:r>
      <w:r>
        <w:rPr>
          <w:spacing w:val="80"/>
          <w:sz w:val="24"/>
        </w:rPr>
        <w:t> </w:t>
      </w:r>
      <w:r>
        <w:rPr>
          <w:sz w:val="24"/>
        </w:rPr>
        <w:t>anestesia,</w:t>
      </w:r>
      <w:r>
        <w:rPr>
          <w:spacing w:val="80"/>
          <w:sz w:val="24"/>
        </w:rPr>
        <w:t> </w:t>
      </w:r>
      <w:r>
        <w:rPr>
          <w:sz w:val="24"/>
        </w:rPr>
        <w:t>que</w:t>
      </w:r>
      <w:r>
        <w:rPr>
          <w:spacing w:val="80"/>
          <w:sz w:val="24"/>
        </w:rPr>
        <w:t> </w:t>
      </w:r>
      <w:r>
        <w:rPr>
          <w:sz w:val="24"/>
        </w:rPr>
        <w:t>produce</w:t>
      </w:r>
      <w:r>
        <w:rPr>
          <w:spacing w:val="80"/>
          <w:sz w:val="24"/>
        </w:rPr>
        <w:t> </w:t>
      </w:r>
      <w:r>
        <w:rPr>
          <w:sz w:val="24"/>
        </w:rPr>
        <w:t>efectos</w:t>
      </w:r>
    </w:p>
    <w:p>
      <w:pPr>
        <w:pStyle w:val="ListParagraph"/>
        <w:spacing w:after="0" w:line="465" w:lineRule="auto"/>
        <w:jc w:val="left"/>
        <w:rPr>
          <w:sz w:val="24"/>
        </w:rPr>
        <w:sectPr>
          <w:footerReference w:type="default" r:id="rId73"/>
          <w:pgSz w:w="11910" w:h="16840"/>
          <w:pgMar w:header="0" w:footer="0" w:top="1620" w:bottom="280" w:left="1275" w:right="566"/>
        </w:sectPr>
      </w:pPr>
    </w:p>
    <w:p>
      <w:pPr>
        <w:pStyle w:val="BodyText"/>
        <w:spacing w:before="64"/>
        <w:ind w:left="1278"/>
      </w:pPr>
      <w:r>
        <w:rPr/>
        <w:t>hemodinámicos</w:t>
      </w:r>
      <w:r>
        <w:rPr>
          <w:spacing w:val="-3"/>
        </w:rPr>
        <w:t> </w:t>
      </w:r>
      <w:r>
        <w:rPr/>
        <w:t>como</w:t>
      </w:r>
      <w:r>
        <w:rPr>
          <w:spacing w:val="-1"/>
        </w:rPr>
        <w:t> </w:t>
      </w:r>
      <w:r>
        <w:rPr/>
        <w:t>bradicardia y</w:t>
      </w:r>
      <w:r>
        <w:rPr>
          <w:spacing w:val="-1"/>
        </w:rPr>
        <w:t> </w:t>
      </w:r>
      <w:r>
        <w:rPr>
          <w:spacing w:val="-2"/>
        </w:rPr>
        <w:t>vasoconstricción</w:t>
      </w:r>
    </w:p>
    <w:p>
      <w:pPr>
        <w:pStyle w:val="BodyText"/>
        <w:spacing w:before="239"/>
      </w:pPr>
    </w:p>
    <w:p>
      <w:pPr>
        <w:pStyle w:val="ListParagraph"/>
        <w:numPr>
          <w:ilvl w:val="0"/>
          <w:numId w:val="12"/>
        </w:numPr>
        <w:tabs>
          <w:tab w:pos="1278" w:val="left" w:leader="none"/>
        </w:tabs>
        <w:spacing w:line="468" w:lineRule="auto" w:before="0" w:after="0"/>
        <w:ind w:left="1278" w:right="1280" w:hanging="285"/>
        <w:jc w:val="left"/>
        <w:rPr>
          <w:sz w:val="24"/>
        </w:rPr>
      </w:pPr>
      <w:r>
        <w:rPr>
          <w:b/>
          <w:sz w:val="24"/>
        </w:rPr>
        <w:t>Estabilidad hemodinámica: </w:t>
      </w:r>
      <w:r>
        <w:rPr>
          <w:sz w:val="24"/>
        </w:rPr>
        <w:t>Mantenimiento adecuado de la presión arterial, frecuencia cardíaca y perfusión durante la anestesia</w:t>
      </w:r>
    </w:p>
    <w:p>
      <w:pPr>
        <w:pStyle w:val="ListParagraph"/>
        <w:numPr>
          <w:ilvl w:val="0"/>
          <w:numId w:val="12"/>
        </w:numPr>
        <w:tabs>
          <w:tab w:pos="1278" w:val="left" w:leader="none"/>
        </w:tabs>
        <w:spacing w:line="465" w:lineRule="auto" w:before="253" w:after="0"/>
        <w:ind w:left="1278" w:right="1286" w:hanging="285"/>
        <w:jc w:val="left"/>
        <w:rPr>
          <w:sz w:val="24"/>
        </w:rPr>
      </w:pPr>
      <w:r>
        <w:rPr>
          <w:b/>
          <w:sz w:val="24"/>
        </w:rPr>
        <w:t>Fentanilo:</w:t>
      </w:r>
      <w:r>
        <w:rPr>
          <w:b/>
          <w:spacing w:val="40"/>
          <w:sz w:val="24"/>
        </w:rPr>
        <w:t> </w:t>
      </w:r>
      <w:r>
        <w:rPr>
          <w:sz w:val="24"/>
        </w:rPr>
        <w:t>Opioide</w:t>
      </w:r>
      <w:r>
        <w:rPr>
          <w:spacing w:val="40"/>
          <w:sz w:val="24"/>
        </w:rPr>
        <w:t> </w:t>
      </w:r>
      <w:r>
        <w:rPr>
          <w:sz w:val="24"/>
        </w:rPr>
        <w:t>potente</w:t>
      </w:r>
      <w:r>
        <w:rPr>
          <w:spacing w:val="40"/>
          <w:sz w:val="24"/>
        </w:rPr>
        <w:t> </w:t>
      </w:r>
      <w:r>
        <w:rPr>
          <w:sz w:val="24"/>
        </w:rPr>
        <w:t>utilizado</w:t>
      </w:r>
      <w:r>
        <w:rPr>
          <w:spacing w:val="40"/>
          <w:sz w:val="24"/>
        </w:rPr>
        <w:t> </w:t>
      </w:r>
      <w:r>
        <w:rPr>
          <w:sz w:val="24"/>
        </w:rPr>
        <w:t>para</w:t>
      </w:r>
      <w:r>
        <w:rPr>
          <w:spacing w:val="40"/>
          <w:sz w:val="24"/>
        </w:rPr>
        <w:t> </w:t>
      </w:r>
      <w:r>
        <w:rPr>
          <w:sz w:val="24"/>
        </w:rPr>
        <w:t>analgesia</w:t>
      </w:r>
      <w:r>
        <w:rPr>
          <w:spacing w:val="40"/>
          <w:sz w:val="24"/>
        </w:rPr>
        <w:t> </w:t>
      </w:r>
      <w:r>
        <w:rPr>
          <w:sz w:val="24"/>
        </w:rPr>
        <w:t>intraoperatoria,</w:t>
      </w:r>
      <w:r>
        <w:rPr>
          <w:spacing w:val="40"/>
          <w:sz w:val="24"/>
        </w:rPr>
        <w:t> </w:t>
      </w:r>
      <w:r>
        <w:rPr>
          <w:sz w:val="24"/>
        </w:rPr>
        <w:t>con</w:t>
      </w:r>
      <w:r>
        <w:rPr>
          <w:spacing w:val="80"/>
          <w:sz w:val="24"/>
        </w:rPr>
        <w:t> </w:t>
      </w:r>
      <w:r>
        <w:rPr>
          <w:sz w:val="24"/>
        </w:rPr>
        <w:t>efectos sobre la presión arterial y frecuencia cardíaca</w:t>
      </w:r>
    </w:p>
    <w:p>
      <w:pPr>
        <w:pStyle w:val="ListParagraph"/>
        <w:numPr>
          <w:ilvl w:val="0"/>
          <w:numId w:val="12"/>
        </w:numPr>
        <w:tabs>
          <w:tab w:pos="1277" w:val="left" w:leader="none"/>
        </w:tabs>
        <w:spacing w:line="240" w:lineRule="auto" w:before="254" w:after="0"/>
        <w:ind w:left="1277" w:right="0" w:hanging="284"/>
        <w:jc w:val="left"/>
        <w:rPr>
          <w:sz w:val="24"/>
        </w:rPr>
      </w:pPr>
      <w:r>
        <w:rPr>
          <w:b/>
          <w:sz w:val="24"/>
        </w:rPr>
        <w:t>Frecuencia</w:t>
      </w:r>
      <w:r>
        <w:rPr>
          <w:b/>
          <w:spacing w:val="-2"/>
          <w:sz w:val="24"/>
        </w:rPr>
        <w:t> </w:t>
      </w:r>
      <w:r>
        <w:rPr>
          <w:b/>
          <w:sz w:val="24"/>
        </w:rPr>
        <w:t>cardíaca:</w:t>
      </w:r>
      <w:r>
        <w:rPr>
          <w:b/>
          <w:spacing w:val="2"/>
          <w:sz w:val="24"/>
        </w:rPr>
        <w:t> </w:t>
      </w:r>
      <w:r>
        <w:rPr>
          <w:sz w:val="24"/>
        </w:rPr>
        <w:t>Número</w:t>
      </w:r>
      <w:r>
        <w:rPr>
          <w:spacing w:val="-1"/>
          <w:sz w:val="24"/>
        </w:rPr>
        <w:t> </w:t>
      </w:r>
      <w:r>
        <w:rPr>
          <w:sz w:val="24"/>
        </w:rPr>
        <w:t>de</w:t>
      </w:r>
      <w:r>
        <w:rPr>
          <w:spacing w:val="-1"/>
          <w:sz w:val="24"/>
        </w:rPr>
        <w:t> </w:t>
      </w:r>
      <w:r>
        <w:rPr>
          <w:sz w:val="24"/>
        </w:rPr>
        <w:t>latidos</w:t>
      </w:r>
      <w:r>
        <w:rPr>
          <w:spacing w:val="-7"/>
          <w:sz w:val="24"/>
        </w:rPr>
        <w:t> </w:t>
      </w:r>
      <w:r>
        <w:rPr>
          <w:sz w:val="24"/>
        </w:rPr>
        <w:t>del corazón</w:t>
      </w:r>
      <w:r>
        <w:rPr>
          <w:spacing w:val="-1"/>
          <w:sz w:val="24"/>
        </w:rPr>
        <w:t> </w:t>
      </w:r>
      <w:r>
        <w:rPr>
          <w:sz w:val="24"/>
        </w:rPr>
        <w:t>por</w:t>
      </w:r>
      <w:r>
        <w:rPr>
          <w:spacing w:val="-1"/>
          <w:sz w:val="24"/>
        </w:rPr>
        <w:t> </w:t>
      </w:r>
      <w:r>
        <w:rPr>
          <w:spacing w:val="-2"/>
          <w:sz w:val="24"/>
        </w:rPr>
        <w:t>minuto</w:t>
      </w:r>
    </w:p>
    <w:p>
      <w:pPr>
        <w:pStyle w:val="BodyText"/>
        <w:spacing w:before="239"/>
      </w:pPr>
    </w:p>
    <w:p>
      <w:pPr>
        <w:pStyle w:val="ListParagraph"/>
        <w:numPr>
          <w:ilvl w:val="0"/>
          <w:numId w:val="12"/>
        </w:numPr>
        <w:tabs>
          <w:tab w:pos="1277" w:val="left" w:leader="none"/>
        </w:tabs>
        <w:spacing w:line="240" w:lineRule="auto" w:before="0" w:after="0"/>
        <w:ind w:left="1277" w:right="0" w:hanging="284"/>
        <w:jc w:val="left"/>
        <w:rPr>
          <w:sz w:val="24"/>
        </w:rPr>
      </w:pPr>
      <w:r>
        <w:rPr>
          <w:b/>
          <w:sz w:val="24"/>
        </w:rPr>
        <w:t>Gasto</w:t>
      </w:r>
      <w:r>
        <w:rPr>
          <w:b/>
          <w:spacing w:val="-1"/>
          <w:sz w:val="24"/>
        </w:rPr>
        <w:t> </w:t>
      </w:r>
      <w:r>
        <w:rPr>
          <w:b/>
          <w:sz w:val="24"/>
        </w:rPr>
        <w:t>cardíaco: </w:t>
      </w:r>
      <w:r>
        <w:rPr>
          <w:sz w:val="24"/>
        </w:rPr>
        <w:t>Volumen</w:t>
      </w:r>
      <w:r>
        <w:rPr>
          <w:spacing w:val="-1"/>
          <w:sz w:val="24"/>
        </w:rPr>
        <w:t> </w:t>
      </w:r>
      <w:r>
        <w:rPr>
          <w:sz w:val="24"/>
        </w:rPr>
        <w:t>de sangre expulsado</w:t>
      </w:r>
      <w:r>
        <w:rPr>
          <w:spacing w:val="-1"/>
          <w:sz w:val="24"/>
        </w:rPr>
        <w:t> </w:t>
      </w:r>
      <w:r>
        <w:rPr>
          <w:sz w:val="24"/>
        </w:rPr>
        <w:t>por</w:t>
      </w:r>
      <w:r>
        <w:rPr>
          <w:spacing w:val="-1"/>
          <w:sz w:val="24"/>
        </w:rPr>
        <w:t> </w:t>
      </w:r>
      <w:r>
        <w:rPr>
          <w:sz w:val="24"/>
        </w:rPr>
        <w:t>el corazón</w:t>
      </w:r>
      <w:r>
        <w:rPr>
          <w:spacing w:val="-5"/>
          <w:sz w:val="24"/>
        </w:rPr>
        <w:t> </w:t>
      </w:r>
      <w:r>
        <w:rPr>
          <w:sz w:val="24"/>
        </w:rPr>
        <w:t>en</w:t>
      </w:r>
      <w:r>
        <w:rPr>
          <w:spacing w:val="-1"/>
          <w:sz w:val="24"/>
        </w:rPr>
        <w:t> </w:t>
      </w:r>
      <w:r>
        <w:rPr>
          <w:sz w:val="24"/>
        </w:rPr>
        <w:t>un</w:t>
      </w:r>
      <w:r>
        <w:rPr>
          <w:spacing w:val="-1"/>
          <w:sz w:val="24"/>
        </w:rPr>
        <w:t> </w:t>
      </w:r>
      <w:r>
        <w:rPr>
          <w:spacing w:val="-2"/>
          <w:sz w:val="24"/>
        </w:rPr>
        <w:t>minuto</w:t>
      </w:r>
    </w:p>
    <w:p>
      <w:pPr>
        <w:pStyle w:val="BodyText"/>
        <w:spacing w:before="237"/>
      </w:pPr>
    </w:p>
    <w:p>
      <w:pPr>
        <w:pStyle w:val="Heading3"/>
        <w:numPr>
          <w:ilvl w:val="0"/>
          <w:numId w:val="12"/>
        </w:numPr>
        <w:tabs>
          <w:tab w:pos="1278" w:val="left" w:leader="none"/>
        </w:tabs>
        <w:spacing w:line="468" w:lineRule="auto" w:before="1" w:after="0"/>
        <w:ind w:left="1278" w:right="1287" w:hanging="285"/>
        <w:jc w:val="both"/>
        <w:rPr>
          <w:b w:val="0"/>
        </w:rPr>
      </w:pPr>
      <w:r>
        <w:rPr/>
        <w:t>Hemodinámica:</w:t>
      </w:r>
      <w:r>
        <w:rPr>
          <w:spacing w:val="-1"/>
        </w:rPr>
        <w:t> </w:t>
      </w:r>
      <w:r>
        <w:rPr/>
        <w:t>Estudio</w:t>
      </w:r>
      <w:r>
        <w:rPr>
          <w:spacing w:val="-1"/>
        </w:rPr>
        <w:t> </w:t>
      </w:r>
      <w:r>
        <w:rPr/>
        <w:t>del movimiento</w:t>
      </w:r>
      <w:r>
        <w:rPr>
          <w:spacing w:val="-1"/>
        </w:rPr>
        <w:t> </w:t>
      </w:r>
      <w:r>
        <w:rPr/>
        <w:t>de la</w:t>
      </w:r>
      <w:r>
        <w:rPr>
          <w:spacing w:val="-1"/>
        </w:rPr>
        <w:t> </w:t>
      </w:r>
      <w:r>
        <w:rPr/>
        <w:t>sangre y</w:t>
      </w:r>
      <w:r>
        <w:rPr>
          <w:spacing w:val="-5"/>
        </w:rPr>
        <w:t> </w:t>
      </w:r>
      <w:r>
        <w:rPr/>
        <w:t>de las</w:t>
      </w:r>
      <w:r>
        <w:rPr>
          <w:spacing w:val="-2"/>
        </w:rPr>
        <w:t> </w:t>
      </w:r>
      <w:r>
        <w:rPr/>
        <w:t>fuerzas</w:t>
      </w:r>
      <w:r>
        <w:rPr>
          <w:spacing w:val="-2"/>
        </w:rPr>
        <w:t> </w:t>
      </w:r>
      <w:r>
        <w:rPr/>
        <w:t>que intervienen </w:t>
      </w:r>
      <w:r>
        <w:rPr>
          <w:b w:val="0"/>
        </w:rPr>
        <w:t>en la circulación</w:t>
      </w:r>
    </w:p>
    <w:p>
      <w:pPr>
        <w:pStyle w:val="ListParagraph"/>
        <w:numPr>
          <w:ilvl w:val="0"/>
          <w:numId w:val="12"/>
        </w:numPr>
        <w:tabs>
          <w:tab w:pos="1278" w:val="left" w:leader="none"/>
        </w:tabs>
        <w:spacing w:line="465" w:lineRule="auto" w:before="253" w:after="0"/>
        <w:ind w:left="1278" w:right="1280" w:hanging="285"/>
        <w:jc w:val="both"/>
        <w:rPr>
          <w:sz w:val="24"/>
        </w:rPr>
      </w:pPr>
      <w:r>
        <w:rPr>
          <w:b/>
          <w:sz w:val="24"/>
        </w:rPr>
        <w:t>Hipertensión: </w:t>
      </w:r>
      <w:r>
        <w:rPr>
          <w:sz w:val="24"/>
        </w:rPr>
        <w:t>Elevación de la presión arterial por encima de los valores </w:t>
      </w:r>
      <w:r>
        <w:rPr>
          <w:spacing w:val="-2"/>
          <w:sz w:val="24"/>
        </w:rPr>
        <w:t>normales</w:t>
      </w:r>
    </w:p>
    <w:p>
      <w:pPr>
        <w:pStyle w:val="ListParagraph"/>
        <w:numPr>
          <w:ilvl w:val="0"/>
          <w:numId w:val="12"/>
        </w:numPr>
        <w:tabs>
          <w:tab w:pos="1278" w:val="left" w:leader="none"/>
        </w:tabs>
        <w:spacing w:line="465" w:lineRule="auto" w:before="254" w:after="0"/>
        <w:ind w:left="1278" w:right="1284" w:hanging="285"/>
        <w:jc w:val="both"/>
        <w:rPr>
          <w:sz w:val="24"/>
        </w:rPr>
      </w:pPr>
      <w:r>
        <w:rPr>
          <w:b/>
          <w:sz w:val="24"/>
        </w:rPr>
        <w:t>Hipotensión: </w:t>
      </w:r>
      <w:r>
        <w:rPr>
          <w:sz w:val="24"/>
        </w:rPr>
        <w:t>Disminución de la presión arterial por debajo de los valores </w:t>
      </w:r>
      <w:r>
        <w:rPr>
          <w:spacing w:val="-2"/>
          <w:sz w:val="24"/>
        </w:rPr>
        <w:t>normales</w:t>
      </w:r>
    </w:p>
    <w:p>
      <w:pPr>
        <w:pStyle w:val="ListParagraph"/>
        <w:numPr>
          <w:ilvl w:val="0"/>
          <w:numId w:val="12"/>
        </w:numPr>
        <w:tabs>
          <w:tab w:pos="1278" w:val="left" w:leader="none"/>
        </w:tabs>
        <w:spacing w:line="475" w:lineRule="auto" w:before="254" w:after="0"/>
        <w:ind w:left="1278" w:right="1287" w:hanging="285"/>
        <w:jc w:val="both"/>
        <w:rPr>
          <w:sz w:val="24"/>
        </w:rPr>
      </w:pPr>
      <w:r>
        <w:rPr>
          <w:b/>
          <w:sz w:val="24"/>
        </w:rPr>
        <w:t>Ketamina: </w:t>
      </w:r>
      <w:r>
        <w:rPr>
          <w:sz w:val="24"/>
        </w:rPr>
        <w:t>Anestésico disociativo que proporciona analgesia y anestesia general,</w:t>
      </w:r>
      <w:r>
        <w:rPr>
          <w:spacing w:val="-9"/>
          <w:sz w:val="24"/>
        </w:rPr>
        <w:t> </w:t>
      </w:r>
      <w:r>
        <w:rPr>
          <w:sz w:val="24"/>
        </w:rPr>
        <w:t>con</w:t>
      </w:r>
      <w:r>
        <w:rPr>
          <w:spacing w:val="-9"/>
          <w:sz w:val="24"/>
        </w:rPr>
        <w:t> </w:t>
      </w:r>
      <w:r>
        <w:rPr>
          <w:sz w:val="24"/>
        </w:rPr>
        <w:t>efectos</w:t>
      </w:r>
      <w:r>
        <w:rPr>
          <w:spacing w:val="-6"/>
          <w:sz w:val="24"/>
        </w:rPr>
        <w:t> </w:t>
      </w:r>
      <w:r>
        <w:rPr>
          <w:sz w:val="24"/>
        </w:rPr>
        <w:t>estimulantes</w:t>
      </w:r>
      <w:r>
        <w:rPr>
          <w:spacing w:val="-6"/>
          <w:sz w:val="24"/>
        </w:rPr>
        <w:t> </w:t>
      </w:r>
      <w:r>
        <w:rPr>
          <w:sz w:val="24"/>
        </w:rPr>
        <w:t>sobre</w:t>
      </w:r>
      <w:r>
        <w:rPr>
          <w:spacing w:val="-7"/>
          <w:sz w:val="24"/>
        </w:rPr>
        <w:t> </w:t>
      </w:r>
      <w:r>
        <w:rPr>
          <w:sz w:val="24"/>
        </w:rPr>
        <w:t>el</w:t>
      </w:r>
      <w:r>
        <w:rPr>
          <w:spacing w:val="-11"/>
          <w:sz w:val="24"/>
        </w:rPr>
        <w:t> </w:t>
      </w:r>
      <w:r>
        <w:rPr>
          <w:sz w:val="24"/>
        </w:rPr>
        <w:t>sistema</w:t>
      </w:r>
      <w:r>
        <w:rPr>
          <w:spacing w:val="-7"/>
          <w:sz w:val="24"/>
        </w:rPr>
        <w:t> </w:t>
      </w:r>
      <w:r>
        <w:rPr>
          <w:sz w:val="24"/>
        </w:rPr>
        <w:t>cardiovascular,</w:t>
      </w:r>
      <w:r>
        <w:rPr>
          <w:spacing w:val="-4"/>
          <w:sz w:val="24"/>
        </w:rPr>
        <w:t> </w:t>
      </w:r>
      <w:r>
        <w:rPr>
          <w:sz w:val="24"/>
        </w:rPr>
        <w:t>aumentando la frecuencia cardíaca y la presión arterial</w:t>
      </w:r>
    </w:p>
    <w:p>
      <w:pPr>
        <w:pStyle w:val="ListParagraph"/>
        <w:numPr>
          <w:ilvl w:val="0"/>
          <w:numId w:val="12"/>
        </w:numPr>
        <w:tabs>
          <w:tab w:pos="1278" w:val="left" w:leader="none"/>
        </w:tabs>
        <w:spacing w:line="472" w:lineRule="auto" w:before="242" w:after="0"/>
        <w:ind w:left="1278" w:right="1284" w:hanging="285"/>
        <w:jc w:val="both"/>
        <w:rPr>
          <w:sz w:val="24"/>
        </w:rPr>
      </w:pPr>
      <w:r>
        <w:rPr>
          <w:b/>
          <w:sz w:val="24"/>
        </w:rPr>
        <w:t>Midazolam: </w:t>
      </w:r>
      <w:r>
        <w:rPr>
          <w:sz w:val="24"/>
        </w:rPr>
        <w:t>Benzodiacepina de acción corta usada como sedante, ansiolítico y amnésico en anestesia; puede causar efectos hemodinámicos leves, como disminución de la presión arterial</w:t>
      </w:r>
    </w:p>
    <w:p>
      <w:pPr>
        <w:pStyle w:val="ListParagraph"/>
        <w:numPr>
          <w:ilvl w:val="0"/>
          <w:numId w:val="12"/>
        </w:numPr>
        <w:tabs>
          <w:tab w:pos="1277" w:val="left" w:leader="none"/>
        </w:tabs>
        <w:spacing w:line="240" w:lineRule="auto" w:before="246" w:after="0"/>
        <w:ind w:left="1277" w:right="0" w:hanging="284"/>
        <w:jc w:val="both"/>
        <w:rPr>
          <w:sz w:val="24"/>
        </w:rPr>
      </w:pPr>
      <w:r>
        <w:rPr>
          <w:b/>
          <w:sz w:val="24"/>
        </w:rPr>
        <w:t>Monitorización</w:t>
      </w:r>
      <w:r>
        <w:rPr>
          <w:b/>
          <w:spacing w:val="17"/>
          <w:sz w:val="24"/>
        </w:rPr>
        <w:t> </w:t>
      </w:r>
      <w:r>
        <w:rPr>
          <w:b/>
          <w:sz w:val="24"/>
        </w:rPr>
        <w:t>anestésica</w:t>
      </w:r>
      <w:r>
        <w:rPr>
          <w:sz w:val="24"/>
        </w:rPr>
        <w:t>:</w:t>
      </w:r>
      <w:r>
        <w:rPr>
          <w:spacing w:val="19"/>
          <w:sz w:val="24"/>
        </w:rPr>
        <w:t> </w:t>
      </w:r>
      <w:r>
        <w:rPr>
          <w:sz w:val="24"/>
        </w:rPr>
        <w:t>Vigilancia</w:t>
      </w:r>
      <w:r>
        <w:rPr>
          <w:spacing w:val="19"/>
          <w:sz w:val="24"/>
        </w:rPr>
        <w:t> </w:t>
      </w:r>
      <w:r>
        <w:rPr>
          <w:sz w:val="24"/>
        </w:rPr>
        <w:t>continua</w:t>
      </w:r>
      <w:r>
        <w:rPr>
          <w:spacing w:val="19"/>
          <w:sz w:val="24"/>
        </w:rPr>
        <w:t> </w:t>
      </w:r>
      <w:r>
        <w:rPr>
          <w:sz w:val="24"/>
        </w:rPr>
        <w:t>de</w:t>
      </w:r>
      <w:r>
        <w:rPr>
          <w:spacing w:val="19"/>
          <w:sz w:val="24"/>
        </w:rPr>
        <w:t> </w:t>
      </w:r>
      <w:r>
        <w:rPr>
          <w:sz w:val="24"/>
        </w:rPr>
        <w:t>signos</w:t>
      </w:r>
      <w:r>
        <w:rPr>
          <w:spacing w:val="17"/>
          <w:sz w:val="24"/>
        </w:rPr>
        <w:t> </w:t>
      </w:r>
      <w:r>
        <w:rPr>
          <w:sz w:val="24"/>
        </w:rPr>
        <w:t>vitales</w:t>
      </w:r>
      <w:r>
        <w:rPr>
          <w:spacing w:val="17"/>
          <w:sz w:val="24"/>
        </w:rPr>
        <w:t> </w:t>
      </w:r>
      <w:r>
        <w:rPr>
          <w:sz w:val="24"/>
        </w:rPr>
        <w:t>durante</w:t>
      </w:r>
      <w:r>
        <w:rPr>
          <w:spacing w:val="20"/>
          <w:sz w:val="24"/>
        </w:rPr>
        <w:t> </w:t>
      </w:r>
      <w:r>
        <w:rPr>
          <w:spacing w:val="-5"/>
          <w:sz w:val="24"/>
        </w:rPr>
        <w:t>el</w:t>
      </w:r>
    </w:p>
    <w:p>
      <w:pPr>
        <w:pStyle w:val="ListParagraph"/>
        <w:spacing w:after="0" w:line="240" w:lineRule="auto"/>
        <w:jc w:val="both"/>
        <w:rPr>
          <w:sz w:val="24"/>
        </w:rPr>
        <w:sectPr>
          <w:footerReference w:type="default" r:id="rId74"/>
          <w:pgSz w:w="11910" w:h="16840"/>
          <w:pgMar w:header="0" w:footer="0" w:top="1620" w:bottom="280" w:left="1275" w:right="566"/>
        </w:sectPr>
      </w:pPr>
    </w:p>
    <w:p>
      <w:pPr>
        <w:pStyle w:val="BodyText"/>
        <w:spacing w:before="64"/>
        <w:ind w:left="1278"/>
      </w:pPr>
      <w:r>
        <w:rPr/>
        <w:t>procedimiento</w:t>
      </w:r>
      <w:r>
        <w:rPr>
          <w:spacing w:val="-2"/>
        </w:rPr>
        <w:t> anestésico</w:t>
      </w:r>
    </w:p>
    <w:p>
      <w:pPr>
        <w:pStyle w:val="BodyText"/>
        <w:spacing w:before="239"/>
      </w:pPr>
    </w:p>
    <w:p>
      <w:pPr>
        <w:pStyle w:val="ListParagraph"/>
        <w:numPr>
          <w:ilvl w:val="0"/>
          <w:numId w:val="12"/>
        </w:numPr>
        <w:tabs>
          <w:tab w:pos="1278" w:val="left" w:leader="none"/>
        </w:tabs>
        <w:spacing w:line="468" w:lineRule="auto" w:before="0" w:after="0"/>
        <w:ind w:left="1278" w:right="1287" w:hanging="285"/>
        <w:jc w:val="left"/>
        <w:rPr>
          <w:sz w:val="24"/>
        </w:rPr>
      </w:pPr>
      <w:r>
        <w:rPr>
          <w:b/>
          <w:sz w:val="24"/>
        </w:rPr>
        <w:t>Opioide:</w:t>
      </w:r>
      <w:r>
        <w:rPr>
          <w:b/>
          <w:spacing w:val="32"/>
          <w:sz w:val="24"/>
        </w:rPr>
        <w:t> </w:t>
      </w:r>
      <w:r>
        <w:rPr>
          <w:sz w:val="24"/>
        </w:rPr>
        <w:t>Fármaco con</w:t>
      </w:r>
      <w:r>
        <w:rPr>
          <w:spacing w:val="30"/>
          <w:sz w:val="24"/>
        </w:rPr>
        <w:t> </w:t>
      </w:r>
      <w:r>
        <w:rPr>
          <w:sz w:val="24"/>
        </w:rPr>
        <w:t>acción analgésica</w:t>
      </w:r>
      <w:r>
        <w:rPr>
          <w:spacing w:val="29"/>
          <w:sz w:val="24"/>
        </w:rPr>
        <w:t> </w:t>
      </w:r>
      <w:r>
        <w:rPr>
          <w:sz w:val="24"/>
        </w:rPr>
        <w:t>potente</w:t>
      </w:r>
      <w:r>
        <w:rPr>
          <w:spacing w:val="32"/>
          <w:sz w:val="24"/>
        </w:rPr>
        <w:t> </w:t>
      </w:r>
      <w:r>
        <w:rPr>
          <w:sz w:val="24"/>
        </w:rPr>
        <w:t>sobre el</w:t>
      </w:r>
      <w:r>
        <w:rPr>
          <w:spacing w:val="31"/>
          <w:sz w:val="24"/>
        </w:rPr>
        <w:t> </w:t>
      </w:r>
      <w:r>
        <w:rPr>
          <w:sz w:val="24"/>
        </w:rPr>
        <w:t>sistema</w:t>
      </w:r>
      <w:r>
        <w:rPr>
          <w:spacing w:val="32"/>
          <w:sz w:val="24"/>
        </w:rPr>
        <w:t> </w:t>
      </w:r>
      <w:r>
        <w:rPr>
          <w:sz w:val="24"/>
        </w:rPr>
        <w:t>nervioso </w:t>
      </w:r>
      <w:r>
        <w:rPr>
          <w:spacing w:val="-2"/>
          <w:sz w:val="24"/>
        </w:rPr>
        <w:t>central</w:t>
      </w:r>
    </w:p>
    <w:p>
      <w:pPr>
        <w:pStyle w:val="ListParagraph"/>
        <w:numPr>
          <w:ilvl w:val="0"/>
          <w:numId w:val="12"/>
        </w:numPr>
        <w:tabs>
          <w:tab w:pos="1277" w:val="left" w:leader="none"/>
        </w:tabs>
        <w:spacing w:line="240" w:lineRule="auto" w:before="253" w:after="0"/>
        <w:ind w:left="1277" w:right="0" w:hanging="284"/>
        <w:jc w:val="left"/>
        <w:rPr>
          <w:sz w:val="24"/>
        </w:rPr>
      </w:pPr>
      <w:r>
        <w:rPr>
          <w:b/>
          <w:sz w:val="24"/>
        </w:rPr>
        <w:t>Perfusión</w:t>
      </w:r>
      <w:r>
        <w:rPr>
          <w:b/>
          <w:spacing w:val="-4"/>
          <w:sz w:val="24"/>
        </w:rPr>
        <w:t> </w:t>
      </w:r>
      <w:r>
        <w:rPr>
          <w:b/>
          <w:sz w:val="24"/>
        </w:rPr>
        <w:t>tisular:</w:t>
      </w:r>
      <w:r>
        <w:rPr>
          <w:b/>
          <w:spacing w:val="1"/>
          <w:sz w:val="24"/>
        </w:rPr>
        <w:t> </w:t>
      </w:r>
      <w:r>
        <w:rPr>
          <w:sz w:val="24"/>
        </w:rPr>
        <w:t>Aporte de sangre</w:t>
      </w:r>
      <w:r>
        <w:rPr>
          <w:spacing w:val="-1"/>
          <w:sz w:val="24"/>
        </w:rPr>
        <w:t> </w:t>
      </w:r>
      <w:r>
        <w:rPr>
          <w:sz w:val="24"/>
        </w:rPr>
        <w:t>y</w:t>
      </w:r>
      <w:r>
        <w:rPr>
          <w:spacing w:val="-1"/>
          <w:sz w:val="24"/>
        </w:rPr>
        <w:t> </w:t>
      </w:r>
      <w:r>
        <w:rPr>
          <w:sz w:val="24"/>
        </w:rPr>
        <w:t>oxígeno</w:t>
      </w:r>
      <w:r>
        <w:rPr>
          <w:spacing w:val="-1"/>
          <w:sz w:val="24"/>
        </w:rPr>
        <w:t> </w:t>
      </w:r>
      <w:r>
        <w:rPr>
          <w:sz w:val="24"/>
        </w:rPr>
        <w:t>a los</w:t>
      </w:r>
      <w:r>
        <w:rPr>
          <w:spacing w:val="-3"/>
          <w:sz w:val="24"/>
        </w:rPr>
        <w:t> </w:t>
      </w:r>
      <w:r>
        <w:rPr>
          <w:spacing w:val="-2"/>
          <w:sz w:val="24"/>
        </w:rPr>
        <w:t>tejidos.</w:t>
      </w:r>
    </w:p>
    <w:p>
      <w:pPr>
        <w:pStyle w:val="BodyText"/>
        <w:spacing w:before="238"/>
      </w:pPr>
    </w:p>
    <w:p>
      <w:pPr>
        <w:pStyle w:val="ListParagraph"/>
        <w:numPr>
          <w:ilvl w:val="0"/>
          <w:numId w:val="12"/>
        </w:numPr>
        <w:tabs>
          <w:tab w:pos="1278" w:val="left" w:leader="none"/>
        </w:tabs>
        <w:spacing w:line="465" w:lineRule="auto" w:before="0" w:after="0"/>
        <w:ind w:left="1278" w:right="1285" w:hanging="285"/>
        <w:jc w:val="left"/>
        <w:rPr>
          <w:sz w:val="24"/>
        </w:rPr>
      </w:pPr>
      <w:r>
        <w:rPr>
          <w:b/>
          <w:sz w:val="24"/>
        </w:rPr>
        <w:t>Presión arterial diastólica: </w:t>
      </w:r>
      <w:r>
        <w:rPr>
          <w:sz w:val="24"/>
        </w:rPr>
        <w:t>Presión mínima registrada durante la relajación </w:t>
      </w:r>
      <w:r>
        <w:rPr>
          <w:spacing w:val="-2"/>
          <w:sz w:val="24"/>
        </w:rPr>
        <w:t>cardíaca</w:t>
      </w:r>
    </w:p>
    <w:p>
      <w:pPr>
        <w:pStyle w:val="ListParagraph"/>
        <w:numPr>
          <w:ilvl w:val="0"/>
          <w:numId w:val="12"/>
        </w:numPr>
        <w:tabs>
          <w:tab w:pos="1278" w:val="left" w:leader="none"/>
        </w:tabs>
        <w:spacing w:line="465" w:lineRule="auto" w:before="255" w:after="0"/>
        <w:ind w:left="1278" w:right="1285" w:hanging="285"/>
        <w:jc w:val="left"/>
        <w:rPr>
          <w:sz w:val="24"/>
        </w:rPr>
      </w:pPr>
      <w:r>
        <w:rPr>
          <w:b/>
          <w:sz w:val="24"/>
        </w:rPr>
        <w:t>Presión arterial media: </w:t>
      </w:r>
      <w:r>
        <w:rPr>
          <w:sz w:val="24"/>
        </w:rPr>
        <w:t>Valor promedio de presión que permite evaluar la</w:t>
      </w:r>
      <w:r>
        <w:rPr>
          <w:spacing w:val="80"/>
          <w:sz w:val="24"/>
        </w:rPr>
        <w:t> </w:t>
      </w:r>
      <w:r>
        <w:rPr>
          <w:sz w:val="24"/>
        </w:rPr>
        <w:t>perfusión tisular</w:t>
      </w:r>
    </w:p>
    <w:p>
      <w:pPr>
        <w:pStyle w:val="ListParagraph"/>
        <w:numPr>
          <w:ilvl w:val="0"/>
          <w:numId w:val="12"/>
        </w:numPr>
        <w:tabs>
          <w:tab w:pos="1278" w:val="left" w:leader="none"/>
        </w:tabs>
        <w:spacing w:line="468" w:lineRule="auto" w:before="254" w:after="0"/>
        <w:ind w:left="1278" w:right="1279" w:hanging="285"/>
        <w:jc w:val="left"/>
        <w:rPr>
          <w:sz w:val="24"/>
        </w:rPr>
      </w:pPr>
      <w:r>
        <w:rPr>
          <w:b/>
          <w:sz w:val="24"/>
        </w:rPr>
        <w:t>Presión arterial sistólica: </w:t>
      </w:r>
      <w:r>
        <w:rPr>
          <w:sz w:val="24"/>
        </w:rPr>
        <w:t>Presión máxima generada durante la contracción </w:t>
      </w:r>
      <w:r>
        <w:rPr>
          <w:spacing w:val="-2"/>
          <w:sz w:val="24"/>
        </w:rPr>
        <w:t>cardíaca</w:t>
      </w:r>
    </w:p>
    <w:p>
      <w:pPr>
        <w:pStyle w:val="ListParagraph"/>
        <w:numPr>
          <w:ilvl w:val="0"/>
          <w:numId w:val="12"/>
        </w:numPr>
        <w:tabs>
          <w:tab w:pos="1278" w:val="left" w:leader="none"/>
        </w:tabs>
        <w:spacing w:line="465" w:lineRule="auto" w:before="253" w:after="0"/>
        <w:ind w:left="1278" w:right="1288" w:hanging="285"/>
        <w:jc w:val="left"/>
        <w:rPr>
          <w:sz w:val="24"/>
        </w:rPr>
      </w:pPr>
      <w:r>
        <w:rPr>
          <w:b/>
          <w:sz w:val="24"/>
        </w:rPr>
        <w:t>Presión arterial: </w:t>
      </w:r>
      <w:r>
        <w:rPr>
          <w:sz w:val="24"/>
        </w:rPr>
        <w:t>Fuerza ejercida por la sangre sobre las paredes de los vasos </w:t>
      </w:r>
      <w:r>
        <w:rPr>
          <w:spacing w:val="-2"/>
          <w:sz w:val="24"/>
        </w:rPr>
        <w:t>sanguíneos</w:t>
      </w:r>
    </w:p>
    <w:p>
      <w:pPr>
        <w:pStyle w:val="ListParagraph"/>
        <w:numPr>
          <w:ilvl w:val="0"/>
          <w:numId w:val="12"/>
        </w:numPr>
        <w:tabs>
          <w:tab w:pos="1278" w:val="left" w:leader="none"/>
        </w:tabs>
        <w:spacing w:line="465" w:lineRule="auto" w:before="255" w:after="0"/>
        <w:ind w:left="1278" w:right="1279" w:hanging="285"/>
        <w:jc w:val="left"/>
        <w:rPr>
          <w:sz w:val="24"/>
        </w:rPr>
      </w:pPr>
      <w:r>
        <w:rPr>
          <w:b/>
          <w:sz w:val="24"/>
        </w:rPr>
        <w:t>Receptor</w:t>
      </w:r>
      <w:r>
        <w:rPr>
          <w:b/>
          <w:spacing w:val="80"/>
          <w:sz w:val="24"/>
        </w:rPr>
        <w:t> </w:t>
      </w:r>
      <w:r>
        <w:rPr>
          <w:b/>
          <w:sz w:val="24"/>
        </w:rPr>
        <w:t>alfa-2</w:t>
      </w:r>
      <w:r>
        <w:rPr>
          <w:b/>
          <w:spacing w:val="40"/>
          <w:sz w:val="24"/>
        </w:rPr>
        <w:t> </w:t>
      </w:r>
      <w:r>
        <w:rPr>
          <w:b/>
          <w:sz w:val="24"/>
        </w:rPr>
        <w:t>adrenérgico:</w:t>
      </w:r>
      <w:r>
        <w:rPr>
          <w:b/>
          <w:spacing w:val="80"/>
          <w:sz w:val="24"/>
        </w:rPr>
        <w:t> </w:t>
      </w:r>
      <w:r>
        <w:rPr>
          <w:sz w:val="24"/>
        </w:rPr>
        <w:t>Receptor</w:t>
      </w:r>
      <w:r>
        <w:rPr>
          <w:spacing w:val="40"/>
          <w:sz w:val="24"/>
        </w:rPr>
        <w:t> </w:t>
      </w:r>
      <w:r>
        <w:rPr>
          <w:sz w:val="24"/>
        </w:rPr>
        <w:t>del</w:t>
      </w:r>
      <w:r>
        <w:rPr>
          <w:spacing w:val="80"/>
          <w:sz w:val="24"/>
        </w:rPr>
        <w:t> </w:t>
      </w:r>
      <w:r>
        <w:rPr>
          <w:sz w:val="24"/>
        </w:rPr>
        <w:t>sistema</w:t>
      </w:r>
      <w:r>
        <w:rPr>
          <w:spacing w:val="80"/>
          <w:sz w:val="24"/>
        </w:rPr>
        <w:t> </w:t>
      </w:r>
      <w:r>
        <w:rPr>
          <w:sz w:val="24"/>
        </w:rPr>
        <w:t>nervioso</w:t>
      </w:r>
      <w:r>
        <w:rPr>
          <w:spacing w:val="40"/>
          <w:sz w:val="24"/>
        </w:rPr>
        <w:t> </w:t>
      </w:r>
      <w:r>
        <w:rPr>
          <w:sz w:val="24"/>
        </w:rPr>
        <w:t>simpático relacionado con sedación, analgesia y control cardiovascular</w:t>
      </w:r>
    </w:p>
    <w:p>
      <w:pPr>
        <w:pStyle w:val="ListParagraph"/>
        <w:numPr>
          <w:ilvl w:val="0"/>
          <w:numId w:val="12"/>
        </w:numPr>
        <w:tabs>
          <w:tab w:pos="1278" w:val="left" w:leader="none"/>
        </w:tabs>
        <w:spacing w:line="468" w:lineRule="auto" w:before="254" w:after="0"/>
        <w:ind w:left="1278" w:right="1283" w:hanging="285"/>
        <w:jc w:val="left"/>
        <w:rPr>
          <w:sz w:val="24"/>
        </w:rPr>
      </w:pPr>
      <w:r>
        <w:rPr>
          <w:b/>
          <w:sz w:val="24"/>
        </w:rPr>
        <w:t>Recuperación</w:t>
      </w:r>
      <w:r>
        <w:rPr>
          <w:b/>
          <w:spacing w:val="30"/>
          <w:sz w:val="24"/>
        </w:rPr>
        <w:t> </w:t>
      </w:r>
      <w:r>
        <w:rPr>
          <w:b/>
          <w:sz w:val="24"/>
        </w:rPr>
        <w:t>anestésica:</w:t>
      </w:r>
      <w:r>
        <w:rPr>
          <w:b/>
          <w:spacing w:val="31"/>
          <w:sz w:val="24"/>
        </w:rPr>
        <w:t> </w:t>
      </w:r>
      <w:r>
        <w:rPr>
          <w:sz w:val="24"/>
        </w:rPr>
        <w:t>Proceso</w:t>
      </w:r>
      <w:r>
        <w:rPr>
          <w:spacing w:val="31"/>
          <w:sz w:val="24"/>
        </w:rPr>
        <w:t> </w:t>
      </w:r>
      <w:r>
        <w:rPr>
          <w:sz w:val="24"/>
        </w:rPr>
        <w:t>de</w:t>
      </w:r>
      <w:r>
        <w:rPr>
          <w:spacing w:val="29"/>
          <w:sz w:val="24"/>
        </w:rPr>
        <w:t> </w:t>
      </w:r>
      <w:r>
        <w:rPr>
          <w:sz w:val="24"/>
        </w:rPr>
        <w:t>retorno</w:t>
      </w:r>
      <w:r>
        <w:rPr>
          <w:spacing w:val="31"/>
          <w:sz w:val="24"/>
        </w:rPr>
        <w:t> </w:t>
      </w:r>
      <w:r>
        <w:rPr>
          <w:sz w:val="24"/>
        </w:rPr>
        <w:t>progresivo a</w:t>
      </w:r>
      <w:r>
        <w:rPr>
          <w:spacing w:val="33"/>
          <w:sz w:val="24"/>
        </w:rPr>
        <w:t> </w:t>
      </w:r>
      <w:r>
        <w:rPr>
          <w:sz w:val="24"/>
        </w:rPr>
        <w:t>la</w:t>
      </w:r>
      <w:r>
        <w:rPr>
          <w:spacing w:val="33"/>
          <w:sz w:val="24"/>
        </w:rPr>
        <w:t> </w:t>
      </w:r>
      <w:r>
        <w:rPr>
          <w:sz w:val="24"/>
        </w:rPr>
        <w:t>conciencia</w:t>
      </w:r>
      <w:r>
        <w:rPr>
          <w:spacing w:val="29"/>
          <w:sz w:val="24"/>
        </w:rPr>
        <w:t> </w:t>
      </w:r>
      <w:r>
        <w:rPr>
          <w:sz w:val="24"/>
        </w:rPr>
        <w:t>y estabilidad fisiológica tras la anestesia</w:t>
      </w:r>
    </w:p>
    <w:p>
      <w:pPr>
        <w:pStyle w:val="ListParagraph"/>
        <w:numPr>
          <w:ilvl w:val="0"/>
          <w:numId w:val="12"/>
        </w:numPr>
        <w:tabs>
          <w:tab w:pos="1278" w:val="left" w:leader="none"/>
        </w:tabs>
        <w:spacing w:line="465" w:lineRule="auto" w:before="253" w:after="0"/>
        <w:ind w:left="1278" w:right="1279" w:hanging="285"/>
        <w:jc w:val="left"/>
        <w:rPr>
          <w:sz w:val="24"/>
        </w:rPr>
      </w:pPr>
      <w:r>
        <w:rPr>
          <w:b/>
          <w:sz w:val="24"/>
        </w:rPr>
        <w:t>Resistencia</w:t>
      </w:r>
      <w:r>
        <w:rPr>
          <w:b/>
          <w:spacing w:val="-4"/>
          <w:sz w:val="24"/>
        </w:rPr>
        <w:t> </w:t>
      </w:r>
      <w:r>
        <w:rPr>
          <w:b/>
          <w:sz w:val="24"/>
        </w:rPr>
        <w:t>vascular</w:t>
      </w:r>
      <w:r>
        <w:rPr>
          <w:b/>
          <w:spacing w:val="-3"/>
          <w:sz w:val="24"/>
        </w:rPr>
        <w:t> </w:t>
      </w:r>
      <w:r>
        <w:rPr>
          <w:b/>
          <w:sz w:val="24"/>
        </w:rPr>
        <w:t>periférica:</w:t>
      </w:r>
      <w:r>
        <w:rPr>
          <w:b/>
          <w:spacing w:val="-1"/>
          <w:sz w:val="24"/>
        </w:rPr>
        <w:t> </w:t>
      </w:r>
      <w:r>
        <w:rPr>
          <w:sz w:val="24"/>
        </w:rPr>
        <w:t>Oposición</w:t>
      </w:r>
      <w:r>
        <w:rPr>
          <w:spacing w:val="-4"/>
          <w:sz w:val="24"/>
        </w:rPr>
        <w:t> </w:t>
      </w:r>
      <w:r>
        <w:rPr>
          <w:sz w:val="24"/>
        </w:rPr>
        <w:t>que</w:t>
      </w:r>
      <w:r>
        <w:rPr>
          <w:spacing w:val="-3"/>
          <w:sz w:val="24"/>
        </w:rPr>
        <w:t> </w:t>
      </w:r>
      <w:r>
        <w:rPr>
          <w:sz w:val="24"/>
        </w:rPr>
        <w:t>ofrecen</w:t>
      </w:r>
      <w:r>
        <w:rPr>
          <w:spacing w:val="-9"/>
          <w:sz w:val="24"/>
        </w:rPr>
        <w:t> </w:t>
      </w:r>
      <w:r>
        <w:rPr>
          <w:sz w:val="24"/>
        </w:rPr>
        <w:t>los</w:t>
      </w:r>
      <w:r>
        <w:rPr>
          <w:spacing w:val="-6"/>
          <w:sz w:val="24"/>
        </w:rPr>
        <w:t> </w:t>
      </w:r>
      <w:r>
        <w:rPr>
          <w:sz w:val="24"/>
        </w:rPr>
        <w:t>vasos</w:t>
      </w:r>
      <w:r>
        <w:rPr>
          <w:spacing w:val="-6"/>
          <w:sz w:val="24"/>
        </w:rPr>
        <w:t> </w:t>
      </w:r>
      <w:r>
        <w:rPr>
          <w:sz w:val="24"/>
        </w:rPr>
        <w:t>sanguíneos al flujo de sangre</w:t>
      </w:r>
    </w:p>
    <w:p>
      <w:pPr>
        <w:pStyle w:val="ListParagraph"/>
        <w:numPr>
          <w:ilvl w:val="0"/>
          <w:numId w:val="12"/>
        </w:numPr>
        <w:tabs>
          <w:tab w:pos="1278" w:val="left" w:leader="none"/>
        </w:tabs>
        <w:spacing w:line="465" w:lineRule="auto" w:before="254" w:after="0"/>
        <w:ind w:left="1278" w:right="1283" w:hanging="285"/>
        <w:jc w:val="left"/>
        <w:rPr>
          <w:sz w:val="24"/>
        </w:rPr>
      </w:pPr>
      <w:r>
        <w:rPr>
          <w:b/>
          <w:sz w:val="24"/>
        </w:rPr>
        <w:t>Saturación de oxígeno:</w:t>
      </w:r>
      <w:r>
        <w:rPr>
          <w:b/>
          <w:spacing w:val="29"/>
          <w:sz w:val="24"/>
        </w:rPr>
        <w:t> </w:t>
      </w:r>
      <w:r>
        <w:rPr>
          <w:sz w:val="24"/>
        </w:rPr>
        <w:t>Porcentaje de hemoglobina unida al oxígeno en la</w:t>
      </w:r>
      <w:r>
        <w:rPr>
          <w:spacing w:val="40"/>
          <w:sz w:val="24"/>
        </w:rPr>
        <w:t> </w:t>
      </w:r>
      <w:r>
        <w:rPr>
          <w:spacing w:val="-2"/>
          <w:sz w:val="24"/>
        </w:rPr>
        <w:t>sangre</w:t>
      </w:r>
    </w:p>
    <w:p>
      <w:pPr>
        <w:pStyle w:val="ListParagraph"/>
        <w:spacing w:after="0" w:line="465" w:lineRule="auto"/>
        <w:jc w:val="left"/>
        <w:rPr>
          <w:sz w:val="24"/>
        </w:rPr>
        <w:sectPr>
          <w:footerReference w:type="default" r:id="rId75"/>
          <w:pgSz w:w="11910" w:h="16840"/>
          <w:pgMar w:header="0" w:footer="0" w:top="1620" w:bottom="280" w:left="1275" w:right="566"/>
        </w:sectPr>
      </w:pPr>
    </w:p>
    <w:p>
      <w:pPr>
        <w:pStyle w:val="ListParagraph"/>
        <w:numPr>
          <w:ilvl w:val="0"/>
          <w:numId w:val="12"/>
        </w:numPr>
        <w:tabs>
          <w:tab w:pos="1277" w:val="left" w:leader="none"/>
        </w:tabs>
        <w:spacing w:line="240" w:lineRule="auto" w:before="83" w:after="0"/>
        <w:ind w:left="1277" w:right="0" w:hanging="284"/>
        <w:jc w:val="left"/>
        <w:rPr>
          <w:sz w:val="24"/>
        </w:rPr>
      </w:pPr>
      <w:r>
        <w:rPr>
          <w:b/>
          <w:sz w:val="24"/>
        </w:rPr>
        <w:t>Sedación:</w:t>
      </w:r>
      <w:r>
        <w:rPr>
          <w:b/>
          <w:spacing w:val="-2"/>
          <w:sz w:val="24"/>
        </w:rPr>
        <w:t> </w:t>
      </w:r>
      <w:r>
        <w:rPr>
          <w:sz w:val="24"/>
        </w:rPr>
        <w:t>Disminución</w:t>
      </w:r>
      <w:r>
        <w:rPr>
          <w:spacing w:val="-2"/>
          <w:sz w:val="24"/>
        </w:rPr>
        <w:t> </w:t>
      </w:r>
      <w:r>
        <w:rPr>
          <w:sz w:val="24"/>
        </w:rPr>
        <w:t>controlada</w:t>
      </w:r>
      <w:r>
        <w:rPr>
          <w:spacing w:val="-1"/>
          <w:sz w:val="24"/>
        </w:rPr>
        <w:t> </w:t>
      </w:r>
      <w:r>
        <w:rPr>
          <w:sz w:val="24"/>
        </w:rPr>
        <w:t>del</w:t>
      </w:r>
      <w:r>
        <w:rPr>
          <w:spacing w:val="-5"/>
          <w:sz w:val="24"/>
        </w:rPr>
        <w:t> </w:t>
      </w:r>
      <w:r>
        <w:rPr>
          <w:sz w:val="24"/>
        </w:rPr>
        <w:t>estado</w:t>
      </w:r>
      <w:r>
        <w:rPr>
          <w:spacing w:val="-2"/>
          <w:sz w:val="24"/>
        </w:rPr>
        <w:t> </w:t>
      </w:r>
      <w:r>
        <w:rPr>
          <w:sz w:val="24"/>
        </w:rPr>
        <w:t>de</w:t>
      </w:r>
      <w:r>
        <w:rPr>
          <w:spacing w:val="-1"/>
          <w:sz w:val="24"/>
        </w:rPr>
        <w:t> </w:t>
      </w:r>
      <w:r>
        <w:rPr>
          <w:sz w:val="24"/>
        </w:rPr>
        <w:t>alerta</w:t>
      </w:r>
      <w:r>
        <w:rPr>
          <w:spacing w:val="-1"/>
          <w:sz w:val="24"/>
        </w:rPr>
        <w:t> </w:t>
      </w:r>
      <w:r>
        <w:rPr>
          <w:sz w:val="24"/>
        </w:rPr>
        <w:t>del </w:t>
      </w:r>
      <w:r>
        <w:rPr>
          <w:spacing w:val="-2"/>
          <w:sz w:val="24"/>
        </w:rPr>
        <w:t>paciente</w:t>
      </w:r>
    </w:p>
    <w:p>
      <w:pPr>
        <w:pStyle w:val="BodyText"/>
        <w:spacing w:before="242"/>
      </w:pPr>
    </w:p>
    <w:p>
      <w:pPr>
        <w:pStyle w:val="ListParagraph"/>
        <w:numPr>
          <w:ilvl w:val="0"/>
          <w:numId w:val="12"/>
        </w:numPr>
        <w:tabs>
          <w:tab w:pos="1278" w:val="left" w:leader="none"/>
        </w:tabs>
        <w:spacing w:line="465" w:lineRule="auto" w:before="0" w:after="0"/>
        <w:ind w:left="1278" w:right="1283" w:hanging="285"/>
        <w:jc w:val="left"/>
        <w:rPr>
          <w:sz w:val="24"/>
        </w:rPr>
      </w:pPr>
      <w:r>
        <w:rPr>
          <w:b/>
          <w:sz w:val="24"/>
        </w:rPr>
        <w:t>Sevofluorano:</w:t>
      </w:r>
      <w:r>
        <w:rPr>
          <w:b/>
          <w:spacing w:val="31"/>
          <w:sz w:val="24"/>
        </w:rPr>
        <w:t> </w:t>
      </w:r>
      <w:r>
        <w:rPr>
          <w:sz w:val="24"/>
        </w:rPr>
        <w:t>Anestésico</w:t>
      </w:r>
      <w:r>
        <w:rPr>
          <w:spacing w:val="29"/>
          <w:sz w:val="24"/>
        </w:rPr>
        <w:t> </w:t>
      </w:r>
      <w:r>
        <w:rPr>
          <w:sz w:val="24"/>
        </w:rPr>
        <w:t>inhalatorio</w:t>
      </w:r>
      <w:r>
        <w:rPr>
          <w:spacing w:val="29"/>
          <w:sz w:val="24"/>
        </w:rPr>
        <w:t> </w:t>
      </w:r>
      <w:r>
        <w:rPr>
          <w:sz w:val="24"/>
        </w:rPr>
        <w:t>volátil</w:t>
      </w:r>
      <w:r>
        <w:rPr>
          <w:spacing w:val="30"/>
          <w:sz w:val="24"/>
        </w:rPr>
        <w:t> </w:t>
      </w:r>
      <w:r>
        <w:rPr>
          <w:sz w:val="24"/>
        </w:rPr>
        <w:t>empleado</w:t>
      </w:r>
      <w:r>
        <w:rPr>
          <w:spacing w:val="29"/>
          <w:sz w:val="24"/>
        </w:rPr>
        <w:t> </w:t>
      </w:r>
      <w:r>
        <w:rPr>
          <w:sz w:val="24"/>
        </w:rPr>
        <w:t>para mantenimiento anestésico; tiene efectos vasodilatadores y puede provocar hipotensión.</w:t>
      </w:r>
    </w:p>
    <w:p>
      <w:pPr>
        <w:pStyle w:val="ListParagraph"/>
        <w:numPr>
          <w:ilvl w:val="0"/>
          <w:numId w:val="12"/>
        </w:numPr>
        <w:tabs>
          <w:tab w:pos="1278" w:val="left" w:leader="none"/>
        </w:tabs>
        <w:spacing w:line="465" w:lineRule="auto" w:before="255" w:after="0"/>
        <w:ind w:left="1278" w:right="1284" w:hanging="285"/>
        <w:jc w:val="left"/>
        <w:rPr>
          <w:sz w:val="24"/>
        </w:rPr>
      </w:pPr>
      <w:r>
        <w:rPr>
          <w:b/>
          <w:sz w:val="24"/>
        </w:rPr>
        <w:t>Signos</w:t>
      </w:r>
      <w:r>
        <w:rPr>
          <w:b/>
          <w:spacing w:val="40"/>
          <w:sz w:val="24"/>
        </w:rPr>
        <w:t> </w:t>
      </w:r>
      <w:r>
        <w:rPr>
          <w:b/>
          <w:sz w:val="24"/>
        </w:rPr>
        <w:t>vitales:</w:t>
      </w:r>
      <w:r>
        <w:rPr>
          <w:b/>
          <w:spacing w:val="40"/>
          <w:sz w:val="24"/>
        </w:rPr>
        <w:t> </w:t>
      </w:r>
      <w:r>
        <w:rPr>
          <w:sz w:val="24"/>
        </w:rPr>
        <w:t>Parámetros</w:t>
      </w:r>
      <w:r>
        <w:rPr>
          <w:spacing w:val="40"/>
          <w:sz w:val="24"/>
        </w:rPr>
        <w:t> </w:t>
      </w:r>
      <w:r>
        <w:rPr>
          <w:sz w:val="24"/>
        </w:rPr>
        <w:t>clínicos</w:t>
      </w:r>
      <w:r>
        <w:rPr>
          <w:spacing w:val="40"/>
          <w:sz w:val="24"/>
        </w:rPr>
        <w:t> </w:t>
      </w:r>
      <w:r>
        <w:rPr>
          <w:sz w:val="24"/>
        </w:rPr>
        <w:t>que</w:t>
      </w:r>
      <w:r>
        <w:rPr>
          <w:spacing w:val="40"/>
          <w:sz w:val="24"/>
        </w:rPr>
        <w:t> </w:t>
      </w:r>
      <w:r>
        <w:rPr>
          <w:sz w:val="24"/>
        </w:rPr>
        <w:t>reflejan</w:t>
      </w:r>
      <w:r>
        <w:rPr>
          <w:spacing w:val="40"/>
          <w:sz w:val="24"/>
        </w:rPr>
        <w:t> </w:t>
      </w:r>
      <w:r>
        <w:rPr>
          <w:sz w:val="24"/>
        </w:rPr>
        <w:t>el</w:t>
      </w:r>
      <w:r>
        <w:rPr>
          <w:spacing w:val="40"/>
          <w:sz w:val="24"/>
        </w:rPr>
        <w:t> </w:t>
      </w:r>
      <w:r>
        <w:rPr>
          <w:sz w:val="24"/>
        </w:rPr>
        <w:t>estado</w:t>
      </w:r>
      <w:r>
        <w:rPr>
          <w:spacing w:val="40"/>
          <w:sz w:val="24"/>
        </w:rPr>
        <w:t> </w:t>
      </w:r>
      <w:r>
        <w:rPr>
          <w:sz w:val="24"/>
        </w:rPr>
        <w:t>fisiológico</w:t>
      </w:r>
      <w:r>
        <w:rPr>
          <w:spacing w:val="40"/>
          <w:sz w:val="24"/>
        </w:rPr>
        <w:t> </w:t>
      </w:r>
      <w:r>
        <w:rPr>
          <w:sz w:val="24"/>
        </w:rPr>
        <w:t>del </w:t>
      </w:r>
      <w:r>
        <w:rPr>
          <w:spacing w:val="-2"/>
          <w:sz w:val="24"/>
        </w:rPr>
        <w:t>paciente</w:t>
      </w:r>
    </w:p>
    <w:p>
      <w:pPr>
        <w:pStyle w:val="ListParagraph"/>
        <w:numPr>
          <w:ilvl w:val="0"/>
          <w:numId w:val="12"/>
        </w:numPr>
        <w:tabs>
          <w:tab w:pos="1277" w:val="left" w:leader="none"/>
        </w:tabs>
        <w:spacing w:line="240" w:lineRule="auto" w:before="254" w:after="0"/>
        <w:ind w:left="1277" w:right="0" w:hanging="284"/>
        <w:jc w:val="left"/>
        <w:rPr>
          <w:sz w:val="24"/>
        </w:rPr>
      </w:pPr>
      <w:r>
        <w:rPr>
          <w:b/>
          <w:sz w:val="24"/>
        </w:rPr>
        <w:t>Taquicardia</w:t>
      </w:r>
      <w:r>
        <w:rPr>
          <w:sz w:val="24"/>
        </w:rPr>
        <w:t>:</w:t>
      </w:r>
      <w:r>
        <w:rPr>
          <w:spacing w:val="-1"/>
          <w:sz w:val="24"/>
        </w:rPr>
        <w:t> </w:t>
      </w:r>
      <w:r>
        <w:rPr>
          <w:sz w:val="24"/>
        </w:rPr>
        <w:t>Aumento</w:t>
      </w:r>
      <w:r>
        <w:rPr>
          <w:spacing w:val="-6"/>
          <w:sz w:val="24"/>
        </w:rPr>
        <w:t> </w:t>
      </w:r>
      <w:r>
        <w:rPr>
          <w:sz w:val="24"/>
        </w:rPr>
        <w:t>anormal</w:t>
      </w:r>
      <w:r>
        <w:rPr>
          <w:spacing w:val="-1"/>
          <w:sz w:val="24"/>
        </w:rPr>
        <w:t> </w:t>
      </w:r>
      <w:r>
        <w:rPr>
          <w:sz w:val="24"/>
        </w:rPr>
        <w:t>de</w:t>
      </w:r>
      <w:r>
        <w:rPr>
          <w:spacing w:val="-1"/>
          <w:sz w:val="24"/>
        </w:rPr>
        <w:t> </w:t>
      </w:r>
      <w:r>
        <w:rPr>
          <w:sz w:val="24"/>
        </w:rPr>
        <w:t>la frecuencia</w:t>
      </w:r>
      <w:r>
        <w:rPr>
          <w:spacing w:val="-4"/>
          <w:sz w:val="24"/>
        </w:rPr>
        <w:t> </w:t>
      </w:r>
      <w:r>
        <w:rPr>
          <w:spacing w:val="-2"/>
          <w:sz w:val="24"/>
        </w:rPr>
        <w:t>cardíaca</w:t>
      </w:r>
    </w:p>
    <w:p>
      <w:pPr>
        <w:pStyle w:val="BodyText"/>
        <w:spacing w:before="238"/>
      </w:pPr>
    </w:p>
    <w:p>
      <w:pPr>
        <w:pStyle w:val="ListParagraph"/>
        <w:numPr>
          <w:ilvl w:val="0"/>
          <w:numId w:val="12"/>
        </w:numPr>
        <w:tabs>
          <w:tab w:pos="1278" w:val="left" w:leader="none"/>
        </w:tabs>
        <w:spacing w:line="468" w:lineRule="auto" w:before="0" w:after="0"/>
        <w:ind w:left="1278" w:right="1282" w:hanging="285"/>
        <w:jc w:val="left"/>
        <w:rPr>
          <w:sz w:val="24"/>
        </w:rPr>
      </w:pPr>
      <w:r>
        <w:rPr>
          <w:b/>
          <w:sz w:val="24"/>
        </w:rPr>
        <w:t>Vasoconstricción:</w:t>
      </w:r>
      <w:r>
        <w:rPr>
          <w:b/>
          <w:spacing w:val="40"/>
          <w:sz w:val="24"/>
        </w:rPr>
        <w:t> </w:t>
      </w:r>
      <w:r>
        <w:rPr>
          <w:sz w:val="24"/>
        </w:rPr>
        <w:t>Contracción</w:t>
      </w:r>
      <w:r>
        <w:rPr>
          <w:spacing w:val="40"/>
          <w:sz w:val="24"/>
        </w:rPr>
        <w:t> </w:t>
      </w:r>
      <w:r>
        <w:rPr>
          <w:sz w:val="24"/>
        </w:rPr>
        <w:t>de</w:t>
      </w:r>
      <w:r>
        <w:rPr>
          <w:spacing w:val="40"/>
          <w:sz w:val="24"/>
        </w:rPr>
        <w:t> </w:t>
      </w:r>
      <w:r>
        <w:rPr>
          <w:sz w:val="24"/>
        </w:rPr>
        <w:t>los</w:t>
      </w:r>
      <w:r>
        <w:rPr>
          <w:spacing w:val="40"/>
          <w:sz w:val="24"/>
        </w:rPr>
        <w:t> </w:t>
      </w:r>
      <w:r>
        <w:rPr>
          <w:sz w:val="24"/>
        </w:rPr>
        <w:t>vasos</w:t>
      </w:r>
      <w:r>
        <w:rPr>
          <w:spacing w:val="40"/>
          <w:sz w:val="24"/>
        </w:rPr>
        <w:t> </w:t>
      </w:r>
      <w:r>
        <w:rPr>
          <w:sz w:val="24"/>
        </w:rPr>
        <w:t>sanguíneos</w:t>
      </w:r>
      <w:r>
        <w:rPr>
          <w:spacing w:val="40"/>
          <w:sz w:val="24"/>
        </w:rPr>
        <w:t> </w:t>
      </w:r>
      <w:r>
        <w:rPr>
          <w:sz w:val="24"/>
        </w:rPr>
        <w:t>que</w:t>
      </w:r>
      <w:r>
        <w:rPr>
          <w:spacing w:val="40"/>
          <w:sz w:val="24"/>
        </w:rPr>
        <w:t> </w:t>
      </w:r>
      <w:r>
        <w:rPr>
          <w:sz w:val="24"/>
        </w:rPr>
        <w:t>aumenta</w:t>
      </w:r>
      <w:r>
        <w:rPr>
          <w:spacing w:val="40"/>
          <w:sz w:val="24"/>
        </w:rPr>
        <w:t> </w:t>
      </w:r>
      <w:r>
        <w:rPr>
          <w:sz w:val="24"/>
        </w:rPr>
        <w:t>la</w:t>
      </w:r>
      <w:r>
        <w:rPr>
          <w:spacing w:val="40"/>
          <w:sz w:val="24"/>
        </w:rPr>
        <w:t> </w:t>
      </w:r>
      <w:r>
        <w:rPr>
          <w:sz w:val="24"/>
        </w:rPr>
        <w:t>resistencia vascular</w:t>
      </w:r>
    </w:p>
    <w:p>
      <w:pPr>
        <w:pStyle w:val="ListParagraph"/>
        <w:numPr>
          <w:ilvl w:val="0"/>
          <w:numId w:val="12"/>
        </w:numPr>
        <w:tabs>
          <w:tab w:pos="1278" w:val="left" w:leader="none"/>
        </w:tabs>
        <w:spacing w:line="465" w:lineRule="auto" w:before="253" w:after="0"/>
        <w:ind w:left="1278" w:right="1282" w:hanging="285"/>
        <w:jc w:val="left"/>
        <w:rPr>
          <w:sz w:val="24"/>
        </w:rPr>
      </w:pPr>
      <w:r>
        <w:rPr>
          <w:b/>
          <w:sz w:val="24"/>
        </w:rPr>
        <w:t>Vasodilatación:</w:t>
      </w:r>
      <w:r>
        <w:rPr>
          <w:b/>
          <w:spacing w:val="80"/>
          <w:sz w:val="24"/>
        </w:rPr>
        <w:t> </w:t>
      </w:r>
      <w:r>
        <w:rPr>
          <w:sz w:val="24"/>
        </w:rPr>
        <w:t>Relajación</w:t>
      </w:r>
      <w:r>
        <w:rPr>
          <w:spacing w:val="80"/>
          <w:sz w:val="24"/>
        </w:rPr>
        <w:t> </w:t>
      </w:r>
      <w:r>
        <w:rPr>
          <w:sz w:val="24"/>
        </w:rPr>
        <w:t>de</w:t>
      </w:r>
      <w:r>
        <w:rPr>
          <w:spacing w:val="80"/>
          <w:sz w:val="24"/>
        </w:rPr>
        <w:t> </w:t>
      </w:r>
      <w:r>
        <w:rPr>
          <w:sz w:val="24"/>
        </w:rPr>
        <w:t>los</w:t>
      </w:r>
      <w:r>
        <w:rPr>
          <w:spacing w:val="80"/>
          <w:sz w:val="24"/>
        </w:rPr>
        <w:t> </w:t>
      </w:r>
      <w:r>
        <w:rPr>
          <w:sz w:val="24"/>
        </w:rPr>
        <w:t>vasos</w:t>
      </w:r>
      <w:r>
        <w:rPr>
          <w:spacing w:val="80"/>
          <w:sz w:val="24"/>
        </w:rPr>
        <w:t> </w:t>
      </w:r>
      <w:r>
        <w:rPr>
          <w:sz w:val="24"/>
        </w:rPr>
        <w:t>sanguíneos</w:t>
      </w:r>
      <w:r>
        <w:rPr>
          <w:spacing w:val="80"/>
          <w:sz w:val="24"/>
        </w:rPr>
        <w:t> </w:t>
      </w:r>
      <w:r>
        <w:rPr>
          <w:sz w:val="24"/>
        </w:rPr>
        <w:t>que</w:t>
      </w:r>
      <w:r>
        <w:rPr>
          <w:spacing w:val="80"/>
          <w:sz w:val="24"/>
        </w:rPr>
        <w:t> </w:t>
      </w:r>
      <w:r>
        <w:rPr>
          <w:sz w:val="24"/>
        </w:rPr>
        <w:t>disminuye</w:t>
      </w:r>
      <w:r>
        <w:rPr>
          <w:spacing w:val="80"/>
          <w:sz w:val="24"/>
        </w:rPr>
        <w:t> </w:t>
      </w:r>
      <w:r>
        <w:rPr>
          <w:sz w:val="24"/>
        </w:rPr>
        <w:t>la resistencia vascular</w:t>
      </w:r>
    </w:p>
    <w:p>
      <w:pPr>
        <w:pStyle w:val="ListParagraph"/>
        <w:numPr>
          <w:ilvl w:val="0"/>
          <w:numId w:val="12"/>
        </w:numPr>
        <w:tabs>
          <w:tab w:pos="1277" w:val="left" w:leader="none"/>
        </w:tabs>
        <w:spacing w:line="240" w:lineRule="auto" w:before="255" w:after="0"/>
        <w:ind w:left="1277" w:right="0" w:hanging="284"/>
        <w:jc w:val="left"/>
        <w:rPr>
          <w:sz w:val="24"/>
        </w:rPr>
      </w:pPr>
      <w:r>
        <w:rPr>
          <w:b/>
          <w:sz w:val="24"/>
        </w:rPr>
        <w:t>Volumen</w:t>
      </w:r>
      <w:r>
        <w:rPr>
          <w:b/>
          <w:spacing w:val="-15"/>
          <w:sz w:val="24"/>
        </w:rPr>
        <w:t> </w:t>
      </w:r>
      <w:r>
        <w:rPr>
          <w:b/>
          <w:sz w:val="24"/>
        </w:rPr>
        <w:t>sistólico:</w:t>
      </w:r>
      <w:r>
        <w:rPr>
          <w:b/>
          <w:spacing w:val="-11"/>
          <w:sz w:val="24"/>
        </w:rPr>
        <w:t> </w:t>
      </w:r>
      <w:r>
        <w:rPr>
          <w:sz w:val="24"/>
        </w:rPr>
        <w:t>Cantidad</w:t>
      </w:r>
      <w:r>
        <w:rPr>
          <w:spacing w:val="-13"/>
          <w:sz w:val="24"/>
        </w:rPr>
        <w:t> </w:t>
      </w:r>
      <w:r>
        <w:rPr>
          <w:sz w:val="24"/>
        </w:rPr>
        <w:t>de</w:t>
      </w:r>
      <w:r>
        <w:rPr>
          <w:spacing w:val="-12"/>
          <w:sz w:val="24"/>
        </w:rPr>
        <w:t> </w:t>
      </w:r>
      <w:r>
        <w:rPr>
          <w:sz w:val="24"/>
        </w:rPr>
        <w:t>sangre</w:t>
      </w:r>
      <w:r>
        <w:rPr>
          <w:spacing w:val="-12"/>
          <w:sz w:val="24"/>
        </w:rPr>
        <w:t> </w:t>
      </w:r>
      <w:r>
        <w:rPr>
          <w:sz w:val="24"/>
        </w:rPr>
        <w:t>expulsada</w:t>
      </w:r>
      <w:r>
        <w:rPr>
          <w:spacing w:val="-12"/>
          <w:sz w:val="24"/>
        </w:rPr>
        <w:t> </w:t>
      </w:r>
      <w:r>
        <w:rPr>
          <w:sz w:val="24"/>
        </w:rPr>
        <w:t>por</w:t>
      </w:r>
      <w:r>
        <w:rPr>
          <w:spacing w:val="-13"/>
          <w:sz w:val="24"/>
        </w:rPr>
        <w:t> </w:t>
      </w:r>
      <w:r>
        <w:rPr>
          <w:sz w:val="24"/>
        </w:rPr>
        <w:t>el</w:t>
      </w:r>
      <w:r>
        <w:rPr>
          <w:spacing w:val="-12"/>
          <w:sz w:val="24"/>
        </w:rPr>
        <w:t> </w:t>
      </w:r>
      <w:r>
        <w:rPr>
          <w:sz w:val="24"/>
        </w:rPr>
        <w:t>corazón</w:t>
      </w:r>
      <w:r>
        <w:rPr>
          <w:spacing w:val="-13"/>
          <w:sz w:val="24"/>
        </w:rPr>
        <w:t> </w:t>
      </w:r>
      <w:r>
        <w:rPr>
          <w:sz w:val="24"/>
        </w:rPr>
        <w:t>en</w:t>
      </w:r>
      <w:r>
        <w:rPr>
          <w:spacing w:val="-13"/>
          <w:sz w:val="24"/>
        </w:rPr>
        <w:t> </w:t>
      </w:r>
      <w:r>
        <w:rPr>
          <w:sz w:val="24"/>
        </w:rPr>
        <w:t>cada</w:t>
      </w:r>
      <w:r>
        <w:rPr>
          <w:spacing w:val="-11"/>
          <w:sz w:val="24"/>
        </w:rPr>
        <w:t> </w:t>
      </w:r>
      <w:r>
        <w:rPr>
          <w:spacing w:val="-2"/>
          <w:sz w:val="24"/>
        </w:rPr>
        <w:t>latido</w:t>
      </w:r>
    </w:p>
    <w:sectPr>
      <w:footerReference w:type="default" r:id="rId76"/>
      <w:pgSz w:w="11910" w:h="16840"/>
      <w:pgMar w:header="0" w:footer="0" w:top="1600" w:bottom="280" w:left="1275"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336576">
              <wp:simplePos x="0" y="0"/>
              <wp:positionH relativeFrom="page">
                <wp:posOffset>6196965</wp:posOffset>
              </wp:positionH>
              <wp:positionV relativeFrom="page">
                <wp:posOffset>9891796</wp:posOffset>
              </wp:positionV>
              <wp:extent cx="334010" cy="19431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34010" cy="194310"/>
                      </a:xfrm>
                      <a:prstGeom prst="rect">
                        <a:avLst/>
                      </a:prstGeom>
                    </wps:spPr>
                    <wps:txbx>
                      <w:txbxContent>
                        <w:p>
                          <w:pPr>
                            <w:pStyle w:val="BodyText"/>
                            <w:spacing w:before="10"/>
                            <w:ind w:left="20"/>
                          </w:pPr>
                          <w:r>
                            <w:rPr>
                              <w:color w:val="0D0D0D"/>
                              <w:spacing w:val="-5"/>
                            </w:rPr>
                            <w:fldChar w:fldCharType="begin"/>
                          </w:r>
                          <w:r>
                            <w:rPr>
                              <w:color w:val="0D0D0D"/>
                              <w:spacing w:val="-5"/>
                            </w:rPr>
                            <w:instrText> PAGE  \* ROMAN </w:instrText>
                          </w:r>
                          <w:r>
                            <w:rPr>
                              <w:color w:val="0D0D0D"/>
                              <w:spacing w:val="-5"/>
                            </w:rPr>
                            <w:fldChar w:fldCharType="separate"/>
                          </w:r>
                          <w:r>
                            <w:rPr>
                              <w:color w:val="0D0D0D"/>
                              <w:spacing w:val="-5"/>
                            </w:rPr>
                            <w:t>XIV</w:t>
                          </w:r>
                          <w:r>
                            <w:rPr>
                              <w:color w:val="0D0D0D"/>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7.950012pt;margin-top:778.881653pt;width:26.3pt;height:15.3pt;mso-position-horizontal-relative:page;mso-position-vertical-relative:page;z-index:-17979904" type="#_x0000_t202" id="docshape1" filled="false" stroked="false">
              <v:textbox inset="0,0,0,0">
                <w:txbxContent>
                  <w:p>
                    <w:pPr>
                      <w:pStyle w:val="BodyText"/>
                      <w:spacing w:before="10"/>
                      <w:ind w:left="20"/>
                    </w:pPr>
                    <w:r>
                      <w:rPr>
                        <w:color w:val="0D0D0D"/>
                        <w:spacing w:val="-5"/>
                      </w:rPr>
                      <w:fldChar w:fldCharType="begin"/>
                    </w:r>
                    <w:r>
                      <w:rPr>
                        <w:color w:val="0D0D0D"/>
                        <w:spacing w:val="-5"/>
                      </w:rPr>
                      <w:instrText> PAGE  \* ROMAN </w:instrText>
                    </w:r>
                    <w:r>
                      <w:rPr>
                        <w:color w:val="0D0D0D"/>
                        <w:spacing w:val="-5"/>
                      </w:rPr>
                      <w:fldChar w:fldCharType="separate"/>
                    </w:r>
                    <w:r>
                      <w:rPr>
                        <w:color w:val="0D0D0D"/>
                        <w:spacing w:val="-5"/>
                      </w:rPr>
                      <w:t>XIV</w:t>
                    </w:r>
                    <w:r>
                      <w:rPr>
                        <w:color w:val="0D0D0D"/>
                        <w:spacing w:val="-5"/>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5337088">
              <wp:simplePos x="0" y="0"/>
              <wp:positionH relativeFrom="page">
                <wp:posOffset>6316345</wp:posOffset>
              </wp:positionH>
              <wp:positionV relativeFrom="page">
                <wp:posOffset>9891796</wp:posOffset>
              </wp:positionV>
              <wp:extent cx="2159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15900" cy="194310"/>
                      </a:xfrm>
                      <a:prstGeom prst="rect">
                        <a:avLst/>
                      </a:prstGeom>
                    </wps:spPr>
                    <wps:txbx>
                      <w:txbxContent>
                        <w:p>
                          <w:pPr>
                            <w:pStyle w:val="BodyText"/>
                            <w:spacing w:before="10"/>
                            <w:ind w:left="20"/>
                          </w:pPr>
                          <w:r>
                            <w:rPr>
                              <w:color w:val="0D0D0D"/>
                              <w:spacing w:val="-5"/>
                            </w:rPr>
                            <w:fldChar w:fldCharType="begin"/>
                          </w:r>
                          <w:r>
                            <w:rPr>
                              <w:color w:val="0D0D0D"/>
                              <w:spacing w:val="-5"/>
                            </w:rPr>
                            <w:instrText> PAGE </w:instrText>
                          </w:r>
                          <w:r>
                            <w:rPr>
                              <w:color w:val="0D0D0D"/>
                              <w:spacing w:val="-5"/>
                            </w:rPr>
                            <w:fldChar w:fldCharType="separate"/>
                          </w:r>
                          <w:r>
                            <w:rPr>
                              <w:color w:val="0D0D0D"/>
                              <w:spacing w:val="-5"/>
                            </w:rPr>
                            <w:t>10</w:t>
                          </w:r>
                          <w:r>
                            <w:rPr>
                              <w:color w:val="0D0D0D"/>
                              <w:spacing w:val="-5"/>
                            </w:rPr>
                            <w:fldChar w:fldCharType="end"/>
                          </w:r>
                        </w:p>
                      </w:txbxContent>
                    </wps:txbx>
                    <wps:bodyPr wrap="square" lIns="0" tIns="0" rIns="0" bIns="0" rtlCol="0">
                      <a:noAutofit/>
                    </wps:bodyPr>
                  </wps:wsp>
                </a:graphicData>
              </a:graphic>
            </wp:anchor>
          </w:drawing>
        </mc:Choice>
        <mc:Fallback>
          <w:pict>
            <v:shape style="position:absolute;margin-left:497.350006pt;margin-top:778.881653pt;width:17pt;height:15.3pt;mso-position-horizontal-relative:page;mso-position-vertical-relative:page;z-index:-17979392" type="#_x0000_t202" id="docshape2" filled="false" stroked="false">
              <v:textbox inset="0,0,0,0">
                <w:txbxContent>
                  <w:p>
                    <w:pPr>
                      <w:pStyle w:val="BodyText"/>
                      <w:spacing w:before="10"/>
                      <w:ind w:left="20"/>
                    </w:pPr>
                    <w:r>
                      <w:rPr>
                        <w:color w:val="0D0D0D"/>
                        <w:spacing w:val="-5"/>
                      </w:rPr>
                      <w:fldChar w:fldCharType="begin"/>
                    </w:r>
                    <w:r>
                      <w:rPr>
                        <w:color w:val="0D0D0D"/>
                        <w:spacing w:val="-5"/>
                      </w:rPr>
                      <w:instrText> PAGE </w:instrText>
                    </w:r>
                    <w:r>
                      <w:rPr>
                        <w:color w:val="0D0D0D"/>
                        <w:spacing w:val="-5"/>
                      </w:rPr>
                      <w:fldChar w:fldCharType="separate"/>
                    </w:r>
                    <w:r>
                      <w:rPr>
                        <w:color w:val="0D0D0D"/>
                        <w:spacing w:val="-5"/>
                      </w:rPr>
                      <w:t>10</w:t>
                    </w:r>
                    <w:r>
                      <w:rPr>
                        <w:color w:val="0D0D0D"/>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0"/>
      <w:numFmt w:val="bullet"/>
      <w:lvlText w:val=""/>
      <w:lvlJc w:val="left"/>
      <w:pPr>
        <w:ind w:left="1278" w:hanging="285"/>
      </w:pPr>
      <w:rPr>
        <w:rFonts w:hint="default" w:ascii="Symbol" w:hAnsi="Symbol" w:eastAsia="Symbol" w:cs="Symbol"/>
        <w:b w:val="0"/>
        <w:bCs w:val="0"/>
        <w:i w:val="0"/>
        <w:iCs w:val="0"/>
        <w:spacing w:val="0"/>
        <w:w w:val="100"/>
        <w:sz w:val="24"/>
        <w:szCs w:val="24"/>
        <w:lang w:val="es-ES" w:eastAsia="en-US" w:bidi="ar-SA"/>
      </w:rPr>
    </w:lvl>
    <w:lvl w:ilvl="1">
      <w:start w:val="0"/>
      <w:numFmt w:val="bullet"/>
      <w:lvlText w:val="•"/>
      <w:lvlJc w:val="left"/>
      <w:pPr>
        <w:ind w:left="2158" w:hanging="285"/>
      </w:pPr>
      <w:rPr>
        <w:rFonts w:hint="default"/>
        <w:lang w:val="es-ES" w:eastAsia="en-US" w:bidi="ar-SA"/>
      </w:rPr>
    </w:lvl>
    <w:lvl w:ilvl="2">
      <w:start w:val="0"/>
      <w:numFmt w:val="bullet"/>
      <w:lvlText w:val="•"/>
      <w:lvlJc w:val="left"/>
      <w:pPr>
        <w:ind w:left="3037" w:hanging="285"/>
      </w:pPr>
      <w:rPr>
        <w:rFonts w:hint="default"/>
        <w:lang w:val="es-ES" w:eastAsia="en-US" w:bidi="ar-SA"/>
      </w:rPr>
    </w:lvl>
    <w:lvl w:ilvl="3">
      <w:start w:val="0"/>
      <w:numFmt w:val="bullet"/>
      <w:lvlText w:val="•"/>
      <w:lvlJc w:val="left"/>
      <w:pPr>
        <w:ind w:left="3916" w:hanging="285"/>
      </w:pPr>
      <w:rPr>
        <w:rFonts w:hint="default"/>
        <w:lang w:val="es-ES" w:eastAsia="en-US" w:bidi="ar-SA"/>
      </w:rPr>
    </w:lvl>
    <w:lvl w:ilvl="4">
      <w:start w:val="0"/>
      <w:numFmt w:val="bullet"/>
      <w:lvlText w:val="•"/>
      <w:lvlJc w:val="left"/>
      <w:pPr>
        <w:ind w:left="4794" w:hanging="285"/>
      </w:pPr>
      <w:rPr>
        <w:rFonts w:hint="default"/>
        <w:lang w:val="es-ES" w:eastAsia="en-US" w:bidi="ar-SA"/>
      </w:rPr>
    </w:lvl>
    <w:lvl w:ilvl="5">
      <w:start w:val="0"/>
      <w:numFmt w:val="bullet"/>
      <w:lvlText w:val="•"/>
      <w:lvlJc w:val="left"/>
      <w:pPr>
        <w:ind w:left="5673" w:hanging="285"/>
      </w:pPr>
      <w:rPr>
        <w:rFonts w:hint="default"/>
        <w:lang w:val="es-ES" w:eastAsia="en-US" w:bidi="ar-SA"/>
      </w:rPr>
    </w:lvl>
    <w:lvl w:ilvl="6">
      <w:start w:val="0"/>
      <w:numFmt w:val="bullet"/>
      <w:lvlText w:val="•"/>
      <w:lvlJc w:val="left"/>
      <w:pPr>
        <w:ind w:left="6552" w:hanging="285"/>
      </w:pPr>
      <w:rPr>
        <w:rFonts w:hint="default"/>
        <w:lang w:val="es-ES" w:eastAsia="en-US" w:bidi="ar-SA"/>
      </w:rPr>
    </w:lvl>
    <w:lvl w:ilvl="7">
      <w:start w:val="0"/>
      <w:numFmt w:val="bullet"/>
      <w:lvlText w:val="•"/>
      <w:lvlJc w:val="left"/>
      <w:pPr>
        <w:ind w:left="7430" w:hanging="285"/>
      </w:pPr>
      <w:rPr>
        <w:rFonts w:hint="default"/>
        <w:lang w:val="es-ES" w:eastAsia="en-US" w:bidi="ar-SA"/>
      </w:rPr>
    </w:lvl>
    <w:lvl w:ilvl="8">
      <w:start w:val="0"/>
      <w:numFmt w:val="bullet"/>
      <w:lvlText w:val="•"/>
      <w:lvlJc w:val="left"/>
      <w:pPr>
        <w:ind w:left="8309" w:hanging="285"/>
      </w:pPr>
      <w:rPr>
        <w:rFonts w:hint="default"/>
        <w:lang w:val="es-ES" w:eastAsia="en-US" w:bidi="ar-SA"/>
      </w:rPr>
    </w:lvl>
  </w:abstractNum>
  <w:abstractNum w:abstractNumId="10">
    <w:multiLevelType w:val="hybridMultilevel"/>
    <w:lvl w:ilvl="0">
      <w:start w:val="5"/>
      <w:numFmt w:val="decimal"/>
      <w:lvlText w:val="%1"/>
      <w:lvlJc w:val="left"/>
      <w:pPr>
        <w:ind w:left="1205" w:hanging="637"/>
        <w:jc w:val="left"/>
      </w:pPr>
      <w:rPr>
        <w:rFonts w:hint="default"/>
        <w:lang w:val="es-ES" w:eastAsia="en-US" w:bidi="ar-SA"/>
      </w:rPr>
    </w:lvl>
    <w:lvl w:ilvl="1">
      <w:start w:val="1"/>
      <w:numFmt w:val="decimal"/>
      <w:lvlText w:val="%1.%2"/>
      <w:lvlJc w:val="left"/>
      <w:pPr>
        <w:ind w:left="1205" w:hanging="637"/>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0"/>
      <w:numFmt w:val="bullet"/>
      <w:lvlText w:val="•"/>
      <w:lvlJc w:val="left"/>
      <w:pPr>
        <w:ind w:left="2689" w:hanging="637"/>
      </w:pPr>
      <w:rPr>
        <w:rFonts w:hint="default"/>
        <w:lang w:val="es-ES" w:eastAsia="en-US" w:bidi="ar-SA"/>
      </w:rPr>
    </w:lvl>
    <w:lvl w:ilvl="3">
      <w:start w:val="0"/>
      <w:numFmt w:val="bullet"/>
      <w:lvlText w:val="•"/>
      <w:lvlJc w:val="left"/>
      <w:pPr>
        <w:ind w:left="3434" w:hanging="637"/>
      </w:pPr>
      <w:rPr>
        <w:rFonts w:hint="default"/>
        <w:lang w:val="es-ES" w:eastAsia="en-US" w:bidi="ar-SA"/>
      </w:rPr>
    </w:lvl>
    <w:lvl w:ilvl="4">
      <w:start w:val="0"/>
      <w:numFmt w:val="bullet"/>
      <w:lvlText w:val="•"/>
      <w:lvlJc w:val="left"/>
      <w:pPr>
        <w:ind w:left="4179" w:hanging="637"/>
      </w:pPr>
      <w:rPr>
        <w:rFonts w:hint="default"/>
        <w:lang w:val="es-ES" w:eastAsia="en-US" w:bidi="ar-SA"/>
      </w:rPr>
    </w:lvl>
    <w:lvl w:ilvl="5">
      <w:start w:val="0"/>
      <w:numFmt w:val="bullet"/>
      <w:lvlText w:val="•"/>
      <w:lvlJc w:val="left"/>
      <w:pPr>
        <w:ind w:left="4924" w:hanging="637"/>
      </w:pPr>
      <w:rPr>
        <w:rFonts w:hint="default"/>
        <w:lang w:val="es-ES" w:eastAsia="en-US" w:bidi="ar-SA"/>
      </w:rPr>
    </w:lvl>
    <w:lvl w:ilvl="6">
      <w:start w:val="0"/>
      <w:numFmt w:val="bullet"/>
      <w:lvlText w:val="•"/>
      <w:lvlJc w:val="left"/>
      <w:pPr>
        <w:ind w:left="5669" w:hanging="637"/>
      </w:pPr>
      <w:rPr>
        <w:rFonts w:hint="default"/>
        <w:lang w:val="es-ES" w:eastAsia="en-US" w:bidi="ar-SA"/>
      </w:rPr>
    </w:lvl>
    <w:lvl w:ilvl="7">
      <w:start w:val="0"/>
      <w:numFmt w:val="bullet"/>
      <w:lvlText w:val="•"/>
      <w:lvlJc w:val="left"/>
      <w:pPr>
        <w:ind w:left="6414" w:hanging="637"/>
      </w:pPr>
      <w:rPr>
        <w:rFonts w:hint="default"/>
        <w:lang w:val="es-ES" w:eastAsia="en-US" w:bidi="ar-SA"/>
      </w:rPr>
    </w:lvl>
    <w:lvl w:ilvl="8">
      <w:start w:val="0"/>
      <w:numFmt w:val="bullet"/>
      <w:lvlText w:val="•"/>
      <w:lvlJc w:val="left"/>
      <w:pPr>
        <w:ind w:left="7159" w:hanging="637"/>
      </w:pPr>
      <w:rPr>
        <w:rFonts w:hint="default"/>
        <w:lang w:val="es-ES" w:eastAsia="en-US" w:bidi="ar-SA"/>
      </w:rPr>
    </w:lvl>
  </w:abstractNum>
  <w:abstractNum w:abstractNumId="9">
    <w:multiLevelType w:val="hybridMultilevel"/>
    <w:lvl w:ilvl="0">
      <w:start w:val="0"/>
      <w:numFmt w:val="bullet"/>
      <w:lvlText w:val=""/>
      <w:lvlJc w:val="left"/>
      <w:pPr>
        <w:ind w:left="853" w:hanging="285"/>
      </w:pPr>
      <w:rPr>
        <w:rFonts w:hint="default" w:ascii="Symbol" w:hAnsi="Symbol" w:eastAsia="Symbol" w:cs="Symbol"/>
        <w:b w:val="0"/>
        <w:bCs w:val="0"/>
        <w:i w:val="0"/>
        <w:iCs w:val="0"/>
        <w:color w:val="0D0D0D"/>
        <w:spacing w:val="0"/>
        <w:w w:val="100"/>
        <w:sz w:val="24"/>
        <w:szCs w:val="24"/>
        <w:lang w:val="es-ES" w:eastAsia="en-US" w:bidi="ar-SA"/>
      </w:rPr>
    </w:lvl>
    <w:lvl w:ilvl="1">
      <w:start w:val="0"/>
      <w:numFmt w:val="bullet"/>
      <w:lvlText w:val="•"/>
      <w:lvlJc w:val="left"/>
      <w:pPr>
        <w:ind w:left="1638" w:hanging="285"/>
      </w:pPr>
      <w:rPr>
        <w:rFonts w:hint="default"/>
        <w:lang w:val="es-ES" w:eastAsia="en-US" w:bidi="ar-SA"/>
      </w:rPr>
    </w:lvl>
    <w:lvl w:ilvl="2">
      <w:start w:val="0"/>
      <w:numFmt w:val="bullet"/>
      <w:lvlText w:val="•"/>
      <w:lvlJc w:val="left"/>
      <w:pPr>
        <w:ind w:left="2417" w:hanging="285"/>
      </w:pPr>
      <w:rPr>
        <w:rFonts w:hint="default"/>
        <w:lang w:val="es-ES" w:eastAsia="en-US" w:bidi="ar-SA"/>
      </w:rPr>
    </w:lvl>
    <w:lvl w:ilvl="3">
      <w:start w:val="0"/>
      <w:numFmt w:val="bullet"/>
      <w:lvlText w:val="•"/>
      <w:lvlJc w:val="left"/>
      <w:pPr>
        <w:ind w:left="3196" w:hanging="285"/>
      </w:pPr>
      <w:rPr>
        <w:rFonts w:hint="default"/>
        <w:lang w:val="es-ES" w:eastAsia="en-US" w:bidi="ar-SA"/>
      </w:rPr>
    </w:lvl>
    <w:lvl w:ilvl="4">
      <w:start w:val="0"/>
      <w:numFmt w:val="bullet"/>
      <w:lvlText w:val="•"/>
      <w:lvlJc w:val="left"/>
      <w:pPr>
        <w:ind w:left="3975" w:hanging="285"/>
      </w:pPr>
      <w:rPr>
        <w:rFonts w:hint="default"/>
        <w:lang w:val="es-ES" w:eastAsia="en-US" w:bidi="ar-SA"/>
      </w:rPr>
    </w:lvl>
    <w:lvl w:ilvl="5">
      <w:start w:val="0"/>
      <w:numFmt w:val="bullet"/>
      <w:lvlText w:val="•"/>
      <w:lvlJc w:val="left"/>
      <w:pPr>
        <w:ind w:left="4754" w:hanging="285"/>
      </w:pPr>
      <w:rPr>
        <w:rFonts w:hint="default"/>
        <w:lang w:val="es-ES" w:eastAsia="en-US" w:bidi="ar-SA"/>
      </w:rPr>
    </w:lvl>
    <w:lvl w:ilvl="6">
      <w:start w:val="0"/>
      <w:numFmt w:val="bullet"/>
      <w:lvlText w:val="•"/>
      <w:lvlJc w:val="left"/>
      <w:pPr>
        <w:ind w:left="5533" w:hanging="285"/>
      </w:pPr>
      <w:rPr>
        <w:rFonts w:hint="default"/>
        <w:lang w:val="es-ES" w:eastAsia="en-US" w:bidi="ar-SA"/>
      </w:rPr>
    </w:lvl>
    <w:lvl w:ilvl="7">
      <w:start w:val="0"/>
      <w:numFmt w:val="bullet"/>
      <w:lvlText w:val="•"/>
      <w:lvlJc w:val="left"/>
      <w:pPr>
        <w:ind w:left="6312" w:hanging="285"/>
      </w:pPr>
      <w:rPr>
        <w:rFonts w:hint="default"/>
        <w:lang w:val="es-ES" w:eastAsia="en-US" w:bidi="ar-SA"/>
      </w:rPr>
    </w:lvl>
    <w:lvl w:ilvl="8">
      <w:start w:val="0"/>
      <w:numFmt w:val="bullet"/>
      <w:lvlText w:val="•"/>
      <w:lvlJc w:val="left"/>
      <w:pPr>
        <w:ind w:left="7091" w:hanging="285"/>
      </w:pPr>
      <w:rPr>
        <w:rFonts w:hint="default"/>
        <w:lang w:val="es-ES" w:eastAsia="en-US" w:bidi="ar-SA"/>
      </w:rPr>
    </w:lvl>
  </w:abstractNum>
  <w:abstractNum w:abstractNumId="8">
    <w:multiLevelType w:val="hybridMultilevel"/>
    <w:lvl w:ilvl="0">
      <w:start w:val="0"/>
      <w:numFmt w:val="bullet"/>
      <w:lvlText w:val=""/>
      <w:lvlJc w:val="left"/>
      <w:pPr>
        <w:ind w:left="434" w:hanging="429"/>
      </w:pPr>
      <w:rPr>
        <w:rFonts w:hint="default" w:ascii="Symbol" w:hAnsi="Symbol" w:eastAsia="Symbol" w:cs="Symbol"/>
        <w:b w:val="0"/>
        <w:bCs w:val="0"/>
        <w:i w:val="0"/>
        <w:iCs w:val="0"/>
        <w:color w:val="0D0D0D"/>
        <w:spacing w:val="0"/>
        <w:w w:val="100"/>
        <w:sz w:val="24"/>
        <w:szCs w:val="24"/>
        <w:lang w:val="es-ES" w:eastAsia="en-US" w:bidi="ar-SA"/>
      </w:rPr>
    </w:lvl>
    <w:lvl w:ilvl="1">
      <w:start w:val="0"/>
      <w:numFmt w:val="bullet"/>
      <w:lvlText w:val="•"/>
      <w:lvlJc w:val="left"/>
      <w:pPr>
        <w:ind w:left="777" w:hanging="429"/>
      </w:pPr>
      <w:rPr>
        <w:rFonts w:hint="default"/>
        <w:lang w:val="es-ES" w:eastAsia="en-US" w:bidi="ar-SA"/>
      </w:rPr>
    </w:lvl>
    <w:lvl w:ilvl="2">
      <w:start w:val="0"/>
      <w:numFmt w:val="bullet"/>
      <w:lvlText w:val="•"/>
      <w:lvlJc w:val="left"/>
      <w:pPr>
        <w:ind w:left="1115" w:hanging="429"/>
      </w:pPr>
      <w:rPr>
        <w:rFonts w:hint="default"/>
        <w:lang w:val="es-ES" w:eastAsia="en-US" w:bidi="ar-SA"/>
      </w:rPr>
    </w:lvl>
    <w:lvl w:ilvl="3">
      <w:start w:val="0"/>
      <w:numFmt w:val="bullet"/>
      <w:lvlText w:val="•"/>
      <w:lvlJc w:val="left"/>
      <w:pPr>
        <w:ind w:left="1452" w:hanging="429"/>
      </w:pPr>
      <w:rPr>
        <w:rFonts w:hint="default"/>
        <w:lang w:val="es-ES" w:eastAsia="en-US" w:bidi="ar-SA"/>
      </w:rPr>
    </w:lvl>
    <w:lvl w:ilvl="4">
      <w:start w:val="0"/>
      <w:numFmt w:val="bullet"/>
      <w:lvlText w:val="•"/>
      <w:lvlJc w:val="left"/>
      <w:pPr>
        <w:ind w:left="1790" w:hanging="429"/>
      </w:pPr>
      <w:rPr>
        <w:rFonts w:hint="default"/>
        <w:lang w:val="es-ES" w:eastAsia="en-US" w:bidi="ar-SA"/>
      </w:rPr>
    </w:lvl>
    <w:lvl w:ilvl="5">
      <w:start w:val="0"/>
      <w:numFmt w:val="bullet"/>
      <w:lvlText w:val="•"/>
      <w:lvlJc w:val="left"/>
      <w:pPr>
        <w:ind w:left="2127" w:hanging="429"/>
      </w:pPr>
      <w:rPr>
        <w:rFonts w:hint="default"/>
        <w:lang w:val="es-ES" w:eastAsia="en-US" w:bidi="ar-SA"/>
      </w:rPr>
    </w:lvl>
    <w:lvl w:ilvl="6">
      <w:start w:val="0"/>
      <w:numFmt w:val="bullet"/>
      <w:lvlText w:val="•"/>
      <w:lvlJc w:val="left"/>
      <w:pPr>
        <w:ind w:left="2465" w:hanging="429"/>
      </w:pPr>
      <w:rPr>
        <w:rFonts w:hint="default"/>
        <w:lang w:val="es-ES" w:eastAsia="en-US" w:bidi="ar-SA"/>
      </w:rPr>
    </w:lvl>
    <w:lvl w:ilvl="7">
      <w:start w:val="0"/>
      <w:numFmt w:val="bullet"/>
      <w:lvlText w:val="•"/>
      <w:lvlJc w:val="left"/>
      <w:pPr>
        <w:ind w:left="2802" w:hanging="429"/>
      </w:pPr>
      <w:rPr>
        <w:rFonts w:hint="default"/>
        <w:lang w:val="es-ES" w:eastAsia="en-US" w:bidi="ar-SA"/>
      </w:rPr>
    </w:lvl>
    <w:lvl w:ilvl="8">
      <w:start w:val="0"/>
      <w:numFmt w:val="bullet"/>
      <w:lvlText w:val="•"/>
      <w:lvlJc w:val="left"/>
      <w:pPr>
        <w:ind w:left="3140" w:hanging="429"/>
      </w:pPr>
      <w:rPr>
        <w:rFonts w:hint="default"/>
        <w:lang w:val="es-ES" w:eastAsia="en-US" w:bidi="ar-SA"/>
      </w:rPr>
    </w:lvl>
  </w:abstractNum>
  <w:abstractNum w:abstractNumId="7">
    <w:multiLevelType w:val="hybridMultilevel"/>
    <w:lvl w:ilvl="0">
      <w:start w:val="2"/>
      <w:numFmt w:val="decimal"/>
      <w:lvlText w:val="%1"/>
      <w:lvlJc w:val="left"/>
      <w:pPr>
        <w:ind w:left="1121" w:hanging="553"/>
        <w:jc w:val="left"/>
      </w:pPr>
      <w:rPr>
        <w:rFonts w:hint="default"/>
        <w:spacing w:val="0"/>
        <w:w w:val="100"/>
        <w:lang w:val="es-ES" w:eastAsia="en-US" w:bidi="ar-SA"/>
      </w:rPr>
    </w:lvl>
    <w:lvl w:ilvl="1">
      <w:start w:val="1"/>
      <w:numFmt w:val="decimal"/>
      <w:lvlText w:val="%1.%2"/>
      <w:lvlJc w:val="left"/>
      <w:pPr>
        <w:ind w:left="1145" w:hanging="577"/>
        <w:jc w:val="left"/>
      </w:pPr>
      <w:rPr>
        <w:rFonts w:hint="default" w:ascii="Times New Roman" w:hAnsi="Times New Roman" w:eastAsia="Times New Roman" w:cs="Times New Roman"/>
        <w:b/>
        <w:bCs/>
        <w:i w:val="0"/>
        <w:iCs w:val="0"/>
        <w:spacing w:val="0"/>
        <w:w w:val="100"/>
        <w:sz w:val="24"/>
        <w:szCs w:val="24"/>
        <w:lang w:val="es-ES" w:eastAsia="en-US" w:bidi="ar-SA"/>
      </w:rPr>
    </w:lvl>
    <w:lvl w:ilvl="2">
      <w:start w:val="1"/>
      <w:numFmt w:val="decimal"/>
      <w:lvlText w:val="%1.%2.%3"/>
      <w:lvlJc w:val="left"/>
      <w:pPr>
        <w:ind w:left="1289" w:hanging="721"/>
        <w:jc w:val="left"/>
      </w:pPr>
      <w:rPr>
        <w:rFonts w:hint="default" w:ascii="Times New Roman" w:hAnsi="Times New Roman" w:eastAsia="Times New Roman" w:cs="Times New Roman"/>
        <w:b/>
        <w:bCs/>
        <w:i w:val="0"/>
        <w:iCs w:val="0"/>
        <w:color w:val="0D0D0D"/>
        <w:spacing w:val="0"/>
        <w:w w:val="100"/>
        <w:sz w:val="24"/>
        <w:szCs w:val="24"/>
        <w:lang w:val="es-ES" w:eastAsia="en-US" w:bidi="ar-SA"/>
      </w:rPr>
    </w:lvl>
    <w:lvl w:ilvl="3">
      <w:start w:val="0"/>
      <w:numFmt w:val="bullet"/>
      <w:lvlText w:val=""/>
      <w:lvlJc w:val="left"/>
      <w:pPr>
        <w:ind w:left="997" w:hanging="429"/>
      </w:pPr>
      <w:rPr>
        <w:rFonts w:hint="default" w:ascii="Symbol" w:hAnsi="Symbol" w:eastAsia="Symbol" w:cs="Symbol"/>
        <w:b w:val="0"/>
        <w:bCs w:val="0"/>
        <w:i w:val="0"/>
        <w:iCs w:val="0"/>
        <w:color w:val="0D0D0D"/>
        <w:spacing w:val="0"/>
        <w:w w:val="100"/>
        <w:sz w:val="24"/>
        <w:szCs w:val="24"/>
        <w:lang w:val="es-ES" w:eastAsia="en-US" w:bidi="ar-SA"/>
      </w:rPr>
    </w:lvl>
    <w:lvl w:ilvl="4">
      <w:start w:val="0"/>
      <w:numFmt w:val="bullet"/>
      <w:lvlText w:val="•"/>
      <w:lvlJc w:val="left"/>
      <w:pPr>
        <w:ind w:left="1260" w:hanging="429"/>
      </w:pPr>
      <w:rPr>
        <w:rFonts w:hint="default"/>
        <w:lang w:val="es-ES" w:eastAsia="en-US" w:bidi="ar-SA"/>
      </w:rPr>
    </w:lvl>
    <w:lvl w:ilvl="5">
      <w:start w:val="0"/>
      <w:numFmt w:val="bullet"/>
      <w:lvlText w:val="•"/>
      <w:lvlJc w:val="left"/>
      <w:pPr>
        <w:ind w:left="1280" w:hanging="429"/>
      </w:pPr>
      <w:rPr>
        <w:rFonts w:hint="default"/>
        <w:lang w:val="es-ES" w:eastAsia="en-US" w:bidi="ar-SA"/>
      </w:rPr>
    </w:lvl>
    <w:lvl w:ilvl="6">
      <w:start w:val="0"/>
      <w:numFmt w:val="bullet"/>
      <w:lvlText w:val="•"/>
      <w:lvlJc w:val="left"/>
      <w:pPr>
        <w:ind w:left="2753" w:hanging="429"/>
      </w:pPr>
      <w:rPr>
        <w:rFonts w:hint="default"/>
        <w:lang w:val="es-ES" w:eastAsia="en-US" w:bidi="ar-SA"/>
      </w:rPr>
    </w:lvl>
    <w:lvl w:ilvl="7">
      <w:start w:val="0"/>
      <w:numFmt w:val="bullet"/>
      <w:lvlText w:val="•"/>
      <w:lvlJc w:val="left"/>
      <w:pPr>
        <w:ind w:left="4227" w:hanging="429"/>
      </w:pPr>
      <w:rPr>
        <w:rFonts w:hint="default"/>
        <w:lang w:val="es-ES" w:eastAsia="en-US" w:bidi="ar-SA"/>
      </w:rPr>
    </w:lvl>
    <w:lvl w:ilvl="8">
      <w:start w:val="0"/>
      <w:numFmt w:val="bullet"/>
      <w:lvlText w:val="•"/>
      <w:lvlJc w:val="left"/>
      <w:pPr>
        <w:ind w:left="5701" w:hanging="429"/>
      </w:pPr>
      <w:rPr>
        <w:rFonts w:hint="default"/>
        <w:lang w:val="es-ES" w:eastAsia="en-US" w:bidi="ar-SA"/>
      </w:rPr>
    </w:lvl>
  </w:abstractNum>
  <w:abstractNum w:abstractNumId="6">
    <w:multiLevelType w:val="hybridMultilevel"/>
    <w:lvl w:ilvl="0">
      <w:start w:val="1"/>
      <w:numFmt w:val="decimal"/>
      <w:lvlText w:val="%1"/>
      <w:lvlJc w:val="left"/>
      <w:pPr>
        <w:ind w:left="1289" w:hanging="685"/>
        <w:jc w:val="left"/>
      </w:pPr>
      <w:rPr>
        <w:rFonts w:hint="default"/>
        <w:lang w:val="es-ES" w:eastAsia="en-US" w:bidi="ar-SA"/>
      </w:rPr>
    </w:lvl>
    <w:lvl w:ilvl="1">
      <w:start w:val="3"/>
      <w:numFmt w:val="decimal"/>
      <w:lvlText w:val="%1.%2"/>
      <w:lvlJc w:val="left"/>
      <w:pPr>
        <w:ind w:left="1289" w:hanging="685"/>
        <w:jc w:val="left"/>
      </w:pPr>
      <w:rPr>
        <w:rFonts w:hint="default" w:ascii="Times New Roman" w:hAnsi="Times New Roman" w:eastAsia="Times New Roman" w:cs="Times New Roman"/>
        <w:b/>
        <w:bCs/>
        <w:i w:val="0"/>
        <w:iCs w:val="0"/>
        <w:spacing w:val="-2"/>
        <w:w w:val="100"/>
        <w:sz w:val="26"/>
        <w:szCs w:val="26"/>
        <w:lang w:val="es-ES" w:eastAsia="en-US" w:bidi="ar-SA"/>
      </w:rPr>
    </w:lvl>
    <w:lvl w:ilvl="2">
      <w:start w:val="0"/>
      <w:numFmt w:val="bullet"/>
      <w:lvlText w:val=""/>
      <w:lvlJc w:val="left"/>
      <w:pPr>
        <w:ind w:left="1289" w:hanging="360"/>
      </w:pPr>
      <w:rPr>
        <w:rFonts w:hint="default" w:ascii="Symbol" w:hAnsi="Symbol" w:eastAsia="Symbol" w:cs="Symbol"/>
        <w:b w:val="0"/>
        <w:bCs w:val="0"/>
        <w:i w:val="0"/>
        <w:iCs w:val="0"/>
        <w:color w:val="0D0D0D"/>
        <w:spacing w:val="0"/>
        <w:w w:val="100"/>
        <w:sz w:val="24"/>
        <w:szCs w:val="24"/>
        <w:lang w:val="es-ES" w:eastAsia="en-US" w:bidi="ar-SA"/>
      </w:rPr>
    </w:lvl>
    <w:lvl w:ilvl="3">
      <w:start w:val="0"/>
      <w:numFmt w:val="bullet"/>
      <w:lvlText w:val="•"/>
      <w:lvlJc w:val="left"/>
      <w:pPr>
        <w:ind w:left="3490" w:hanging="360"/>
      </w:pPr>
      <w:rPr>
        <w:rFonts w:hint="default"/>
        <w:lang w:val="es-ES" w:eastAsia="en-US" w:bidi="ar-SA"/>
      </w:rPr>
    </w:lvl>
    <w:lvl w:ilvl="4">
      <w:start w:val="0"/>
      <w:numFmt w:val="bullet"/>
      <w:lvlText w:val="•"/>
      <w:lvlJc w:val="left"/>
      <w:pPr>
        <w:ind w:left="4227" w:hanging="360"/>
      </w:pPr>
      <w:rPr>
        <w:rFonts w:hint="default"/>
        <w:lang w:val="es-ES" w:eastAsia="en-US" w:bidi="ar-SA"/>
      </w:rPr>
    </w:lvl>
    <w:lvl w:ilvl="5">
      <w:start w:val="0"/>
      <w:numFmt w:val="bullet"/>
      <w:lvlText w:val="•"/>
      <w:lvlJc w:val="left"/>
      <w:pPr>
        <w:ind w:left="4964" w:hanging="360"/>
      </w:pPr>
      <w:rPr>
        <w:rFonts w:hint="default"/>
        <w:lang w:val="es-ES" w:eastAsia="en-US" w:bidi="ar-SA"/>
      </w:rPr>
    </w:lvl>
    <w:lvl w:ilvl="6">
      <w:start w:val="0"/>
      <w:numFmt w:val="bullet"/>
      <w:lvlText w:val="•"/>
      <w:lvlJc w:val="left"/>
      <w:pPr>
        <w:ind w:left="5701" w:hanging="360"/>
      </w:pPr>
      <w:rPr>
        <w:rFonts w:hint="default"/>
        <w:lang w:val="es-ES" w:eastAsia="en-US" w:bidi="ar-SA"/>
      </w:rPr>
    </w:lvl>
    <w:lvl w:ilvl="7">
      <w:start w:val="0"/>
      <w:numFmt w:val="bullet"/>
      <w:lvlText w:val="•"/>
      <w:lvlJc w:val="left"/>
      <w:pPr>
        <w:ind w:left="6438" w:hanging="360"/>
      </w:pPr>
      <w:rPr>
        <w:rFonts w:hint="default"/>
        <w:lang w:val="es-ES" w:eastAsia="en-US" w:bidi="ar-SA"/>
      </w:rPr>
    </w:lvl>
    <w:lvl w:ilvl="8">
      <w:start w:val="0"/>
      <w:numFmt w:val="bullet"/>
      <w:lvlText w:val="•"/>
      <w:lvlJc w:val="left"/>
      <w:pPr>
        <w:ind w:left="7175" w:hanging="360"/>
      </w:pPr>
      <w:rPr>
        <w:rFonts w:hint="default"/>
        <w:lang w:val="es-ES" w:eastAsia="en-US" w:bidi="ar-SA"/>
      </w:rPr>
    </w:lvl>
  </w:abstractNum>
  <w:abstractNum w:abstractNumId="5">
    <w:multiLevelType w:val="hybridMultilevel"/>
    <w:lvl w:ilvl="0">
      <w:start w:val="1"/>
      <w:numFmt w:val="decimal"/>
      <w:lvlText w:val="%1"/>
      <w:lvlJc w:val="left"/>
      <w:pPr>
        <w:ind w:left="1145" w:hanging="577"/>
        <w:jc w:val="left"/>
      </w:pPr>
      <w:rPr>
        <w:rFonts w:hint="default"/>
        <w:lang w:val="es-ES" w:eastAsia="en-US" w:bidi="ar-SA"/>
      </w:rPr>
    </w:lvl>
    <w:lvl w:ilvl="1">
      <w:start w:val="1"/>
      <w:numFmt w:val="decimal"/>
      <w:lvlText w:val="%1.%2"/>
      <w:lvlJc w:val="left"/>
      <w:pPr>
        <w:ind w:left="1145" w:hanging="577"/>
        <w:jc w:val="right"/>
      </w:pPr>
      <w:rPr>
        <w:rFonts w:hint="default"/>
        <w:spacing w:val="0"/>
        <w:w w:val="100"/>
        <w:lang w:val="es-ES" w:eastAsia="en-US" w:bidi="ar-SA"/>
      </w:rPr>
    </w:lvl>
    <w:lvl w:ilvl="2">
      <w:start w:val="0"/>
      <w:numFmt w:val="bullet"/>
      <w:lvlText w:val="•"/>
      <w:lvlJc w:val="left"/>
      <w:pPr>
        <w:ind w:left="2641" w:hanging="577"/>
      </w:pPr>
      <w:rPr>
        <w:rFonts w:hint="default"/>
        <w:lang w:val="es-ES" w:eastAsia="en-US" w:bidi="ar-SA"/>
      </w:rPr>
    </w:lvl>
    <w:lvl w:ilvl="3">
      <w:start w:val="0"/>
      <w:numFmt w:val="bullet"/>
      <w:lvlText w:val="•"/>
      <w:lvlJc w:val="left"/>
      <w:pPr>
        <w:ind w:left="3392" w:hanging="577"/>
      </w:pPr>
      <w:rPr>
        <w:rFonts w:hint="default"/>
        <w:lang w:val="es-ES" w:eastAsia="en-US" w:bidi="ar-SA"/>
      </w:rPr>
    </w:lvl>
    <w:lvl w:ilvl="4">
      <w:start w:val="0"/>
      <w:numFmt w:val="bullet"/>
      <w:lvlText w:val="•"/>
      <w:lvlJc w:val="left"/>
      <w:pPr>
        <w:ind w:left="4143" w:hanging="577"/>
      </w:pPr>
      <w:rPr>
        <w:rFonts w:hint="default"/>
        <w:lang w:val="es-ES" w:eastAsia="en-US" w:bidi="ar-SA"/>
      </w:rPr>
    </w:lvl>
    <w:lvl w:ilvl="5">
      <w:start w:val="0"/>
      <w:numFmt w:val="bullet"/>
      <w:lvlText w:val="•"/>
      <w:lvlJc w:val="left"/>
      <w:pPr>
        <w:ind w:left="4894" w:hanging="577"/>
      </w:pPr>
      <w:rPr>
        <w:rFonts w:hint="default"/>
        <w:lang w:val="es-ES" w:eastAsia="en-US" w:bidi="ar-SA"/>
      </w:rPr>
    </w:lvl>
    <w:lvl w:ilvl="6">
      <w:start w:val="0"/>
      <w:numFmt w:val="bullet"/>
      <w:lvlText w:val="•"/>
      <w:lvlJc w:val="left"/>
      <w:pPr>
        <w:ind w:left="5645" w:hanging="577"/>
      </w:pPr>
      <w:rPr>
        <w:rFonts w:hint="default"/>
        <w:lang w:val="es-ES" w:eastAsia="en-US" w:bidi="ar-SA"/>
      </w:rPr>
    </w:lvl>
    <w:lvl w:ilvl="7">
      <w:start w:val="0"/>
      <w:numFmt w:val="bullet"/>
      <w:lvlText w:val="•"/>
      <w:lvlJc w:val="left"/>
      <w:pPr>
        <w:ind w:left="6396" w:hanging="577"/>
      </w:pPr>
      <w:rPr>
        <w:rFonts w:hint="default"/>
        <w:lang w:val="es-ES" w:eastAsia="en-US" w:bidi="ar-SA"/>
      </w:rPr>
    </w:lvl>
    <w:lvl w:ilvl="8">
      <w:start w:val="0"/>
      <w:numFmt w:val="bullet"/>
      <w:lvlText w:val="•"/>
      <w:lvlJc w:val="left"/>
      <w:pPr>
        <w:ind w:left="7147" w:hanging="577"/>
      </w:pPr>
      <w:rPr>
        <w:rFonts w:hint="default"/>
        <w:lang w:val="es-ES" w:eastAsia="en-US" w:bidi="ar-SA"/>
      </w:rPr>
    </w:lvl>
  </w:abstractNum>
  <w:abstractNum w:abstractNumId="4">
    <w:multiLevelType w:val="hybridMultilevel"/>
    <w:lvl w:ilvl="0">
      <w:start w:val="1"/>
      <w:numFmt w:val="decimal"/>
      <w:lvlText w:val="%1"/>
      <w:lvlJc w:val="left"/>
      <w:pPr>
        <w:ind w:left="808" w:hanging="240"/>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584" w:hanging="240"/>
      </w:pPr>
      <w:rPr>
        <w:rFonts w:hint="default"/>
        <w:lang w:val="es-ES" w:eastAsia="en-US" w:bidi="ar-SA"/>
      </w:rPr>
    </w:lvl>
    <w:lvl w:ilvl="2">
      <w:start w:val="0"/>
      <w:numFmt w:val="bullet"/>
      <w:lvlText w:val="•"/>
      <w:lvlJc w:val="left"/>
      <w:pPr>
        <w:ind w:left="2369" w:hanging="240"/>
      </w:pPr>
      <w:rPr>
        <w:rFonts w:hint="default"/>
        <w:lang w:val="es-ES" w:eastAsia="en-US" w:bidi="ar-SA"/>
      </w:rPr>
    </w:lvl>
    <w:lvl w:ilvl="3">
      <w:start w:val="0"/>
      <w:numFmt w:val="bullet"/>
      <w:lvlText w:val="•"/>
      <w:lvlJc w:val="left"/>
      <w:pPr>
        <w:ind w:left="3154" w:hanging="240"/>
      </w:pPr>
      <w:rPr>
        <w:rFonts w:hint="default"/>
        <w:lang w:val="es-ES" w:eastAsia="en-US" w:bidi="ar-SA"/>
      </w:rPr>
    </w:lvl>
    <w:lvl w:ilvl="4">
      <w:start w:val="0"/>
      <w:numFmt w:val="bullet"/>
      <w:lvlText w:val="•"/>
      <w:lvlJc w:val="left"/>
      <w:pPr>
        <w:ind w:left="3939" w:hanging="240"/>
      </w:pPr>
      <w:rPr>
        <w:rFonts w:hint="default"/>
        <w:lang w:val="es-ES" w:eastAsia="en-US" w:bidi="ar-SA"/>
      </w:rPr>
    </w:lvl>
    <w:lvl w:ilvl="5">
      <w:start w:val="0"/>
      <w:numFmt w:val="bullet"/>
      <w:lvlText w:val="•"/>
      <w:lvlJc w:val="left"/>
      <w:pPr>
        <w:ind w:left="4724" w:hanging="240"/>
      </w:pPr>
      <w:rPr>
        <w:rFonts w:hint="default"/>
        <w:lang w:val="es-ES" w:eastAsia="en-US" w:bidi="ar-SA"/>
      </w:rPr>
    </w:lvl>
    <w:lvl w:ilvl="6">
      <w:start w:val="0"/>
      <w:numFmt w:val="bullet"/>
      <w:lvlText w:val="•"/>
      <w:lvlJc w:val="left"/>
      <w:pPr>
        <w:ind w:left="5509" w:hanging="240"/>
      </w:pPr>
      <w:rPr>
        <w:rFonts w:hint="default"/>
        <w:lang w:val="es-ES" w:eastAsia="en-US" w:bidi="ar-SA"/>
      </w:rPr>
    </w:lvl>
    <w:lvl w:ilvl="7">
      <w:start w:val="0"/>
      <w:numFmt w:val="bullet"/>
      <w:lvlText w:val="•"/>
      <w:lvlJc w:val="left"/>
      <w:pPr>
        <w:ind w:left="6294" w:hanging="240"/>
      </w:pPr>
      <w:rPr>
        <w:rFonts w:hint="default"/>
        <w:lang w:val="es-ES" w:eastAsia="en-US" w:bidi="ar-SA"/>
      </w:rPr>
    </w:lvl>
    <w:lvl w:ilvl="8">
      <w:start w:val="0"/>
      <w:numFmt w:val="bullet"/>
      <w:lvlText w:val="•"/>
      <w:lvlJc w:val="left"/>
      <w:pPr>
        <w:ind w:left="7079" w:hanging="240"/>
      </w:pPr>
      <w:rPr>
        <w:rFonts w:hint="default"/>
        <w:lang w:val="es-ES" w:eastAsia="en-US" w:bidi="ar-SA"/>
      </w:rPr>
    </w:lvl>
  </w:abstractNum>
  <w:abstractNum w:abstractNumId="3">
    <w:multiLevelType w:val="hybridMultilevel"/>
    <w:lvl w:ilvl="0">
      <w:start w:val="1"/>
      <w:numFmt w:val="decimal"/>
      <w:lvlText w:val="%1"/>
      <w:lvlJc w:val="left"/>
      <w:pPr>
        <w:ind w:left="989" w:hanging="421"/>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1">
      <w:start w:val="0"/>
      <w:numFmt w:val="bullet"/>
      <w:lvlText w:val="•"/>
      <w:lvlJc w:val="left"/>
      <w:pPr>
        <w:ind w:left="1746" w:hanging="421"/>
      </w:pPr>
      <w:rPr>
        <w:rFonts w:hint="default"/>
        <w:lang w:val="es-ES" w:eastAsia="en-US" w:bidi="ar-SA"/>
      </w:rPr>
    </w:lvl>
    <w:lvl w:ilvl="2">
      <w:start w:val="0"/>
      <w:numFmt w:val="bullet"/>
      <w:lvlText w:val="•"/>
      <w:lvlJc w:val="left"/>
      <w:pPr>
        <w:ind w:left="2513" w:hanging="421"/>
      </w:pPr>
      <w:rPr>
        <w:rFonts w:hint="default"/>
        <w:lang w:val="es-ES" w:eastAsia="en-US" w:bidi="ar-SA"/>
      </w:rPr>
    </w:lvl>
    <w:lvl w:ilvl="3">
      <w:start w:val="0"/>
      <w:numFmt w:val="bullet"/>
      <w:lvlText w:val="•"/>
      <w:lvlJc w:val="left"/>
      <w:pPr>
        <w:ind w:left="3280" w:hanging="421"/>
      </w:pPr>
      <w:rPr>
        <w:rFonts w:hint="default"/>
        <w:lang w:val="es-ES" w:eastAsia="en-US" w:bidi="ar-SA"/>
      </w:rPr>
    </w:lvl>
    <w:lvl w:ilvl="4">
      <w:start w:val="0"/>
      <w:numFmt w:val="bullet"/>
      <w:lvlText w:val="•"/>
      <w:lvlJc w:val="left"/>
      <w:pPr>
        <w:ind w:left="4047" w:hanging="421"/>
      </w:pPr>
      <w:rPr>
        <w:rFonts w:hint="default"/>
        <w:lang w:val="es-ES" w:eastAsia="en-US" w:bidi="ar-SA"/>
      </w:rPr>
    </w:lvl>
    <w:lvl w:ilvl="5">
      <w:start w:val="0"/>
      <w:numFmt w:val="bullet"/>
      <w:lvlText w:val="•"/>
      <w:lvlJc w:val="left"/>
      <w:pPr>
        <w:ind w:left="4814" w:hanging="421"/>
      </w:pPr>
      <w:rPr>
        <w:rFonts w:hint="default"/>
        <w:lang w:val="es-ES" w:eastAsia="en-US" w:bidi="ar-SA"/>
      </w:rPr>
    </w:lvl>
    <w:lvl w:ilvl="6">
      <w:start w:val="0"/>
      <w:numFmt w:val="bullet"/>
      <w:lvlText w:val="•"/>
      <w:lvlJc w:val="left"/>
      <w:pPr>
        <w:ind w:left="5581" w:hanging="421"/>
      </w:pPr>
      <w:rPr>
        <w:rFonts w:hint="default"/>
        <w:lang w:val="es-ES" w:eastAsia="en-US" w:bidi="ar-SA"/>
      </w:rPr>
    </w:lvl>
    <w:lvl w:ilvl="7">
      <w:start w:val="0"/>
      <w:numFmt w:val="bullet"/>
      <w:lvlText w:val="•"/>
      <w:lvlJc w:val="left"/>
      <w:pPr>
        <w:ind w:left="6348" w:hanging="421"/>
      </w:pPr>
      <w:rPr>
        <w:rFonts w:hint="default"/>
        <w:lang w:val="es-ES" w:eastAsia="en-US" w:bidi="ar-SA"/>
      </w:rPr>
    </w:lvl>
    <w:lvl w:ilvl="8">
      <w:start w:val="0"/>
      <w:numFmt w:val="bullet"/>
      <w:lvlText w:val="•"/>
      <w:lvlJc w:val="left"/>
      <w:pPr>
        <w:ind w:left="7115" w:hanging="421"/>
      </w:pPr>
      <w:rPr>
        <w:rFonts w:hint="default"/>
        <w:lang w:val="es-ES" w:eastAsia="en-US" w:bidi="ar-SA"/>
      </w:rPr>
    </w:lvl>
  </w:abstractNum>
  <w:abstractNum w:abstractNumId="2">
    <w:multiLevelType w:val="hybridMultilevel"/>
    <w:lvl w:ilvl="0">
      <w:start w:val="5"/>
      <w:numFmt w:val="decimal"/>
      <w:lvlText w:val="%1"/>
      <w:lvlJc w:val="left"/>
      <w:pPr>
        <w:ind w:left="1137" w:hanging="424"/>
        <w:jc w:val="left"/>
      </w:pPr>
      <w:rPr>
        <w:rFonts w:hint="default"/>
        <w:lang w:val="es-ES" w:eastAsia="en-US" w:bidi="ar-SA"/>
      </w:rPr>
    </w:lvl>
    <w:lvl w:ilvl="1">
      <w:start w:val="1"/>
      <w:numFmt w:val="decimal"/>
      <w:lvlText w:val="%1.%2"/>
      <w:lvlJc w:val="left"/>
      <w:pPr>
        <w:ind w:left="1137" w:hanging="424"/>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641" w:hanging="424"/>
      </w:pPr>
      <w:rPr>
        <w:rFonts w:hint="default"/>
        <w:lang w:val="es-ES" w:eastAsia="en-US" w:bidi="ar-SA"/>
      </w:rPr>
    </w:lvl>
    <w:lvl w:ilvl="3">
      <w:start w:val="0"/>
      <w:numFmt w:val="bullet"/>
      <w:lvlText w:val="•"/>
      <w:lvlJc w:val="left"/>
      <w:pPr>
        <w:ind w:left="3392" w:hanging="424"/>
      </w:pPr>
      <w:rPr>
        <w:rFonts w:hint="default"/>
        <w:lang w:val="es-ES" w:eastAsia="en-US" w:bidi="ar-SA"/>
      </w:rPr>
    </w:lvl>
    <w:lvl w:ilvl="4">
      <w:start w:val="0"/>
      <w:numFmt w:val="bullet"/>
      <w:lvlText w:val="•"/>
      <w:lvlJc w:val="left"/>
      <w:pPr>
        <w:ind w:left="4143" w:hanging="424"/>
      </w:pPr>
      <w:rPr>
        <w:rFonts w:hint="default"/>
        <w:lang w:val="es-ES" w:eastAsia="en-US" w:bidi="ar-SA"/>
      </w:rPr>
    </w:lvl>
    <w:lvl w:ilvl="5">
      <w:start w:val="0"/>
      <w:numFmt w:val="bullet"/>
      <w:lvlText w:val="•"/>
      <w:lvlJc w:val="left"/>
      <w:pPr>
        <w:ind w:left="4894" w:hanging="424"/>
      </w:pPr>
      <w:rPr>
        <w:rFonts w:hint="default"/>
        <w:lang w:val="es-ES" w:eastAsia="en-US" w:bidi="ar-SA"/>
      </w:rPr>
    </w:lvl>
    <w:lvl w:ilvl="6">
      <w:start w:val="0"/>
      <w:numFmt w:val="bullet"/>
      <w:lvlText w:val="•"/>
      <w:lvlJc w:val="left"/>
      <w:pPr>
        <w:ind w:left="5645" w:hanging="424"/>
      </w:pPr>
      <w:rPr>
        <w:rFonts w:hint="default"/>
        <w:lang w:val="es-ES" w:eastAsia="en-US" w:bidi="ar-SA"/>
      </w:rPr>
    </w:lvl>
    <w:lvl w:ilvl="7">
      <w:start w:val="0"/>
      <w:numFmt w:val="bullet"/>
      <w:lvlText w:val="•"/>
      <w:lvlJc w:val="left"/>
      <w:pPr>
        <w:ind w:left="6396" w:hanging="424"/>
      </w:pPr>
      <w:rPr>
        <w:rFonts w:hint="default"/>
        <w:lang w:val="es-ES" w:eastAsia="en-US" w:bidi="ar-SA"/>
      </w:rPr>
    </w:lvl>
    <w:lvl w:ilvl="8">
      <w:start w:val="0"/>
      <w:numFmt w:val="bullet"/>
      <w:lvlText w:val="•"/>
      <w:lvlJc w:val="left"/>
      <w:pPr>
        <w:ind w:left="7147" w:hanging="424"/>
      </w:pPr>
      <w:rPr>
        <w:rFonts w:hint="default"/>
        <w:lang w:val="es-ES" w:eastAsia="en-US" w:bidi="ar-SA"/>
      </w:rPr>
    </w:lvl>
  </w:abstractNum>
  <w:abstractNum w:abstractNumId="1">
    <w:multiLevelType w:val="hybridMultilevel"/>
    <w:lvl w:ilvl="0">
      <w:start w:val="2"/>
      <w:numFmt w:val="decimal"/>
      <w:lvlText w:val="%1"/>
      <w:lvlJc w:val="left"/>
      <w:pPr>
        <w:ind w:left="1289" w:hanging="576"/>
        <w:jc w:val="left"/>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1"/>
      <w:numFmt w:val="decimal"/>
      <w:lvlText w:val="%1.%2"/>
      <w:lvlJc w:val="left"/>
      <w:pPr>
        <w:ind w:left="1137" w:hanging="424"/>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1"/>
      <w:numFmt w:val="decimal"/>
      <w:lvlText w:val="%1.%2.%3"/>
      <w:lvlJc w:val="left"/>
      <w:pPr>
        <w:ind w:left="1277" w:hanging="564"/>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3">
      <w:start w:val="0"/>
      <w:numFmt w:val="bullet"/>
      <w:lvlText w:val="•"/>
      <w:lvlJc w:val="left"/>
      <w:pPr>
        <w:ind w:left="2917" w:hanging="564"/>
      </w:pPr>
      <w:rPr>
        <w:rFonts w:hint="default"/>
        <w:lang w:val="es-ES" w:eastAsia="en-US" w:bidi="ar-SA"/>
      </w:rPr>
    </w:lvl>
    <w:lvl w:ilvl="4">
      <w:start w:val="0"/>
      <w:numFmt w:val="bullet"/>
      <w:lvlText w:val="•"/>
      <w:lvlJc w:val="left"/>
      <w:pPr>
        <w:ind w:left="3736" w:hanging="564"/>
      </w:pPr>
      <w:rPr>
        <w:rFonts w:hint="default"/>
        <w:lang w:val="es-ES" w:eastAsia="en-US" w:bidi="ar-SA"/>
      </w:rPr>
    </w:lvl>
    <w:lvl w:ilvl="5">
      <w:start w:val="0"/>
      <w:numFmt w:val="bullet"/>
      <w:lvlText w:val="•"/>
      <w:lvlJc w:val="left"/>
      <w:pPr>
        <w:ind w:left="4555" w:hanging="564"/>
      </w:pPr>
      <w:rPr>
        <w:rFonts w:hint="default"/>
        <w:lang w:val="es-ES" w:eastAsia="en-US" w:bidi="ar-SA"/>
      </w:rPr>
    </w:lvl>
    <w:lvl w:ilvl="6">
      <w:start w:val="0"/>
      <w:numFmt w:val="bullet"/>
      <w:lvlText w:val="•"/>
      <w:lvlJc w:val="left"/>
      <w:pPr>
        <w:ind w:left="5373" w:hanging="564"/>
      </w:pPr>
      <w:rPr>
        <w:rFonts w:hint="default"/>
        <w:lang w:val="es-ES" w:eastAsia="en-US" w:bidi="ar-SA"/>
      </w:rPr>
    </w:lvl>
    <w:lvl w:ilvl="7">
      <w:start w:val="0"/>
      <w:numFmt w:val="bullet"/>
      <w:lvlText w:val="•"/>
      <w:lvlJc w:val="left"/>
      <w:pPr>
        <w:ind w:left="6192" w:hanging="564"/>
      </w:pPr>
      <w:rPr>
        <w:rFonts w:hint="default"/>
        <w:lang w:val="es-ES" w:eastAsia="en-US" w:bidi="ar-SA"/>
      </w:rPr>
    </w:lvl>
    <w:lvl w:ilvl="8">
      <w:start w:val="0"/>
      <w:numFmt w:val="bullet"/>
      <w:lvlText w:val="•"/>
      <w:lvlJc w:val="left"/>
      <w:pPr>
        <w:ind w:left="7011" w:hanging="564"/>
      </w:pPr>
      <w:rPr>
        <w:rFonts w:hint="default"/>
        <w:lang w:val="es-ES" w:eastAsia="en-US" w:bidi="ar-SA"/>
      </w:rPr>
    </w:lvl>
  </w:abstractNum>
  <w:abstractNum w:abstractNumId="0">
    <w:multiLevelType w:val="hybridMultilevel"/>
    <w:lvl w:ilvl="0">
      <w:start w:val="1"/>
      <w:numFmt w:val="decimal"/>
      <w:lvlText w:val="%1"/>
      <w:lvlJc w:val="left"/>
      <w:pPr>
        <w:ind w:left="1137" w:hanging="424"/>
        <w:jc w:val="left"/>
      </w:pPr>
      <w:rPr>
        <w:rFonts w:hint="default"/>
        <w:lang w:val="es-ES" w:eastAsia="en-US" w:bidi="ar-SA"/>
      </w:rPr>
    </w:lvl>
    <w:lvl w:ilvl="1">
      <w:start w:val="1"/>
      <w:numFmt w:val="decimal"/>
      <w:lvlText w:val="%1.%2"/>
      <w:lvlJc w:val="left"/>
      <w:pPr>
        <w:ind w:left="1137" w:hanging="424"/>
        <w:jc w:val="left"/>
      </w:pPr>
      <w:rPr>
        <w:rFonts w:hint="default" w:ascii="Times New Roman" w:hAnsi="Times New Roman" w:eastAsia="Times New Roman" w:cs="Times New Roman"/>
        <w:b w:val="0"/>
        <w:bCs w:val="0"/>
        <w:i w:val="0"/>
        <w:iCs w:val="0"/>
        <w:spacing w:val="0"/>
        <w:w w:val="100"/>
        <w:sz w:val="24"/>
        <w:szCs w:val="24"/>
        <w:lang w:val="es-ES" w:eastAsia="en-US" w:bidi="ar-SA"/>
      </w:rPr>
    </w:lvl>
    <w:lvl w:ilvl="2">
      <w:start w:val="0"/>
      <w:numFmt w:val="bullet"/>
      <w:lvlText w:val="•"/>
      <w:lvlJc w:val="left"/>
      <w:pPr>
        <w:ind w:left="2641" w:hanging="424"/>
      </w:pPr>
      <w:rPr>
        <w:rFonts w:hint="default"/>
        <w:lang w:val="es-ES" w:eastAsia="en-US" w:bidi="ar-SA"/>
      </w:rPr>
    </w:lvl>
    <w:lvl w:ilvl="3">
      <w:start w:val="0"/>
      <w:numFmt w:val="bullet"/>
      <w:lvlText w:val="•"/>
      <w:lvlJc w:val="left"/>
      <w:pPr>
        <w:ind w:left="3392" w:hanging="424"/>
      </w:pPr>
      <w:rPr>
        <w:rFonts w:hint="default"/>
        <w:lang w:val="es-ES" w:eastAsia="en-US" w:bidi="ar-SA"/>
      </w:rPr>
    </w:lvl>
    <w:lvl w:ilvl="4">
      <w:start w:val="0"/>
      <w:numFmt w:val="bullet"/>
      <w:lvlText w:val="•"/>
      <w:lvlJc w:val="left"/>
      <w:pPr>
        <w:ind w:left="4143" w:hanging="424"/>
      </w:pPr>
      <w:rPr>
        <w:rFonts w:hint="default"/>
        <w:lang w:val="es-ES" w:eastAsia="en-US" w:bidi="ar-SA"/>
      </w:rPr>
    </w:lvl>
    <w:lvl w:ilvl="5">
      <w:start w:val="0"/>
      <w:numFmt w:val="bullet"/>
      <w:lvlText w:val="•"/>
      <w:lvlJc w:val="left"/>
      <w:pPr>
        <w:ind w:left="4894" w:hanging="424"/>
      </w:pPr>
      <w:rPr>
        <w:rFonts w:hint="default"/>
        <w:lang w:val="es-ES" w:eastAsia="en-US" w:bidi="ar-SA"/>
      </w:rPr>
    </w:lvl>
    <w:lvl w:ilvl="6">
      <w:start w:val="0"/>
      <w:numFmt w:val="bullet"/>
      <w:lvlText w:val="•"/>
      <w:lvlJc w:val="left"/>
      <w:pPr>
        <w:ind w:left="5645" w:hanging="424"/>
      </w:pPr>
      <w:rPr>
        <w:rFonts w:hint="default"/>
        <w:lang w:val="es-ES" w:eastAsia="en-US" w:bidi="ar-SA"/>
      </w:rPr>
    </w:lvl>
    <w:lvl w:ilvl="7">
      <w:start w:val="0"/>
      <w:numFmt w:val="bullet"/>
      <w:lvlText w:val="•"/>
      <w:lvlJc w:val="left"/>
      <w:pPr>
        <w:ind w:left="6396" w:hanging="424"/>
      </w:pPr>
      <w:rPr>
        <w:rFonts w:hint="default"/>
        <w:lang w:val="es-ES" w:eastAsia="en-US" w:bidi="ar-SA"/>
      </w:rPr>
    </w:lvl>
    <w:lvl w:ilvl="8">
      <w:start w:val="0"/>
      <w:numFmt w:val="bullet"/>
      <w:lvlText w:val="•"/>
      <w:lvlJc w:val="left"/>
      <w:pPr>
        <w:ind w:left="7147" w:hanging="424"/>
      </w:pPr>
      <w:rPr>
        <w:rFonts w:hint="default"/>
        <w:lang w:val="es-E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TOC1" w:type="paragraph">
    <w:name w:val="TOC 1"/>
    <w:basedOn w:val="Normal"/>
    <w:uiPriority w:val="1"/>
    <w:qFormat/>
    <w:pPr>
      <w:spacing w:before="276"/>
      <w:ind w:left="1277" w:hanging="564"/>
    </w:pPr>
    <w:rPr>
      <w:rFonts w:ascii="Times New Roman" w:hAnsi="Times New Roman" w:eastAsia="Times New Roman" w:cs="Times New Roman"/>
      <w:sz w:val="24"/>
      <w:szCs w:val="24"/>
      <w:lang w:val="es-ES" w:eastAsia="en-US" w:bidi="ar-SA"/>
    </w:rPr>
  </w:style>
  <w:style w:styleId="TOC2" w:type="paragraph">
    <w:name w:val="TOC 2"/>
    <w:basedOn w:val="Normal"/>
    <w:uiPriority w:val="1"/>
    <w:qFormat/>
    <w:pPr>
      <w:spacing w:before="255"/>
      <w:ind w:left="713" w:hanging="575"/>
    </w:pPr>
    <w:rPr>
      <w:rFonts w:ascii="Times New Roman" w:hAnsi="Times New Roman" w:eastAsia="Times New Roman" w:cs="Times New Roman"/>
      <w:sz w:val="22"/>
      <w:szCs w:val="22"/>
      <w:lang w:val="es-ES" w:eastAsia="en-US" w:bidi="ar-SA"/>
    </w:rPr>
  </w:style>
  <w:style w:styleId="TOC3" w:type="paragraph">
    <w:name w:val="TOC 3"/>
    <w:basedOn w:val="Normal"/>
    <w:uiPriority w:val="1"/>
    <w:qFormat/>
    <w:pPr>
      <w:spacing w:before="275"/>
      <w:ind w:left="825"/>
    </w:pPr>
    <w:rPr>
      <w:rFonts w:ascii="Times New Roman" w:hAnsi="Times New Roman" w:eastAsia="Times New Roman" w:cs="Times New Roman"/>
      <w:sz w:val="22"/>
      <w:szCs w:val="22"/>
      <w:lang w:val="es-E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s-ES" w:eastAsia="en-US" w:bidi="ar-SA"/>
    </w:rPr>
  </w:style>
  <w:style w:styleId="Heading1" w:type="paragraph">
    <w:name w:val="Heading 1"/>
    <w:basedOn w:val="Normal"/>
    <w:uiPriority w:val="1"/>
    <w:qFormat/>
    <w:pPr>
      <w:spacing w:before="67"/>
      <w:ind w:left="568"/>
      <w:jc w:val="center"/>
      <w:outlineLvl w:val="1"/>
    </w:pPr>
    <w:rPr>
      <w:rFonts w:ascii="Times New Roman" w:hAnsi="Times New Roman" w:eastAsia="Times New Roman" w:cs="Times New Roman"/>
      <w:b/>
      <w:bCs/>
      <w:sz w:val="28"/>
      <w:szCs w:val="28"/>
      <w:lang w:val="es-ES" w:eastAsia="en-US" w:bidi="ar-SA"/>
    </w:rPr>
  </w:style>
  <w:style w:styleId="Heading2" w:type="paragraph">
    <w:name w:val="Heading 2"/>
    <w:basedOn w:val="Normal"/>
    <w:uiPriority w:val="1"/>
    <w:qFormat/>
    <w:pPr>
      <w:spacing w:before="64"/>
      <w:ind w:left="568"/>
      <w:outlineLvl w:val="2"/>
    </w:pPr>
    <w:rPr>
      <w:rFonts w:ascii="Times New Roman" w:hAnsi="Times New Roman" w:eastAsia="Times New Roman" w:cs="Times New Roman"/>
      <w:b/>
      <w:bCs/>
      <w:sz w:val="24"/>
      <w:szCs w:val="24"/>
      <w:lang w:val="es-ES" w:eastAsia="en-US" w:bidi="ar-SA"/>
    </w:rPr>
  </w:style>
  <w:style w:styleId="Heading3" w:type="paragraph">
    <w:name w:val="Heading 3"/>
    <w:basedOn w:val="Normal"/>
    <w:uiPriority w:val="1"/>
    <w:qFormat/>
    <w:pPr>
      <w:ind w:left="1288" w:hanging="720"/>
      <w:jc w:val="both"/>
      <w:outlineLvl w:val="3"/>
    </w:pPr>
    <w:rPr>
      <w:rFonts w:ascii="Times New Roman" w:hAnsi="Times New Roman" w:eastAsia="Times New Roman" w:cs="Times New Roman"/>
      <w:b/>
      <w:bCs/>
      <w:sz w:val="24"/>
      <w:szCs w:val="24"/>
      <w:lang w:val="es-ES" w:eastAsia="en-US" w:bidi="ar-SA"/>
    </w:rPr>
  </w:style>
  <w:style w:styleId="ListParagraph" w:type="paragraph">
    <w:name w:val="List Paragraph"/>
    <w:basedOn w:val="Normal"/>
    <w:uiPriority w:val="1"/>
    <w:qFormat/>
    <w:pPr>
      <w:spacing w:before="276"/>
      <w:ind w:left="1277" w:hanging="72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5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jpe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image" Target="media/image15.png"/><Relationship Id="rId22" Type="http://schemas.openxmlformats.org/officeDocument/2006/relationships/image" Target="media/image16.png"/><Relationship Id="rId23" Type="http://schemas.openxmlformats.org/officeDocument/2006/relationships/image" Target="media/image17.png"/><Relationship Id="rId24" Type="http://schemas.openxmlformats.org/officeDocument/2006/relationships/image" Target="media/image18.jpeg"/><Relationship Id="rId25" Type="http://schemas.openxmlformats.org/officeDocument/2006/relationships/hyperlink" Target="https://files01.core.ac.uk/download/pdf/489462654.pdf" TargetMode="External"/><Relationship Id="rId26" Type="http://schemas.openxmlformats.org/officeDocument/2006/relationships/hyperlink" Target="https://repository.ucc.edu.co/server/api/core/bitstreams/c4044585-fcbd-4655-a080-38b7edd3b87f/content" TargetMode="External"/><Relationship Id="rId27" Type="http://schemas.openxmlformats.org/officeDocument/2006/relationships/hyperlink" Target="https://doi.org/10.3389/fvets.2024.1431855" TargetMode="External"/><Relationship Id="rId28" Type="http://schemas.openxmlformats.org/officeDocument/2006/relationships/hyperlink" Target="https://www.sciencedirect.com/science/article/abs/pii/S003452882400095X?via" TargetMode="External"/><Relationship Id="rId29" Type="http://schemas.openxmlformats.org/officeDocument/2006/relationships/hyperlink" Target="https://www.wiley.com/en-us/Veterinary%2BAnaesthesia%3A%2BPrinciples%2Bto%2BPractice%2C%2B2nd%2BEdition-p-" TargetMode="External"/><Relationship Id="rId30" Type="http://schemas.openxmlformats.org/officeDocument/2006/relationships/hyperlink" Target="https://dspace.ups.edu.ec/bitstream/123456789/28440/1/UPS-CT011548.pdf#%3A~%3Atext%3DExplicaci%C3%B3n%20del%20Problema%2Cmanejo%20de" TargetMode="External"/><Relationship Id="rId31" Type="http://schemas.openxmlformats.org/officeDocument/2006/relationships/hyperlink" Target="https://www.ambato.gob.ec/" TargetMode="External"/><Relationship Id="rId32" Type="http://schemas.openxmlformats.org/officeDocument/2006/relationships/hyperlink" Target="https://scholar.google.es/citations?view_op=view_citation&amp;hl=es&amp;user=kULnhl0AAAAJ&amp;citation_for_view=kULnhl0AAAAJ%3AdhFuZR0502QC" TargetMode="External"/><Relationship Id="rId33" Type="http://schemas.openxmlformats.org/officeDocument/2006/relationships/hyperlink" Target="https://cuasveterinaria.es/blog/parametros-clinicos-normales-perros-gatos/" TargetMode="External"/><Relationship Id="rId34" Type="http://schemas.openxmlformats.org/officeDocument/2006/relationships/hyperlink" Target="https://www.inamhi.gob.ec/" TargetMode="External"/><Relationship Id="rId35" Type="http://schemas.openxmlformats.org/officeDocument/2006/relationships/hyperlink" Target="https://doi.org/10.1016/j.vaa.2019.05.012" TargetMode="External"/><Relationship Id="rId36" Type="http://schemas.openxmlformats.org/officeDocument/2006/relationships/hyperlink" Target="https://www.scirp.org/reference/referencespapers?referenceid=2750193" TargetMode="External"/><Relationship Id="rId37" Type="http://schemas.openxmlformats.org/officeDocument/2006/relationships/hyperlink" Target="https://www.ambienteyenergia.gob.ec/" TargetMode="External"/><Relationship Id="rId38" Type="http://schemas.openxmlformats.org/officeDocument/2006/relationships/hyperlink" Target="https://www.clinvetpeqanim.com/index.php?pag=articulo&amp;art=236" TargetMode="External"/><Relationship Id="rId39" Type="http://schemas.openxmlformats.org/officeDocument/2006/relationships/hyperlink" Target="https://mmegias.webs.uvigo.es/inicio.html" TargetMode="External"/><Relationship Id="rId40" Type="http://schemas.openxmlformats.org/officeDocument/2006/relationships/hyperlink" Target="https://doi.org/10.1111/j.1467-" TargetMode="External"/><Relationship Id="rId41" Type="http://schemas.openxmlformats.org/officeDocument/2006/relationships/footer" Target="footer3.xml"/><Relationship Id="rId42" Type="http://schemas.openxmlformats.org/officeDocument/2006/relationships/image" Target="media/image19.jpeg"/><Relationship Id="rId43" Type="http://schemas.openxmlformats.org/officeDocument/2006/relationships/image" Target="media/image20.jpeg"/><Relationship Id="rId44" Type="http://schemas.openxmlformats.org/officeDocument/2006/relationships/footer" Target="footer4.xml"/><Relationship Id="rId45" Type="http://schemas.openxmlformats.org/officeDocument/2006/relationships/footer" Target="footer5.xml"/><Relationship Id="rId46" Type="http://schemas.openxmlformats.org/officeDocument/2006/relationships/footer" Target="footer6.xml"/><Relationship Id="rId47" Type="http://schemas.openxmlformats.org/officeDocument/2006/relationships/footer" Target="footer7.xml"/><Relationship Id="rId48" Type="http://schemas.openxmlformats.org/officeDocument/2006/relationships/footer" Target="footer8.xml"/><Relationship Id="rId49" Type="http://schemas.openxmlformats.org/officeDocument/2006/relationships/footer" Target="footer9.xml"/><Relationship Id="rId50" Type="http://schemas.openxmlformats.org/officeDocument/2006/relationships/image" Target="media/image21.jpeg"/><Relationship Id="rId51" Type="http://schemas.openxmlformats.org/officeDocument/2006/relationships/image" Target="media/image22.jpeg"/><Relationship Id="rId52" Type="http://schemas.openxmlformats.org/officeDocument/2006/relationships/image" Target="media/image23.jpeg"/><Relationship Id="rId53" Type="http://schemas.openxmlformats.org/officeDocument/2006/relationships/image" Target="media/image24.jpeg"/><Relationship Id="rId54" Type="http://schemas.openxmlformats.org/officeDocument/2006/relationships/footer" Target="footer10.xml"/><Relationship Id="rId55" Type="http://schemas.openxmlformats.org/officeDocument/2006/relationships/image" Target="media/image25.jpeg"/><Relationship Id="rId56" Type="http://schemas.openxmlformats.org/officeDocument/2006/relationships/image" Target="media/image26.jpeg"/><Relationship Id="rId57" Type="http://schemas.openxmlformats.org/officeDocument/2006/relationships/image" Target="media/image27.jpeg"/><Relationship Id="rId58" Type="http://schemas.openxmlformats.org/officeDocument/2006/relationships/image" Target="media/image28.jpeg"/><Relationship Id="rId59" Type="http://schemas.openxmlformats.org/officeDocument/2006/relationships/footer" Target="footer11.xml"/><Relationship Id="rId60" Type="http://schemas.openxmlformats.org/officeDocument/2006/relationships/image" Target="media/image29.jpeg"/><Relationship Id="rId61" Type="http://schemas.openxmlformats.org/officeDocument/2006/relationships/image" Target="media/image30.jpeg"/><Relationship Id="rId62" Type="http://schemas.openxmlformats.org/officeDocument/2006/relationships/image" Target="media/image31.jpeg"/><Relationship Id="rId63" Type="http://schemas.openxmlformats.org/officeDocument/2006/relationships/image" Target="media/image32.jpeg"/><Relationship Id="rId64" Type="http://schemas.openxmlformats.org/officeDocument/2006/relationships/footer" Target="footer12.xml"/><Relationship Id="rId65" Type="http://schemas.openxmlformats.org/officeDocument/2006/relationships/image" Target="media/image33.jpeg"/><Relationship Id="rId66" Type="http://schemas.openxmlformats.org/officeDocument/2006/relationships/image" Target="media/image34.jpeg"/><Relationship Id="rId67" Type="http://schemas.openxmlformats.org/officeDocument/2006/relationships/image" Target="media/image35.jpeg"/><Relationship Id="rId68" Type="http://schemas.openxmlformats.org/officeDocument/2006/relationships/image" Target="media/image36.jpeg"/><Relationship Id="rId69" Type="http://schemas.openxmlformats.org/officeDocument/2006/relationships/footer" Target="footer13.xml"/><Relationship Id="rId70" Type="http://schemas.openxmlformats.org/officeDocument/2006/relationships/image" Target="media/image37.jpeg"/><Relationship Id="rId71" Type="http://schemas.openxmlformats.org/officeDocument/2006/relationships/footer" Target="footer14.xml"/><Relationship Id="rId72" Type="http://schemas.openxmlformats.org/officeDocument/2006/relationships/image" Target="media/image38.jpeg"/><Relationship Id="rId73" Type="http://schemas.openxmlformats.org/officeDocument/2006/relationships/footer" Target="footer15.xml"/><Relationship Id="rId74" Type="http://schemas.openxmlformats.org/officeDocument/2006/relationships/footer" Target="footer16.xml"/><Relationship Id="rId75" Type="http://schemas.openxmlformats.org/officeDocument/2006/relationships/footer" Target="footer17.xml"/><Relationship Id="rId76" Type="http://schemas.openxmlformats.org/officeDocument/2006/relationships/footer" Target="footer18.xml"/><Relationship Id="rId7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JOSELYN KATHERINE GUEVARA YANCHA;ERICK ADRIÁN BAÑO ERAZO</dc:creator>
  <cp:keywords>EVALUACIÓN DE LOS EFECTOS HEMODINAMICOS DE LA DEXMEDETOMIDINA EN CANINOS SOMETIDOS A ANESTESIA GENERAL</cp:keywords>
  <dcterms:created xsi:type="dcterms:W3CDTF">2026-07-08T17:16:18Z</dcterms:created>
  <dcterms:modified xsi:type="dcterms:W3CDTF">2026-07-08T17:16:18Z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2026-07-08T00:00:00Z</vt:filetime>
  </property>
  <property fmtid="{D5CDD505-2E9C-101B-9397-08002B2CF9AE}" pid="4" name="Creator">
    <vt:lpwstr>Microsoft® Word 2019</vt:lpwstr>
  </property>
  <property fmtid="{D5CDD505-2E9C-101B-9397-08002B2CF9AE}" pid="5" name="LastSaved">
    <vt:filetime>2026-07-08T00:00:00Z</vt:filetime>
  </property>
  <property fmtid="{D5CDD505-2E9C-101B-9397-08002B2CF9AE}" pid="6" name="Producer">
    <vt:lpwstr>Microsoft® Word 2019</vt:lpwstr>
  </property>
</Properties>
</file>